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7"/>
          <w:lang w:val="en-US" w:eastAsia="pt-BR"/>
        </w:rPr>
      </w:pPr>
      <w:r>
        <w:rPr>
          <w:sz w:val="17"/>
          <w:lang w:val="en-US" w:eastAsia="pt-BR"/>
        </w:rPr>
        <w:t>March 20, 2000</w:t>
      </w:r>
    </w:p>
    <w:p>
      <w:pPr>
        <w:pStyle w:val="Normal"/>
        <w:rPr>
          <w:sz w:val="17"/>
          <w:lang w:val="en-US" w:eastAsia="pt-BR"/>
        </w:rPr>
      </w:pPr>
      <w:r>
        <w:rPr>
          <w:sz w:val="17"/>
          <w:lang w:val="en-US" w:eastAsia="pt-BR"/>
        </w:rPr>
      </w:r>
    </w:p>
    <w:p>
      <w:pPr>
        <w:pStyle w:val="Normal"/>
        <w:rPr>
          <w:sz w:val="17"/>
          <w:lang w:val="en-US" w:eastAsia="pt-BR"/>
        </w:rPr>
      </w:pPr>
      <w:r>
        <w:rPr>
          <w:sz w:val="17"/>
          <w:lang w:val="en-US" w:eastAsia="pt-BR"/>
        </w:rPr>
        <w:t>Mr. W. Weiland, esq.</w:t>
      </w:r>
    </w:p>
    <w:p>
      <w:pPr>
        <w:pStyle w:val="Normal"/>
        <w:rPr>
          <w:sz w:val="17"/>
          <w:lang w:val="en-US" w:eastAsia="pt-BR"/>
        </w:rPr>
      </w:pPr>
      <w:r>
        <w:rPr>
          <w:sz w:val="17"/>
          <w:lang w:val="en-US" w:eastAsia="pt-BR"/>
        </w:rPr>
        <w:t>Vinson &amp; Elkins</w:t>
      </w:r>
    </w:p>
    <w:p>
      <w:pPr>
        <w:pStyle w:val="Normal"/>
        <w:rPr>
          <w:sz w:val="17"/>
          <w:lang w:val="en-US" w:eastAsia="pt-BR"/>
        </w:rPr>
      </w:pPr>
      <w:r>
        <w:rPr>
          <w:sz w:val="17"/>
          <w:lang w:val="en-US" w:eastAsia="pt-BR"/>
        </w:rPr>
      </w:r>
    </w:p>
    <w:p>
      <w:pPr>
        <w:pStyle w:val="Normal"/>
        <w:rPr>
          <w:sz w:val="17"/>
          <w:lang w:val="en-US" w:eastAsia="pt-BR"/>
        </w:rPr>
      </w:pPr>
      <w:r>
        <w:rPr>
          <w:sz w:val="17"/>
          <w:lang w:val="en-US" w:eastAsia="pt-BR"/>
        </w:rPr>
        <w:t>cc:  Mr. Randy Young (Enron South America)</w:t>
      </w:r>
    </w:p>
    <w:p>
      <w:pPr>
        <w:pStyle w:val="Normal"/>
        <w:rPr>
          <w:sz w:val="17"/>
          <w:lang w:val="en-US" w:eastAsia="pt-BR"/>
        </w:rPr>
      </w:pPr>
      <w:r>
        <w:rPr>
          <w:sz w:val="17"/>
          <w:lang w:val="en-US" w:eastAsia="pt-BR"/>
        </w:rPr>
        <w:t xml:space="preserve">       </w:t>
      </w:r>
      <w:r>
        <w:rPr>
          <w:sz w:val="17"/>
          <w:lang w:val="en-US" w:eastAsia="pt-BR"/>
        </w:rPr>
        <w:t>Mr. Mark Brazzil (Vinson &amp; Elkins)</w:t>
      </w:r>
    </w:p>
    <w:p>
      <w:pPr>
        <w:pStyle w:val="Normal"/>
        <w:rPr>
          <w:sz w:val="17"/>
          <w:lang w:val="en-US" w:eastAsia="pt-BR"/>
        </w:rPr>
      </w:pPr>
      <w:r>
        <w:rPr>
          <w:sz w:val="17"/>
          <w:lang w:val="en-US" w:eastAsia="pt-BR"/>
        </w:rPr>
        <w:t xml:space="preserve">       </w:t>
      </w:r>
      <w:r>
        <w:rPr>
          <w:sz w:val="17"/>
          <w:lang w:val="en-US" w:eastAsia="pt-BR"/>
        </w:rPr>
        <w:t xml:space="preserve">Mr. Donnie Roark (Vinson &amp; Elkins) </w:t>
      </w:r>
    </w:p>
    <w:p>
      <w:pPr>
        <w:pStyle w:val="Normal"/>
        <w:rPr>
          <w:sz w:val="17"/>
          <w:lang w:val="en-US" w:eastAsia="pt-BR"/>
        </w:rPr>
      </w:pPr>
      <w:r>
        <w:rPr>
          <w:sz w:val="17"/>
          <w:lang w:val="en-US" w:eastAsia="pt-BR"/>
        </w:rPr>
      </w:r>
    </w:p>
    <w:p>
      <w:pPr>
        <w:pStyle w:val="Normal"/>
        <w:rPr>
          <w:lang w:val="en-US" w:eastAsia="pt-BR"/>
        </w:rPr>
      </w:pPr>
      <w:r>
        <w:rPr>
          <w:lang w:val="en-US" w:eastAsia="pt-BR"/>
        </w:rPr>
      </w:r>
    </w:p>
    <w:p>
      <w:pPr>
        <w:pStyle w:val="Normal"/>
        <w:rPr>
          <w:lang w:val="en-US" w:eastAsia="pt-BR"/>
        </w:rPr>
      </w:pPr>
      <w:r>
        <w:rPr>
          <w:lang w:val="en-US" w:eastAsia="pt-BR"/>
        </w:rPr>
        <w:t>Re.: Brazil – Project 2000</w:t>
      </w:r>
    </w:p>
    <w:p>
      <w:pPr>
        <w:pStyle w:val="Normal"/>
        <w:rPr>
          <w:lang w:val="en-US" w:eastAsia="pt-BR"/>
        </w:rPr>
      </w:pPr>
      <w:r>
        <w:rPr>
          <w:lang w:val="en-US" w:eastAsia="pt-BR"/>
        </w:rPr>
      </w:r>
    </w:p>
    <w:p>
      <w:pPr>
        <w:pStyle w:val="Normal"/>
        <w:rPr>
          <w:lang w:val="en-US" w:eastAsia="pt-BR"/>
        </w:rPr>
      </w:pPr>
      <w:r>
        <w:rPr>
          <w:lang w:val="en-US" w:eastAsia="pt-BR"/>
        </w:rPr>
      </w:r>
    </w:p>
    <w:p>
      <w:pPr>
        <w:pStyle w:val="Normal"/>
        <w:rPr>
          <w:lang w:val="en-US" w:eastAsia="pt-BR"/>
        </w:rPr>
      </w:pPr>
      <w:r>
        <w:rPr>
          <w:lang w:val="en-US" w:eastAsia="pt-BR"/>
        </w:rPr>
      </w:r>
    </w:p>
    <w:p>
      <w:pPr>
        <w:pStyle w:val="Normal"/>
        <w:rPr>
          <w:lang w:val="en-US" w:eastAsia="pt-BR"/>
        </w:rPr>
      </w:pPr>
      <w:r>
        <w:rPr>
          <w:lang w:val="en-US" w:eastAsia="pt-BR"/>
        </w:rPr>
        <w:t>Dear Mr. Weiland,</w:t>
      </w:r>
    </w:p>
    <w:p>
      <w:pPr>
        <w:pStyle w:val="Normal"/>
        <w:rPr>
          <w:lang w:val="en-US" w:eastAsia="pt-BR"/>
        </w:rPr>
      </w:pPr>
      <w:r>
        <w:rPr>
          <w:lang w:val="en-US" w:eastAsia="pt-BR"/>
        </w:rPr>
      </w:r>
    </w:p>
    <w:p>
      <w:pPr>
        <w:pStyle w:val="Corpodetexto2"/>
        <w:rPr>
          <w:lang w:val="en-US"/>
        </w:rPr>
      </w:pPr>
      <w:r>
        <w:rPr>
          <w:lang w:val="en-US"/>
        </w:rPr>
        <w:t>During the weekend we identified and started to review, among the documents received from you on Friday (March 17), those which  shall be subject to our analysis.  Please find outlined below the documents which are still missing, and which we kindly request you to send to us at your earliest convenience:</w:t>
      </w:r>
    </w:p>
    <w:p>
      <w:pPr>
        <w:pStyle w:val="Normal"/>
        <w:rPr>
          <w:lang w:val="en-US" w:eastAsia="pt-BR"/>
        </w:rPr>
      </w:pPr>
      <w:r>
        <w:rPr>
          <w:lang w:val="en-US" w:eastAsia="pt-BR"/>
        </w:rPr>
      </w:r>
    </w:p>
    <w:p>
      <w:pPr>
        <w:pStyle w:val="Normal"/>
        <w:rPr>
          <w:color w:val="000000"/>
          <w:lang w:val="en-US" w:eastAsia="pt-BR"/>
        </w:rPr>
      </w:pPr>
      <w:r>
        <w:rPr>
          <w:color w:val="000000"/>
          <w:lang w:val="en-US" w:eastAsia="pt-BR"/>
        </w:rPr>
        <w:t>1. Documents related to ELEKTRO :</w:t>
      </w:r>
    </w:p>
    <w:p>
      <w:pPr>
        <w:pStyle w:val="Normal"/>
        <w:rPr>
          <w:color w:val="000000"/>
          <w:lang w:val="en-US" w:eastAsia="pt-BR"/>
        </w:rPr>
      </w:pPr>
      <w:r>
        <w:rPr>
          <w:color w:val="000000"/>
          <w:lang w:val="en-US" w:eastAsia="pt-BR"/>
        </w:rPr>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Any shareholders or other agreement with the same purposes;</w:t>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Documents related to its privatization:</w:t>
      </w:r>
    </w:p>
    <w:p>
      <w:pPr>
        <w:pStyle w:val="Normal"/>
        <w:numPr>
          <w:ilvl w:val="0"/>
          <w:numId w:val="3"/>
        </w:numPr>
        <w:tabs>
          <w:tab w:val="clear" w:pos="708"/>
          <w:tab w:val="left" w:pos="567" w:leader="none"/>
        </w:tabs>
        <w:ind w:hanging="360" w:start="644" w:end="0"/>
        <w:rPr>
          <w:color w:val="000000"/>
          <w:lang w:val="en-US" w:eastAsia="pt-BR"/>
        </w:rPr>
      </w:pPr>
      <w:r>
        <w:rPr>
          <w:color w:val="000000"/>
          <w:lang w:val="en-US" w:eastAsia="pt-BR"/>
        </w:rPr>
        <w:t xml:space="preserve">Request for Proposal (the "Edital") and all the </w:t>
      </w:r>
      <w:r>
        <w:rPr>
          <w:color w:val="FF0000"/>
          <w:u w:val="single"/>
          <w:lang w:val="en-US" w:eastAsia="pt-BR"/>
        </w:rPr>
        <w:t>Q@A</w:t>
      </w:r>
      <w:r>
        <w:rPr>
          <w:color w:val="000000"/>
          <w:lang w:val="en-US" w:eastAsia="pt-BR"/>
        </w:rPr>
        <w:t xml:space="preserve"> provided by the authorities at that time.</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2. Documents related to CEG:</w:t>
      </w:r>
    </w:p>
    <w:p>
      <w:pPr>
        <w:pStyle w:val="Normal"/>
        <w:rPr>
          <w:color w:val="000000"/>
          <w:lang w:val="en-US" w:eastAsia="pt-BR"/>
        </w:rPr>
      </w:pPr>
      <w:r>
        <w:rPr>
          <w:color w:val="000000"/>
          <w:lang w:val="en-US" w:eastAsia="pt-BR"/>
        </w:rPr>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Current by-laws;</w:t>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Any   filing with the local antitrust authorities, and any formal answer or opinion by any of such authorities.</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3. Documents related to RIOGAS:</w:t>
      </w:r>
    </w:p>
    <w:p>
      <w:pPr>
        <w:pStyle w:val="Normal"/>
        <w:rPr>
          <w:color w:val="000000"/>
          <w:lang w:val="en-US" w:eastAsia="pt-BR"/>
        </w:rPr>
      </w:pPr>
      <w:r>
        <w:rPr>
          <w:color w:val="000000"/>
          <w:lang w:val="en-US" w:eastAsia="pt-BR"/>
        </w:rPr>
      </w:r>
    </w:p>
    <w:p>
      <w:pPr>
        <w:pStyle w:val="Normal"/>
        <w:numPr>
          <w:ilvl w:val="0"/>
          <w:numId w:val="2"/>
        </w:numPr>
        <w:rPr>
          <w:color w:val="000000"/>
          <w:lang w:val="en-US" w:eastAsia="pt-BR"/>
        </w:rPr>
      </w:pPr>
      <w:r>
        <w:rPr>
          <w:color w:val="000000"/>
          <w:lang w:val="en-US" w:eastAsia="pt-BR"/>
        </w:rPr>
        <w:t>Current by-laws.</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4. Documents related to GASPART:</w:t>
      </w:r>
    </w:p>
    <w:p>
      <w:pPr>
        <w:pStyle w:val="Normal"/>
        <w:rPr>
          <w:color w:val="000000"/>
          <w:lang w:val="en-US" w:eastAsia="pt-BR"/>
        </w:rPr>
      </w:pPr>
      <w:r>
        <w:rPr>
          <w:color w:val="000000"/>
          <w:lang w:val="en-US" w:eastAsia="pt-BR"/>
        </w:rPr>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Any shareholders or other agreement with the same purposes.</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Kindly confirm if some of the above documents were not sent because they are not available, or if they simply do not exist.</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 xml:space="preserve">According to our telephone conversation with Mr. Roarke on late Friday, the documents related to EPE and GASMAT would be remitted to us today –   we suggest that the above missing documents be  added to them.  For your convenience, we outline below the documents related to EPE and GASMAT we need to analyze: </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5. Documents related to EPE:</w:t>
      </w:r>
    </w:p>
    <w:p>
      <w:pPr>
        <w:pStyle w:val="Normal"/>
        <w:rPr>
          <w:color w:val="000000"/>
          <w:lang w:val="en-US" w:eastAsia="pt-BR"/>
        </w:rPr>
      </w:pPr>
      <w:r>
        <w:rPr>
          <w:color w:val="000000"/>
          <w:lang w:val="en-US" w:eastAsia="pt-BR"/>
        </w:rPr>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Current by-laws;</w:t>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Any shareholders or other agreement with the same purposes;</w:t>
      </w:r>
    </w:p>
    <w:p>
      <w:pPr>
        <w:pStyle w:val="Normal"/>
        <w:numPr>
          <w:ilvl w:val="0"/>
          <w:numId w:val="2"/>
        </w:numPr>
        <w:rPr>
          <w:color w:val="000000"/>
          <w:lang w:val="en-US" w:eastAsia="pt-BR"/>
        </w:rPr>
      </w:pPr>
      <w:r>
        <w:rPr>
          <w:color w:val="000000"/>
          <w:lang w:val="en-US" w:eastAsia="pt-BR"/>
        </w:rPr>
        <w:t>Any   filing with the local antitrust authorities, and any formal answer or opinion by any of such authorities.</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BodyText"/>
        <w:rPr>
          <w:b w:val="false"/>
          <w:lang w:val="en-US"/>
        </w:rPr>
      </w:pPr>
      <w:r>
        <w:rPr>
          <w:b w:val="false"/>
          <w:lang w:val="en-US"/>
        </w:rPr>
        <w:t>6. Documents related to GASMAT:</w:t>
      </w:r>
    </w:p>
    <w:p>
      <w:pPr>
        <w:pStyle w:val="Normal"/>
        <w:rPr>
          <w:b/>
          <w:color w:val="000000"/>
          <w:lang w:val="en-US" w:eastAsia="pt-BR"/>
        </w:rPr>
      </w:pPr>
      <w:r>
        <w:rPr>
          <w:b/>
          <w:color w:val="000000"/>
          <w:lang w:val="en-US" w:eastAsia="pt-BR"/>
        </w:rPr>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Current by-laws;</w:t>
      </w:r>
    </w:p>
    <w:p>
      <w:pPr>
        <w:pStyle w:val="Normal"/>
        <w:numPr>
          <w:ilvl w:val="0"/>
          <w:numId w:val="3"/>
        </w:numPr>
        <w:tabs>
          <w:tab w:val="clear" w:pos="708"/>
          <w:tab w:val="left" w:pos="360" w:leader="none"/>
        </w:tabs>
        <w:ind w:hanging="360" w:start="360" w:end="0"/>
        <w:rPr>
          <w:color w:val="000000"/>
          <w:lang w:val="en-US" w:eastAsia="pt-BR"/>
        </w:rPr>
      </w:pPr>
      <w:r>
        <w:rPr>
          <w:color w:val="000000"/>
          <w:lang w:val="en-US" w:eastAsia="pt-BR"/>
        </w:rPr>
        <w:t>Any shareholders or other agreement with the same purposes;</w:t>
      </w:r>
    </w:p>
    <w:p>
      <w:pPr>
        <w:pStyle w:val="Normal"/>
        <w:numPr>
          <w:ilvl w:val="0"/>
          <w:numId w:val="2"/>
        </w:numPr>
        <w:rPr>
          <w:color w:val="000000"/>
          <w:lang w:val="en-US" w:eastAsia="pt-BR"/>
        </w:rPr>
      </w:pPr>
      <w:r>
        <w:rPr>
          <w:color w:val="000000"/>
          <w:lang w:val="en-US" w:eastAsia="pt-BR"/>
        </w:rPr>
        <w:t>Any   filing with the local antitrust authorities, and any formal answer or opinion by any of such authorities.</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In relation to the corporate charts, it is very important for us to receive the following ones:  GASPART; CUIABA POWER PLANT; CUIABA PIPELINE.</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Besides the above, we would like to clarify with you the following:</w:t>
      </w:r>
    </w:p>
    <w:p>
      <w:pPr>
        <w:pStyle w:val="Normal"/>
        <w:rPr>
          <w:color w:val="000000"/>
          <w:lang w:val="en-US" w:eastAsia="pt-BR"/>
        </w:rPr>
      </w:pPr>
      <w:r>
        <w:rPr>
          <w:color w:val="000000"/>
          <w:lang w:val="en-US" w:eastAsia="pt-BR"/>
        </w:rPr>
      </w:r>
    </w:p>
    <w:p>
      <w:pPr>
        <w:pStyle w:val="Normal"/>
        <w:numPr>
          <w:ilvl w:val="0"/>
          <w:numId w:val="1"/>
        </w:numPr>
        <w:rPr>
          <w:color w:val="000000"/>
          <w:lang w:val="en-US" w:eastAsia="pt-BR"/>
        </w:rPr>
      </w:pPr>
      <w:r>
        <w:rPr>
          <w:color w:val="000000"/>
          <w:lang w:val="en-US" w:eastAsia="pt-BR"/>
        </w:rPr>
        <w:t>Is “DUTOGÁS” to be considered in the scope of our analysis ?</w:t>
      </w:r>
    </w:p>
    <w:p>
      <w:pPr>
        <w:pStyle w:val="Normal"/>
        <w:numPr>
          <w:ilvl w:val="0"/>
          <w:numId w:val="1"/>
        </w:numPr>
        <w:rPr>
          <w:color w:val="000000"/>
          <w:lang w:val="en-US" w:eastAsia="pt-BR"/>
        </w:rPr>
      </w:pPr>
      <w:r>
        <w:rPr>
          <w:color w:val="000000"/>
          <w:lang w:val="en-US" w:eastAsia="pt-BR"/>
        </w:rPr>
        <w:t>The chart mentioning CEG/RIOGÁS is related to RIOGÁS, solely ? Please note that there is a separate chart for CEG.</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 xml:space="preserve">Finally, kindly consider  that, although we are doing our best efforts in relation to this Project, we are still to receive documents for our review – thus, we deem it  impossible to achieve the term you established (March 22).    If the documents are sent to us today and arrive in the maximum of two days, we believe we will be able to present the result of our analysis to you by the end of this week.  </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Please do not hesitate to contact us should you need any clarification in relation to the above.</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t>Sincerely,</w:t>
      </w:r>
    </w:p>
    <w:p>
      <w:pPr>
        <w:pStyle w:val="Normal"/>
        <w:rPr>
          <w:color w:val="000000"/>
          <w:lang w:val="en-US" w:eastAsia="pt-BR"/>
        </w:rPr>
      </w:pPr>
      <w:r>
        <w:rPr>
          <w:color w:val="000000"/>
          <w:lang w:val="en-US" w:eastAsia="pt-BR"/>
        </w:rPr>
        <w:t>Maria Elisa Gualandi Verri</w:t>
      </w:r>
    </w:p>
    <w:p>
      <w:pPr>
        <w:pStyle w:val="Normal"/>
        <w:rPr>
          <w:color w:val="000000"/>
          <w:lang w:val="en-US" w:eastAsia="pt-BR"/>
        </w:rPr>
      </w:pPr>
      <w:r>
        <w:rPr>
          <w:color w:val="000000"/>
          <w:lang w:val="en-US" w:eastAsia="pt-BR"/>
        </w:rPr>
        <w:t>Tozzini, Freire, Teixeira e Silva Advogados</w:t>
      </w:r>
    </w:p>
    <w:p>
      <w:pPr>
        <w:pStyle w:val="Normal"/>
        <w:rPr>
          <w:color w:val="000000"/>
          <w:lang w:val="en-US" w:eastAsia="pt-BR"/>
        </w:rPr>
      </w:pPr>
      <w:r>
        <w:rPr>
          <w:color w:val="000000"/>
          <w:lang w:val="en-US" w:eastAsia="pt-BR"/>
        </w:rPr>
        <w:t xml:space="preserve">e-mail: </w:t>
      </w:r>
      <w:r>
        <w:rPr>
          <w:color w:val="FF0000"/>
          <w:u w:val="single"/>
          <w:lang w:val="en-US" w:eastAsia="pt-BR"/>
        </w:rPr>
        <w:t>meg@tozzini.com.br</w:t>
      </w:r>
    </w:p>
    <w:p>
      <w:pPr>
        <w:pStyle w:val="Normal"/>
        <w:rPr>
          <w:color w:val="000000"/>
          <w:lang w:val="en-US" w:eastAsia="pt-BR"/>
        </w:rPr>
      </w:pPr>
      <w:r>
        <w:rPr>
          <w:color w:val="000000"/>
          <w:lang w:val="en-US" w:eastAsia="pt-BR"/>
        </w:rPr>
        <w:t>Telephone 55-11-2322100</w:t>
      </w:r>
    </w:p>
    <w:p>
      <w:pPr>
        <w:pStyle w:val="Normal"/>
        <w:rPr>
          <w:color w:val="000000"/>
          <w:lang w:val="en-US" w:eastAsia="pt-BR"/>
        </w:rPr>
      </w:pPr>
      <w:r>
        <w:rPr>
          <w:color w:val="000000"/>
          <w:lang w:val="en-US" w:eastAsia="pt-BR"/>
        </w:rPr>
        <w:t>Telecopier 55-11-2323100</w:t>
      </w:r>
    </w:p>
    <w:p>
      <w:pPr>
        <w:pStyle w:val="Normal"/>
        <w:rPr>
          <w:color w:val="000000"/>
          <w:lang w:val="en-US" w:eastAsia="pt-BR"/>
        </w:rPr>
      </w:pPr>
      <w:r>
        <w:rPr>
          <w:color w:val="000000"/>
          <w:lang w:val="en-US" w:eastAsia="pt-BR"/>
        </w:rPr>
        <w:t>___________________________________________</w:t>
      </w:r>
    </w:p>
    <w:p>
      <w:pPr>
        <w:pStyle w:val="Normal"/>
        <w:rPr>
          <w:color w:val="000000"/>
          <w:lang w:val="en-US" w:eastAsia="pt-BR"/>
        </w:rPr>
      </w:pPr>
      <w:r>
        <w:rPr>
          <w:color w:val="000000"/>
          <w:lang w:val="en-US" w:eastAsia="pt-BR"/>
        </w:rPr>
        <w:t>Warning</w:t>
      </w:r>
    </w:p>
    <w:p>
      <w:pPr>
        <w:pStyle w:val="Normal"/>
        <w:rPr>
          <w:color w:val="000000"/>
          <w:lang w:val="en-US" w:eastAsia="pt-BR"/>
        </w:rPr>
      </w:pPr>
      <w:r>
        <w:rPr>
          <w:color w:val="000000"/>
          <w:lang w:val="en-US" w:eastAsia="pt-BR"/>
        </w:rPr>
        <w:t>This message may contain confidential material. If you have received it by mistake please let us know and then destroy it; do not copy this message or disclose its contents to anyone. Thank you.</w:t>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p>
      <w:pPr>
        <w:pStyle w:val="Normal"/>
        <w:rPr>
          <w:color w:val="000000"/>
          <w:lang w:val="en-US" w:eastAsia="pt-BR"/>
        </w:rPr>
      </w:pPr>
      <w:r>
        <w:rPr>
          <w:color w:val="000000"/>
          <w:lang w:val="en-US" w:eastAsia="pt-BR"/>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0" w:hanging="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character" w:styleId="WW8Num2z0">
    <w:name w:val="WW8Num2z0"/>
    <w:qFormat/>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Fontepargpadro">
    <w:name w:val="Fonte parág. padrão"/>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000000"/>
      <w:lang w:eastAsia="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rpodetexto2">
    <w:name w:val="Corpo de texto 2"/>
    <w:basedOn w:val="Normal"/>
    <w:qFormat/>
    <w:pPr>
      <w:jc w:val="both"/>
    </w:pPr>
    <w:rPr>
      <w:lang w:eastAsia="pt-B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2000-03-20T12:02:00Z</dcterms:created>
  <dc:creator>TFTS</dc:creator>
  <dc:description/>
  <dc:language>en-CA</dc:language>
  <cp:lastModifiedBy>TFTS</cp:lastModifiedBy>
  <dcterms:modified xsi:type="dcterms:W3CDTF">2000-03-20T12:51:00Z</dcterms:modified>
  <cp:revision>4</cp:revision>
  <dc:subject/>
  <dc:title>March 17, 2000</dc:title>
</cp:coreProperties>
</file>