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r>
    </w:p>
    <w:p>
      <w:pPr>
        <w:pStyle w:val="Heading"/>
        <w:jc w:val="start"/>
        <w:rPr>
          <w:sz w:val="32"/>
        </w:rPr>
      </w:pPr>
      <w:r>
        <w:rPr>
          <w:sz w:val="32"/>
        </w:rPr>
      </w:r>
    </w:p>
    <w:p>
      <w:pPr>
        <w:pStyle w:val="Heading"/>
        <w:jc w:val="start"/>
        <w:rPr>
          <w:sz w:val="32"/>
        </w:rPr>
      </w:pPr>
      <w:r>
        <w:rPr>
          <w:sz w:val="32"/>
        </w:rPr>
      </w:r>
    </w:p>
    <w:p>
      <w:pPr>
        <w:pStyle w:val="Heading"/>
        <w:jc w:val="start"/>
        <w:rPr>
          <w:sz w:val="32"/>
        </w:rPr>
      </w:pPr>
      <w:r>
        <w:rPr>
          <w:sz w:val="32"/>
        </w:rPr>
      </w:r>
    </w:p>
    <w:p>
      <w:pPr>
        <w:pStyle w:val="Heading"/>
        <w:jc w:val="start"/>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t xml:space="preserve">AGREEMENT </w:t>
      </w:r>
    </w:p>
    <w:p>
      <w:pPr>
        <w:pStyle w:val="Heading"/>
        <w:rPr>
          <w:sz w:val="32"/>
        </w:rPr>
      </w:pPr>
      <w:r>
        <w:rPr>
          <w:sz w:val="32"/>
        </w:rPr>
      </w:r>
    </w:p>
    <w:p>
      <w:pPr>
        <w:pStyle w:val="Heading"/>
        <w:rPr>
          <w:sz w:val="32"/>
        </w:rPr>
      </w:pPr>
      <w:r>
        <w:rPr>
          <w:sz w:val="32"/>
        </w:rPr>
        <w:t xml:space="preserve">FOR </w:t>
      </w:r>
    </w:p>
    <w:p>
      <w:pPr>
        <w:pStyle w:val="Heading"/>
        <w:rPr>
          <w:sz w:val="32"/>
        </w:rPr>
      </w:pPr>
      <w:r>
        <w:rPr>
          <w:sz w:val="32"/>
        </w:rPr>
      </w:r>
    </w:p>
    <w:p>
      <w:pPr>
        <w:pStyle w:val="Heading"/>
        <w:rPr>
          <w:sz w:val="32"/>
        </w:rPr>
      </w:pPr>
      <w:r>
        <w:rPr>
          <w:sz w:val="32"/>
        </w:rPr>
        <w:t>COAL HAULING</w:t>
      </w:r>
    </w:p>
    <w:p>
      <w:pPr>
        <w:pStyle w:val="Heading"/>
        <w:rPr>
          <w:sz w:val="32"/>
        </w:rPr>
      </w:pPr>
      <w:r>
        <w:rPr>
          <w:sz w:val="32"/>
        </w:rPr>
      </w:r>
    </w:p>
    <w:p>
      <w:pPr>
        <w:pStyle w:val="Heading"/>
        <w:rPr>
          <w:sz w:val="32"/>
        </w:rPr>
      </w:pPr>
      <w:r>
        <w:rPr>
          <w:sz w:val="32"/>
        </w:rPr>
        <w:t xml:space="preserve">FOR </w:t>
      </w:r>
    </w:p>
    <w:p>
      <w:pPr>
        <w:pStyle w:val="Heading"/>
        <w:rPr>
          <w:sz w:val="32"/>
        </w:rPr>
      </w:pPr>
      <w:r>
        <w:rPr>
          <w:sz w:val="32"/>
        </w:rPr>
      </w:r>
    </w:p>
    <w:p>
      <w:pPr>
        <w:pStyle w:val="Heading"/>
        <w:rPr>
          <w:sz w:val="32"/>
        </w:rPr>
      </w:pPr>
      <w:r>
        <w:rPr>
          <w:sz w:val="32"/>
        </w:rPr>
        <w:t>ENRON  NORTH AMERICA CORP.</w:t>
      </w:r>
    </w:p>
    <w:p>
      <w:pPr>
        <w:pStyle w:val="Heading"/>
        <w:rPr>
          <w:sz w:val="32"/>
        </w:rPr>
      </w:pPr>
      <w:r>
        <w:rPr>
          <w:sz w:val="32"/>
        </w:rPr>
      </w:r>
    </w:p>
    <w:p>
      <w:pPr>
        <w:pStyle w:val="Heading"/>
        <w:rPr>
          <w:sz w:val="32"/>
        </w:rPr>
      </w:pPr>
      <w:r>
        <w:rPr>
          <w:sz w:val="32"/>
        </w:rPr>
        <w:t>ELIZABETHTOWN, NORTH CAROLINA</w:t>
      </w:r>
    </w:p>
    <w:p>
      <w:pPr>
        <w:pStyle w:val="Heading"/>
        <w:rPr>
          <w:sz w:val="32"/>
        </w:rPr>
      </w:pPr>
      <w:r>
        <w:rPr>
          <w:sz w:val="32"/>
        </w:rPr>
      </w:r>
    </w:p>
    <w:p>
      <w:pPr>
        <w:pStyle w:val="Heading"/>
        <w:rPr>
          <w:sz w:val="32"/>
        </w:rPr>
      </w:pPr>
      <w:r>
        <w:rPr>
          <w:sz w:val="32"/>
        </w:rPr>
        <w:t>DRAFT CONTRACT</w:t>
      </w:r>
    </w:p>
    <w:p>
      <w:pPr>
        <w:pStyle w:val="Heading"/>
        <w:rPr>
          <w:sz w:val="32"/>
        </w:rPr>
      </w:pPr>
      <w:r>
        <w:rPr>
          <w:sz w:val="32"/>
        </w:rPr>
      </w:r>
    </w:p>
    <w:p>
      <w:pPr>
        <w:pStyle w:val="Heading"/>
        <w:rPr>
          <w:sz w:val="32"/>
        </w:rPr>
      </w:pPr>
      <w:r>
        <w:rPr>
          <w:sz w:val="32"/>
        </w:rPr>
        <w:t>JANUARY 8, 2001</w:t>
      </w:r>
    </w:p>
    <w:p>
      <w:pPr>
        <w:pStyle w:val="Heading"/>
        <w:rPr>
          <w:sz w:val="32"/>
        </w:rPr>
      </w:pPr>
      <w:r>
        <w:rPr>
          <w:sz w:val="32"/>
        </w:rPr>
      </w:r>
    </w:p>
    <w:p>
      <w:pPr>
        <w:pStyle w:val="Heading"/>
        <w:rPr>
          <w:sz w:val="32"/>
        </w:rPr>
      </w:pPr>
      <w:r>
        <w:rPr>
          <w:sz w:val="32"/>
        </w:rPr>
        <w:t>PAGES 1 – 12</w:t>
      </w:r>
      <w:r>
        <w:br w:type="page"/>
      </w:r>
    </w:p>
    <w:p>
      <w:pPr>
        <w:pStyle w:val="Heading"/>
        <w:rPr/>
      </w:pPr>
      <w:r>
        <w:rPr/>
        <w:t xml:space="preserve">AGREEMENT </w:t>
      </w:r>
    </w:p>
    <w:p>
      <w:pPr>
        <w:pStyle w:val="Heading"/>
        <w:rPr/>
      </w:pPr>
      <w:r>
        <w:rPr/>
        <w:t xml:space="preserve">FOR </w:t>
      </w:r>
    </w:p>
    <w:p>
      <w:pPr>
        <w:pStyle w:val="Heading"/>
        <w:rPr/>
      </w:pPr>
      <w:r>
        <w:rPr/>
        <w:t>COAL HAULING</w:t>
      </w:r>
    </w:p>
    <w:p>
      <w:pPr>
        <w:pStyle w:val="Heading"/>
        <w:rPr/>
      </w:pPr>
      <w:r>
        <w:rPr/>
        <w:t xml:space="preserve">FOR </w:t>
      </w:r>
    </w:p>
    <w:p>
      <w:pPr>
        <w:pStyle w:val="Heading"/>
        <w:rPr/>
      </w:pPr>
      <w:r>
        <w:rPr/>
        <w:t>ENRON NORTH AMERICA CORP.</w:t>
      </w:r>
    </w:p>
    <w:p>
      <w:pPr>
        <w:pStyle w:val="Normal"/>
        <w:jc w:val="center"/>
        <w:rPr>
          <w:b/>
        </w:rPr>
      </w:pPr>
      <w:r>
        <w:rPr>
          <w:b/>
        </w:rPr>
        <w:t>ELIZABETHTOWN, NORTH CAROLINA</w:t>
      </w:r>
    </w:p>
    <w:p>
      <w:pPr>
        <w:pStyle w:val="Normal"/>
        <w:jc w:val="center"/>
        <w:rPr>
          <w:b/>
        </w:rPr>
      </w:pPr>
      <w:r>
        <w:rPr>
          <w:b/>
        </w:rPr>
      </w:r>
    </w:p>
    <w:p>
      <w:pPr>
        <w:pStyle w:val="BodyTextIndent3"/>
        <w:rPr/>
      </w:pPr>
      <w:r>
        <w:rPr/>
        <w:t>THIS AGREEMENT (the “Agreement”) entered into as of the ______ day of ________, 2001 by and between ENRON NORTH AMERICA CORP, a Texas Corporation with its principal office in Houston, Texas (hereinafter referred to as “ENRON”), and REUSE TECHNOLOGY, INC., a North Carolina corporation, with its principal office in Woodstock, Georgia (hereinafter referred to as “RT”).</w:t>
      </w:r>
    </w:p>
    <w:p>
      <w:pPr>
        <w:pStyle w:val="Normal"/>
        <w:jc w:val="both"/>
        <w:rPr/>
      </w:pPr>
      <w:r>
        <w:rPr/>
      </w:r>
    </w:p>
    <w:p>
      <w:pPr>
        <w:pStyle w:val="Normal"/>
        <w:ind w:start="720" w:end="0"/>
        <w:jc w:val="both"/>
        <w:rPr/>
      </w:pPr>
      <w:r>
        <w:rPr>
          <w:b/>
        </w:rPr>
        <w:t>WHEREAS</w:t>
      </w:r>
      <w:r>
        <w:rPr/>
        <w:t>, ENRON owns and operates a 35 megawatt coal-fired cogeneration</w:t>
      </w:r>
    </w:p>
    <w:p>
      <w:pPr>
        <w:pStyle w:val="Normal"/>
        <w:jc w:val="both"/>
        <w:rPr/>
      </w:pPr>
      <w:r>
        <w:rPr/>
        <w:t>plant at Lumberton, North Carolina (the “Facility”) and purchases coal for the operation of the Facility.</w:t>
      </w:r>
    </w:p>
    <w:p>
      <w:pPr>
        <w:pStyle w:val="Normal"/>
        <w:ind w:start="720" w:end="0"/>
        <w:jc w:val="both"/>
        <w:rPr/>
      </w:pPr>
      <w:r>
        <w:rPr/>
      </w:r>
    </w:p>
    <w:p>
      <w:pPr>
        <w:pStyle w:val="Normal"/>
        <w:ind w:start="720" w:end="0"/>
        <w:jc w:val="both"/>
        <w:rPr/>
      </w:pPr>
      <w:r>
        <w:rPr>
          <w:b/>
        </w:rPr>
        <w:t>WHEREAS,</w:t>
      </w:r>
      <w:r>
        <w:rPr/>
        <w:t xml:space="preserve"> RT desires to receive and unload railroad shipments of coal for the </w:t>
      </w:r>
    </w:p>
    <w:p>
      <w:pPr>
        <w:pStyle w:val="Normal"/>
        <w:jc w:val="both"/>
        <w:rPr/>
      </w:pPr>
      <w:r>
        <w:rPr/>
        <w:t>Facility and provide a system for the handling and transportation of such coal to the Facility after it is unloaded from railroad cars at the ENRON owned coal transfer facility (the “Station”) located in Lumberton, North Carolina.</w:t>
      </w:r>
    </w:p>
    <w:p>
      <w:pPr>
        <w:pStyle w:val="Normal"/>
        <w:jc w:val="both"/>
        <w:rPr/>
      </w:pPr>
      <w:r>
        <w:rPr/>
      </w:r>
    </w:p>
    <w:p>
      <w:pPr>
        <w:pStyle w:val="Normal"/>
        <w:ind w:start="720" w:end="0"/>
        <w:jc w:val="both"/>
        <w:rPr/>
      </w:pPr>
      <w:r>
        <w:rPr>
          <w:b/>
        </w:rPr>
        <w:t>WHEREAS,</w:t>
      </w:r>
      <w:r>
        <w:rPr/>
        <w:t xml:space="preserve"> ENRON desires to engage and hire RT to unload railroad cars of </w:t>
      </w:r>
    </w:p>
    <w:p>
      <w:pPr>
        <w:pStyle w:val="Normal"/>
        <w:jc w:val="both"/>
        <w:rPr/>
      </w:pPr>
      <w:r>
        <w:rPr/>
        <w:t xml:space="preserve">coal purchased by ENRON for the operation of the Facility and to deliver such coal to the Facility from the Station. </w:t>
      </w:r>
    </w:p>
    <w:p>
      <w:pPr>
        <w:pStyle w:val="Normal"/>
        <w:jc w:val="both"/>
        <w:rPr/>
      </w:pPr>
      <w:r>
        <w:rPr/>
      </w:r>
    </w:p>
    <w:p>
      <w:pPr>
        <w:pStyle w:val="Normal"/>
        <w:jc w:val="both"/>
        <w:rPr/>
      </w:pPr>
      <w:r>
        <w:rPr/>
        <w:tab/>
      </w:r>
      <w:r>
        <w:rPr>
          <w:b/>
        </w:rPr>
        <w:t>NOW, THEREFORE,</w:t>
      </w:r>
      <w:r>
        <w:rPr/>
        <w:t xml:space="preserve"> in consideration of the premises and other good and valuable consideration, the receipt and sufficiency of which is hereby acknowledged, the parties hereto agree as follows:</w:t>
      </w:r>
    </w:p>
    <w:p>
      <w:pPr>
        <w:pStyle w:val="Normal"/>
        <w:jc w:val="both"/>
        <w:rPr/>
      </w:pPr>
      <w:r>
        <w:rPr/>
      </w:r>
    </w:p>
    <w:p>
      <w:pPr>
        <w:pStyle w:val="Normal"/>
        <w:ind w:firstLine="720" w:end="0"/>
        <w:jc w:val="both"/>
        <w:rPr/>
      </w:pPr>
      <w:r>
        <w:rPr>
          <w:b/>
        </w:rPr>
        <w:t>1.</w:t>
        <w:tab/>
        <w:t xml:space="preserve"> </w:t>
      </w:r>
      <w:r>
        <w:rPr>
          <w:b/>
          <w:u w:val="single"/>
        </w:rPr>
        <w:t>Definitions</w:t>
      </w:r>
    </w:p>
    <w:p>
      <w:pPr>
        <w:pStyle w:val="Normal"/>
        <w:ind w:start="720" w:end="0"/>
        <w:jc w:val="both"/>
        <w:rPr>
          <w:b/>
          <w:u w:val="single"/>
        </w:rPr>
      </w:pPr>
      <w:r>
        <w:rPr>
          <w:b/>
          <w:u w:val="single"/>
        </w:rPr>
      </w:r>
    </w:p>
    <w:p>
      <w:pPr>
        <w:pStyle w:val="BodyTextIndent2"/>
        <w:rPr/>
      </w:pPr>
      <w:r>
        <w:rPr/>
        <w:t xml:space="preserve">For the purposes of this Agreement, the following terms shall have the following </w:t>
      </w:r>
    </w:p>
    <w:p>
      <w:pPr>
        <w:pStyle w:val="BodyTextIndent2"/>
        <w:ind w:start="0" w:end="0"/>
        <w:rPr/>
      </w:pPr>
      <w:r>
        <w:rPr/>
        <w:t>meanings:</w:t>
      </w:r>
    </w:p>
    <w:p>
      <w:pPr>
        <w:pStyle w:val="Normal"/>
        <w:ind w:start="720" w:end="0"/>
        <w:jc w:val="both"/>
        <w:rPr/>
      </w:pPr>
      <w:r>
        <w:rPr/>
      </w:r>
    </w:p>
    <w:p>
      <w:pPr>
        <w:pStyle w:val="Normal"/>
        <w:ind w:firstLine="720" w:start="720" w:end="0"/>
        <w:jc w:val="both"/>
        <w:rPr/>
      </w:pPr>
      <w:r>
        <w:rPr/>
        <w:t>(a)</w:t>
        <w:tab/>
        <w:t xml:space="preserve">“coal” shall mean the type of fuel used by the Facility.  </w:t>
      </w:r>
    </w:p>
    <w:p>
      <w:pPr>
        <w:pStyle w:val="Normal"/>
        <w:ind w:firstLine="720" w:end="0"/>
        <w:rPr/>
      </w:pPr>
      <w:r>
        <w:rPr/>
        <w:t xml:space="preserve">            </w:t>
      </w:r>
    </w:p>
    <w:p>
      <w:pPr>
        <w:pStyle w:val="Normal"/>
        <w:ind w:firstLine="720" w:end="0"/>
        <w:rPr/>
      </w:pPr>
      <w:r>
        <w:rPr/>
        <w:t xml:space="preserve">            </w:t>
      </w:r>
      <w:r>
        <w:rPr/>
        <w:t>(b)</w:t>
        <w:tab/>
        <w:t>“Level 1 Capacity” shall mean any period whereby ENRON designates a 0 to 36,000 ton annual coal usage at which level annual Ash production will not exceed 4,600 tons.  Level 1 Capacity will commence on the Effective Date of contract and end on the date a Level 2 Capacity or Level 3 Capacity begins, which period shall not commence until one (1) year after the Effective Date of this contract.</w:t>
      </w:r>
    </w:p>
    <w:p>
      <w:pPr>
        <w:pStyle w:val="Normal"/>
        <w:spacing w:before="240" w:after="0"/>
        <w:ind w:firstLine="720" w:end="0"/>
        <w:rPr/>
      </w:pPr>
      <w:r>
        <w:rPr/>
        <w:t xml:space="preserve">            </w:t>
      </w:r>
      <w:r>
        <w:rPr/>
        <w:t>(c)</w:t>
        <w:tab/>
        <w:t>“Level 2 Capacity” shall mean any period whereby ENRON designates a 36,001 to 63,000 ton annual coal usage at which level annual Ash production will not exceed 8,500 tons.  Level 2 Capacity will commence at any time after January 2002 whereas ENRON shall designate.  Pricing Level and a Pricing Period provided, however, that ENRON may not elect a lower Pricing Level prior to two (2) years following the date of an election of a higher Pricing Level; and provided further ENRON shall not elect to change for Level 1 Capacity until one (1) year following the date hereof this contract.  Such election must be based on reasonable assumptions and be prepared in good faith by ENRON on the basis of sound operation planning practice.  The Pricing Level and Pricing Period so specified by ENRON shall become effective for Coal Hauling Services performed on and after the first (1</w:t>
      </w:r>
      <w:r>
        <w:rPr>
          <w:vertAlign w:val="superscript"/>
        </w:rPr>
        <w:t>st</w:t>
      </w:r>
      <w:r>
        <w:rPr/>
        <w:t>) day of the first (1</w:t>
      </w:r>
      <w:r>
        <w:rPr>
          <w:vertAlign w:val="superscript"/>
        </w:rPr>
        <w:t>st</w:t>
      </w:r>
      <w:r>
        <w:rPr/>
        <w:t xml:space="preserve">) month following thirty (30) days after receipt by RT of such election.   </w:t>
      </w:r>
    </w:p>
    <w:p>
      <w:pPr>
        <w:pStyle w:val="Normal"/>
        <w:spacing w:before="240" w:after="0"/>
        <w:ind w:firstLine="720" w:end="0"/>
        <w:rPr/>
      </w:pPr>
      <w:r>
        <w:rPr/>
        <w:t xml:space="preserve">            </w:t>
      </w:r>
      <w:r>
        <w:rPr/>
        <w:t>(d)</w:t>
        <w:tab/>
        <w:t>“Level 3 Capacity” shall mean any period whereby ENRON designates a 63,001 to 127,000 ton annual coal usage at which level annual Ash production will not exceed 15,250 tons.  Level 3 Capacity will commence at any time after January 2002 whereas ENRON shall designate a Pricing Level and a Pricing Period provided, however, that ENRON may not elect a lower Pricing Level prior to two (2) years following the date of an election of a higher Pricing Level; and provided further ENRON shall not elect to change from Level 2 Capacity until one (1) year following the date hereof this contract.  Such election mush be based on reasonable assumptions and be prepared in good faith by ENRON on the basis of sound operation planning practice.  The Pricing Level and Pricing Period so specified by ENRON shall become effective for Coal Hauling Services performed on and after the first (1</w:t>
      </w:r>
      <w:r>
        <w:rPr>
          <w:vertAlign w:val="superscript"/>
        </w:rPr>
        <w:t>st</w:t>
      </w:r>
      <w:r>
        <w:rPr/>
        <w:t>) day of the first (1</w:t>
      </w:r>
      <w:r>
        <w:rPr>
          <w:vertAlign w:val="superscript"/>
        </w:rPr>
        <w:t>st</w:t>
      </w:r>
      <w:r>
        <w:rPr/>
        <w:t xml:space="preserve">) month following thirty (30) days after receipt by RT of such election.  </w:t>
      </w:r>
    </w:p>
    <w:p>
      <w:pPr>
        <w:pStyle w:val="Normal"/>
        <w:ind w:start="1440" w:end="0"/>
        <w:jc w:val="both"/>
        <w:rPr/>
      </w:pPr>
      <w:r>
        <w:rPr/>
      </w:r>
    </w:p>
    <w:p>
      <w:pPr>
        <w:pStyle w:val="Normal"/>
        <w:jc w:val="both"/>
        <w:rPr/>
      </w:pPr>
      <w:r>
        <w:rPr/>
        <w:tab/>
      </w:r>
      <w:r>
        <w:rPr>
          <w:b/>
        </w:rPr>
        <w:t xml:space="preserve">2. </w:t>
        <w:tab/>
      </w:r>
      <w:r>
        <w:rPr>
          <w:b/>
          <w:u w:val="single"/>
        </w:rPr>
        <w:t>Term</w:t>
      </w:r>
      <w:r>
        <w:rPr/>
        <w:t xml:space="preserve"> </w:t>
      </w:r>
    </w:p>
    <w:p>
      <w:pPr>
        <w:pStyle w:val="Normal"/>
        <w:ind w:start="1440" w:end="0"/>
        <w:jc w:val="both"/>
        <w:rPr/>
      </w:pPr>
      <w:r>
        <w:rPr/>
      </w:r>
    </w:p>
    <w:p>
      <w:pPr>
        <w:pStyle w:val="Normal"/>
        <w:ind w:start="1440" w:end="0"/>
        <w:jc w:val="both"/>
        <w:rPr/>
      </w:pPr>
      <w:r>
        <w:rPr/>
        <w:t xml:space="preserve"> </w:t>
      </w:r>
      <w:r>
        <w:rPr/>
        <w:t>This Agreement shall commence as of the date hereof and continue</w:t>
      </w:r>
    </w:p>
    <w:p>
      <w:pPr>
        <w:pStyle w:val="Normal"/>
        <w:jc w:val="both"/>
        <w:rPr/>
      </w:pPr>
      <w:r>
        <w:rPr/>
        <w:t xml:space="preserve">through </w:t>
      </w:r>
      <w:r>
        <w:rPr>
          <w:u w:val="single"/>
        </w:rPr>
        <w:tab/>
        <w:tab/>
        <w:tab/>
      </w:r>
      <w:r>
        <w:rPr/>
        <w:t>.  Unless either party shall give written notice to the other party of its intent to terminate at the end of such term, which notice shall be delivered to the other party no later than one hundred eighty (180) days prior to the expiration date of the initial term or any renewal term hereof, this Agreement shall be automatically extended for up to two (2) additional terms of six (6) years each.</w:t>
      </w:r>
    </w:p>
    <w:p>
      <w:pPr>
        <w:pStyle w:val="Normal"/>
        <w:ind w:start="1440" w:end="0"/>
        <w:jc w:val="both"/>
        <w:rPr/>
      </w:pPr>
      <w:r>
        <w:rPr/>
      </w:r>
    </w:p>
    <w:p>
      <w:pPr>
        <w:pStyle w:val="Normal"/>
        <w:ind w:firstLine="720" w:end="0"/>
        <w:jc w:val="both"/>
        <w:rPr/>
      </w:pPr>
      <w:r>
        <w:rPr>
          <w:b/>
        </w:rPr>
        <w:t>3.</w:t>
        <w:tab/>
      </w:r>
      <w:r>
        <w:rPr>
          <w:b/>
          <w:u w:val="single"/>
        </w:rPr>
        <w:t>Quantity</w:t>
      </w:r>
    </w:p>
    <w:p>
      <w:pPr>
        <w:pStyle w:val="Normal"/>
        <w:ind w:firstLine="720" w:end="0"/>
        <w:jc w:val="both"/>
        <w:rPr/>
      </w:pPr>
      <w:r>
        <w:rPr/>
      </w:r>
    </w:p>
    <w:p>
      <w:pPr>
        <w:pStyle w:val="BodyTextIndent"/>
        <w:rPr/>
      </w:pPr>
      <w:r>
        <w:rPr/>
        <w:t xml:space="preserve">  </w:t>
      </w:r>
      <w:r>
        <w:rPr/>
        <w:t xml:space="preserve">ENRON grants and RT accepts the exclusive right to receive and unload all railroad shipments of coal at the Station and to deliver such coal to the Facility. </w:t>
      </w:r>
    </w:p>
    <w:p>
      <w:pPr>
        <w:pStyle w:val="BodyTextIndent"/>
        <w:rPr/>
      </w:pPr>
      <w:r>
        <w:rPr/>
      </w:r>
    </w:p>
    <w:p>
      <w:pPr>
        <w:pStyle w:val="BodyTextIndent"/>
        <w:rPr/>
      </w:pPr>
      <w:r>
        <w:rPr/>
        <w:t xml:space="preserve"> </w:t>
      </w:r>
      <w:r>
        <w:rPr/>
        <w:t>It is specifically understood and agreed that the provisions of this Section are subject to the force majeure provisions of Article IV hereof and shall be null and void and of no effect during any period when, as the result of a force majeure contingency, rail shipments of coal to the Station are not possible.</w:t>
      </w:r>
    </w:p>
    <w:p>
      <w:pPr>
        <w:pStyle w:val="Normal"/>
        <w:jc w:val="both"/>
        <w:rPr/>
      </w:pPr>
      <w:r>
        <w:rPr/>
      </w:r>
    </w:p>
    <w:p>
      <w:pPr>
        <w:pStyle w:val="Normal"/>
        <w:jc w:val="both"/>
        <w:rPr/>
      </w:pPr>
      <w:r>
        <w:rPr/>
        <w:tab/>
        <w:t xml:space="preserve">At the time of contract execution, ENRON expects to burn quantities of coal within the Level 1 Capacity per year.  However, the parties agree that actual quantities may vary significantly due to actual operating levels of the Facility.  </w:t>
      </w:r>
    </w:p>
    <w:p>
      <w:pPr>
        <w:pStyle w:val="Normal"/>
        <w:jc w:val="both"/>
        <w:rPr/>
      </w:pPr>
      <w:r>
        <w:rPr/>
      </w:r>
    </w:p>
    <w:p>
      <w:pPr>
        <w:pStyle w:val="Normal"/>
        <w:jc w:val="both"/>
        <w:rPr/>
      </w:pPr>
      <w:r>
        <w:rPr/>
        <w:tab/>
        <w:t xml:space="preserve">(a) </w:t>
        <w:tab/>
        <w:t>Coal to be handled and transported by RT pursuant to the terms of this Agreement will be shipped to the Station by rail. ENRON shall pay all freight charges and other charges applicable to shipment of the coal to the Station and shall bear the risk of loss of each shipment until the railroad cars are under the control of RT at the Station.  Thereafter, RT will pay all freight and other transportation charges for the delivery of coal from the Station to the Facility and will bear the risk of loss with respect to the coal until it is unloaded at the Facility.  Demurrage or other freight penalties incurred by reason of failure to comply with appropriate procedures, regulations or the provisions of the tariffs applicable to shipments, shall be borne by the party at fault.  Promptly after receipt of a shipment of coal at the Station RT shall mail to ENRON a notice of receipt of the shipment which shall include pertinent information about such shipment as mutually agreed to by ENRON and RT from time to time.  The gross weight of coal handled by RT hereunder shall be established by weight tickets generated at the Facility by ENRON (pursuant to weighing conducted on accurate scales by customary procedures) or by the rail carrier’s bill of lading or waybill, as ENRON may choose in its sole discretion.</w:t>
      </w:r>
    </w:p>
    <w:p>
      <w:pPr>
        <w:pStyle w:val="Normal"/>
        <w:jc w:val="both"/>
        <w:rPr/>
      </w:pPr>
      <w:r>
        <w:rPr/>
        <w:tab/>
      </w:r>
    </w:p>
    <w:p>
      <w:pPr>
        <w:pStyle w:val="Normal"/>
        <w:ind w:firstLine="720" w:end="0"/>
        <w:jc w:val="both"/>
        <w:rPr/>
      </w:pPr>
      <w:r>
        <w:rPr>
          <w:b/>
        </w:rPr>
        <w:t>4.</w:t>
        <w:tab/>
      </w:r>
      <w:r>
        <w:rPr>
          <w:b/>
          <w:u w:val="single"/>
        </w:rPr>
        <w:t>Removal of Coal</w:t>
      </w:r>
      <w:r>
        <w:rPr/>
        <w:tab/>
      </w:r>
    </w:p>
    <w:p>
      <w:pPr>
        <w:pStyle w:val="Normal"/>
        <w:jc w:val="both"/>
        <w:rPr/>
      </w:pPr>
      <w:r>
        <w:rPr/>
      </w:r>
    </w:p>
    <w:p>
      <w:pPr>
        <w:pStyle w:val="Normal"/>
        <w:jc w:val="both"/>
        <w:rPr/>
      </w:pPr>
      <w:r>
        <w:rPr/>
        <w:t xml:space="preserve"> </w:t>
      </w:r>
      <w:r>
        <w:rPr/>
        <w:tab/>
        <w:t xml:space="preserve">RT will receive and unload railroad cars of coal at the coal handling facilities located in Lumberton, North Carolina owned and maintained by ENRON  (the “Station”).  Coal shall be unloaded from railroad cars via two methods.  The first, by conveyors directly into trucks operated by or under the control of RT. Once loaded the trucks thereafter be delivered directly and immediately to the Facility.  The second, when applicable the coal will be offloaded from the railroad cars by conveyors on to the ground in designated areas then loaded into trucks operated by or under the control of RT.  Once loaded the trucks shall thereafter be delivered directly and immediately to the Facility.  </w:t>
      </w:r>
    </w:p>
    <w:p>
      <w:pPr>
        <w:pStyle w:val="Normal"/>
        <w:jc w:val="both"/>
        <w:rPr/>
      </w:pPr>
      <w:r>
        <w:rPr/>
      </w:r>
    </w:p>
    <w:p>
      <w:pPr>
        <w:pStyle w:val="Normal"/>
        <w:jc w:val="both"/>
        <w:rPr/>
      </w:pPr>
      <w:r>
        <w:rPr/>
        <w:tab/>
        <w:t>ENRON shall allow RT’s equipment access to the Station for receiving and unloading coal and to the Facility for delivering coal twenty four (24) hours per day Monday through Sunday, and at such other times as may be mutually agreed upon by ENRON and RT.  Enron shall allow RT to maintain an office suitable for personnel sufficient to maintain safe operating procedures at the Station.  Ingress and egress shall be on roads designated by ENRON and RT, and RT will operate in such a way as to minimize any interference with ENRON’s business and to avoid any damage to ENRON’s property or to other properties in the vicinity of the Station or the Facility.</w:t>
      </w:r>
    </w:p>
    <w:p>
      <w:pPr>
        <w:pStyle w:val="Normal"/>
        <w:jc w:val="both"/>
        <w:rPr/>
      </w:pPr>
      <w:r>
        <w:rPr/>
      </w:r>
    </w:p>
    <w:p>
      <w:pPr>
        <w:pStyle w:val="Normal"/>
        <w:numPr>
          <w:ilvl w:val="0"/>
          <w:numId w:val="7"/>
        </w:numPr>
        <w:jc w:val="both"/>
        <w:rPr>
          <w:b/>
          <w:u w:val="single"/>
        </w:rPr>
      </w:pPr>
      <w:r>
        <w:rPr>
          <w:b/>
          <w:u w:val="single"/>
        </w:rPr>
        <w:t>Title of Risk of Loss</w:t>
      </w:r>
    </w:p>
    <w:p>
      <w:pPr>
        <w:pStyle w:val="Normal"/>
        <w:ind w:start="720" w:end="0"/>
        <w:jc w:val="both"/>
        <w:rPr>
          <w:b/>
          <w:u w:val="single"/>
        </w:rPr>
      </w:pPr>
      <w:r>
        <w:rPr>
          <w:b/>
          <w:u w:val="single"/>
        </w:rPr>
      </w:r>
    </w:p>
    <w:p>
      <w:pPr>
        <w:pStyle w:val="Normal"/>
        <w:jc w:val="both"/>
        <w:rPr/>
      </w:pPr>
      <w:r>
        <w:rPr/>
        <w:t xml:space="preserve">  </w:t>
      </w:r>
      <w:r>
        <w:rPr/>
        <w:tab/>
        <w:t>Coal received by RT on behalf of ENRON at the Station is, and shall at all times be and remain, the exclusive property of ENRON, and RT shall have no right, title or interest therein or thereto.</w:t>
      </w:r>
    </w:p>
    <w:p>
      <w:pPr>
        <w:pStyle w:val="Normal"/>
        <w:jc w:val="both"/>
        <w:rPr/>
      </w:pPr>
      <w:r>
        <w:rPr/>
        <w:tab/>
      </w:r>
    </w:p>
    <w:p>
      <w:pPr>
        <w:pStyle w:val="Normal"/>
        <w:ind w:firstLine="720" w:end="0"/>
        <w:jc w:val="both"/>
        <w:rPr/>
      </w:pPr>
      <w:r>
        <w:rPr>
          <w:b/>
        </w:rPr>
        <w:t>6.</w:t>
        <w:tab/>
      </w:r>
      <w:r>
        <w:rPr>
          <w:b/>
          <w:u w:val="single"/>
        </w:rPr>
        <w:t xml:space="preserve">Invoices and Payment </w:t>
      </w:r>
    </w:p>
    <w:p>
      <w:pPr>
        <w:pStyle w:val="Normal"/>
        <w:ind w:firstLine="720" w:end="0"/>
        <w:jc w:val="both"/>
        <w:rPr/>
      </w:pPr>
      <w:r>
        <w:rPr/>
        <w:tab/>
      </w:r>
    </w:p>
    <w:p>
      <w:pPr>
        <w:pStyle w:val="Normal"/>
        <w:ind w:firstLine="720" w:end="0"/>
        <w:rPr/>
      </w:pPr>
      <w:r>
        <w:rPr/>
        <w:tab/>
        <w:t>In consideration of the services to be performed by RT hereunder, ENRON agrees to pay RT according to the following schedule:</w:t>
      </w:r>
    </w:p>
    <w:p>
      <w:pPr>
        <w:pStyle w:val="Normal"/>
        <w:ind w:firstLine="720" w:end="0"/>
        <w:rPr/>
      </w:pPr>
      <w:r>
        <w:rPr/>
      </w:r>
    </w:p>
    <w:p>
      <w:pPr>
        <w:pStyle w:val="Normal"/>
        <w:ind w:firstLine="720" w:end="0"/>
        <w:rPr/>
      </w:pPr>
      <w:r>
        <w:rPr/>
        <w:t>“</w:t>
      </w:r>
      <w:r>
        <w:rPr/>
        <w:t>Coal Hauling Price” shall mean, the rate ENRON agrees to pay RT for the unloading process under either removal method as specified in Section 4 above, with respect to each Pricing Level, the amount set forth opposite such level in the following table:</w:t>
      </w:r>
    </w:p>
    <w:p>
      <w:pPr>
        <w:pStyle w:val="Normal"/>
        <w:ind w:firstLine="720" w:end="0"/>
        <w:rPr/>
      </w:pPr>
      <w:r>
        <w:rPr/>
      </w:r>
    </w:p>
    <w:p>
      <w:pPr>
        <w:pStyle w:val="Normal"/>
        <w:ind w:firstLine="720" w:end="0"/>
        <w:rPr/>
      </w:pPr>
      <w:r>
        <w:rPr/>
        <w:tab/>
      </w:r>
      <w:r>
        <w:rPr>
          <w:u w:val="single"/>
        </w:rPr>
        <w:t xml:space="preserve">Pricing Level </w:t>
      </w:r>
      <w:r>
        <w:rPr/>
        <w:tab/>
        <w:tab/>
      </w:r>
      <w:r>
        <w:rPr>
          <w:u w:val="single"/>
        </w:rPr>
        <w:t>Coal Handling Price – Elizabethtown</w:t>
      </w:r>
    </w:p>
    <w:p>
      <w:pPr>
        <w:pStyle w:val="Normal"/>
        <w:ind w:firstLine="720" w:end="0"/>
        <w:rPr/>
      </w:pPr>
      <w:r>
        <w:rPr/>
        <w:tab/>
        <w:t xml:space="preserve">Level 1 Capacity </w:t>
        <w:tab/>
        <w:t xml:space="preserve"> </w:t>
        <w:tab/>
        <w:tab/>
        <w:t>$0.94 / ton</w:t>
      </w:r>
    </w:p>
    <w:p>
      <w:pPr>
        <w:pStyle w:val="Normal"/>
        <w:ind w:firstLine="720" w:end="0"/>
        <w:rPr/>
      </w:pPr>
      <w:r>
        <w:rPr/>
        <w:tab/>
        <w:t xml:space="preserve">Level 2 Capacity </w:t>
        <w:tab/>
        <w:tab/>
        <w:tab/>
        <w:t>$0.94 / ton</w:t>
      </w:r>
    </w:p>
    <w:p>
      <w:pPr>
        <w:pStyle w:val="Normal"/>
        <w:ind w:firstLine="720" w:end="0"/>
        <w:rPr/>
      </w:pPr>
      <w:r>
        <w:rPr/>
        <w:tab/>
        <w:t>Level 3 Capacity</w:t>
        <w:tab/>
        <w:tab/>
        <w:tab/>
        <w:t>$0.94 / ton</w:t>
      </w:r>
    </w:p>
    <w:p>
      <w:pPr>
        <w:pStyle w:val="Normal"/>
        <w:ind w:firstLine="720" w:end="0"/>
        <w:rPr/>
      </w:pPr>
      <w:r>
        <w:rPr/>
      </w:r>
    </w:p>
    <w:p>
      <w:pPr>
        <w:pStyle w:val="Normal"/>
        <w:ind w:firstLine="720" w:end="0"/>
        <w:rPr/>
      </w:pPr>
      <w:r>
        <w:rPr/>
        <w:t xml:space="preserve">This rate shall escalate annually on each January 1 thereafter, the Coal Handling Price shall increase five (5%) percent.  </w:t>
      </w:r>
    </w:p>
    <w:p>
      <w:pPr>
        <w:pStyle w:val="Normal"/>
        <w:rPr/>
      </w:pPr>
      <w:r>
        <w:rPr/>
      </w:r>
    </w:p>
    <w:p>
      <w:pPr>
        <w:pStyle w:val="Normal"/>
        <w:ind w:firstLine="720" w:end="0"/>
        <w:rPr/>
      </w:pPr>
      <w:r>
        <w:rPr/>
        <w:t>“</w:t>
      </w:r>
      <w:r>
        <w:rPr/>
        <w:t>Initial Freight Per Ton Price” shall mean, with respect to each Pricing Level, the amount (F.O.B. the Facility) set forth opposite such level in the following table:</w:t>
      </w:r>
    </w:p>
    <w:p>
      <w:pPr>
        <w:pStyle w:val="Normal"/>
        <w:rPr/>
      </w:pPr>
      <w:r>
        <w:rPr/>
      </w:r>
    </w:p>
    <w:p>
      <w:pPr>
        <w:pStyle w:val="Normal"/>
        <w:ind w:firstLine="720" w:end="0"/>
        <w:rPr/>
      </w:pPr>
      <w:r>
        <w:rPr/>
        <w:tab/>
      </w:r>
      <w:r>
        <w:rPr>
          <w:u w:val="single"/>
        </w:rPr>
        <w:t>Pricing Level</w:t>
      </w:r>
      <w:r>
        <w:rPr/>
        <w:tab/>
        <w:tab/>
      </w:r>
      <w:r>
        <w:rPr>
          <w:u w:val="single"/>
        </w:rPr>
        <w:t>Initial Freight Per Ton Price – Elizabethtown</w:t>
      </w:r>
    </w:p>
    <w:p>
      <w:pPr>
        <w:pStyle w:val="Normal"/>
        <w:ind w:firstLine="720" w:end="0"/>
        <w:rPr/>
      </w:pPr>
      <w:r>
        <w:rPr/>
        <w:tab/>
        <w:t>Level 1 Capacity</w:t>
        <w:tab/>
        <w:tab/>
        <w:tab/>
        <w:t>$3.30 per ton of Coal</w:t>
      </w:r>
    </w:p>
    <w:p>
      <w:pPr>
        <w:pStyle w:val="Normal"/>
        <w:ind w:firstLine="720" w:end="0"/>
        <w:rPr/>
      </w:pPr>
      <w:r>
        <w:rPr/>
        <w:tab/>
        <w:t>Level 2 Capacity</w:t>
        <w:tab/>
        <w:t xml:space="preserve">           </w:t>
        <w:tab/>
        <w:t xml:space="preserve">            $3.00 per ton of Coal</w:t>
      </w:r>
    </w:p>
    <w:p>
      <w:pPr>
        <w:pStyle w:val="Normal"/>
        <w:ind w:firstLine="720" w:end="0"/>
        <w:rPr/>
      </w:pPr>
      <w:r>
        <w:rPr/>
        <w:tab/>
        <w:t>Level 3 Capacity</w:t>
        <w:tab/>
        <w:tab/>
        <w:tab/>
        <w:t xml:space="preserve">$3.10 per ton of Coal   </w:t>
      </w:r>
    </w:p>
    <w:p>
      <w:pPr>
        <w:pStyle w:val="Normal"/>
        <w:ind w:firstLine="720" w:end="0"/>
        <w:rPr/>
      </w:pPr>
      <w:r>
        <w:rPr/>
      </w:r>
    </w:p>
    <w:p>
      <w:pPr>
        <w:pStyle w:val="Normal"/>
        <w:ind w:firstLine="720" w:end="0"/>
        <w:rPr/>
      </w:pPr>
      <w:r>
        <w:rPr/>
        <w:t xml:space="preserve">This rate shall escalate annually on each January 1 thereafter, the Initial Freight Per Ton Price shall increase five (5%) percent.  </w:t>
      </w:r>
    </w:p>
    <w:p>
      <w:pPr>
        <w:pStyle w:val="Normal"/>
        <w:rPr/>
      </w:pPr>
      <w:r>
        <w:rPr/>
      </w:r>
    </w:p>
    <w:p>
      <w:pPr>
        <w:pStyle w:val="Normal"/>
        <w:ind w:firstLine="720" w:end="0"/>
        <w:rPr/>
      </w:pPr>
      <w:r>
        <w:rPr/>
        <w:t>RT shall invoice ENRON for the preceding month’s operations on the 10</w:t>
      </w:r>
      <w:r>
        <w:rPr>
          <w:vertAlign w:val="superscript"/>
        </w:rPr>
        <w:t>th</w:t>
      </w:r>
      <w:r>
        <w:rPr/>
        <w:t xml:space="preserve"> day of each month.  Such invoice shall be due and payable by ENRON within twenty (20) days of receipt.  Invoices not paid when due shall accrue interest at an annual rate of eighteen percent (18%) for the period the payment is past due.</w:t>
      </w:r>
    </w:p>
    <w:p>
      <w:pPr>
        <w:pStyle w:val="Normal"/>
        <w:rPr/>
      </w:pPr>
      <w:r>
        <w:rPr/>
      </w:r>
    </w:p>
    <w:p>
      <w:pPr>
        <w:pStyle w:val="Normal"/>
        <w:ind w:firstLine="720" w:end="0"/>
        <w:jc w:val="both"/>
        <w:rPr/>
      </w:pPr>
      <w:r>
        <w:rPr/>
        <w:t>At the end of each month, RT shall deliver to a designated representative of ENRON copies of all RT-provided weigh tickets for trucks loaded that day or approved summary tabulation spreadsheets.  All trucks shall be weighed on certified scales provided by ENRON at each plant or other location to be agreed upon by ENRON and RT at the sole cost of ENRON.</w:t>
      </w:r>
    </w:p>
    <w:p>
      <w:pPr>
        <w:pStyle w:val="BodyText"/>
        <w:rPr>
          <w:b/>
        </w:rPr>
      </w:pPr>
      <w:r>
        <w:rPr>
          <w:b/>
        </w:rPr>
      </w:r>
    </w:p>
    <w:p>
      <w:pPr>
        <w:pStyle w:val="Normal"/>
        <w:ind w:firstLine="720" w:end="0"/>
        <w:rPr>
          <w:b/>
        </w:rPr>
      </w:pPr>
      <w:r>
        <w:rPr>
          <w:b/>
        </w:rPr>
        <w:t>7.</w:t>
        <w:tab/>
      </w:r>
      <w:r>
        <w:rPr>
          <w:b/>
          <w:u w:val="single"/>
        </w:rPr>
        <w:t>Warranty</w:t>
      </w:r>
    </w:p>
    <w:p>
      <w:pPr>
        <w:pStyle w:val="Header"/>
        <w:tabs>
          <w:tab w:val="clear" w:pos="4320"/>
          <w:tab w:val="clear" w:pos="8640"/>
        </w:tabs>
        <w:rPr>
          <w:b/>
        </w:rPr>
      </w:pPr>
      <w:r>
        <w:rPr>
          <w:b/>
        </w:rPr>
      </w:r>
    </w:p>
    <w:p>
      <w:pPr>
        <w:pStyle w:val="Normal"/>
        <w:ind w:firstLine="720" w:end="0"/>
        <w:rPr/>
      </w:pPr>
      <w:r>
        <w:rPr/>
        <w:t>RT ACKNOWLEDGES THAT ALL COAL PROVIDED BY ENRON TO RT UNDER THIS AGREEMENT ARE PROVIDED “AS IS” AND “AS PRODUCED”, WITH ALL FAULTS.  EXCEPT AS SET FORTH IN THIS SECTION, ENRON MAKES NO WARRANTY, EXPRESS OR IMPLIED, AS TO THE FITNESS OF THE COAL FOR ANY PARTICULAR PURPOSE, EXCEPT THAT ENRON SPECIFICALLY REPRESENTS AND WARRANTS THAT THE COAL SHALL NOT BE A HAZARDOUS WASTE AS DEFINED IN THE FOLLOWING STATUTES AND REGULATIONS AS AMENDED FROM TIME TO TIME:</w:t>
      </w:r>
    </w:p>
    <w:p>
      <w:pPr>
        <w:pStyle w:val="Normal"/>
        <w:rPr/>
      </w:pPr>
      <w:r>
        <w:rPr/>
      </w:r>
    </w:p>
    <w:p>
      <w:pPr>
        <w:pStyle w:val="Normal"/>
        <w:ind w:firstLine="720" w:start="720" w:end="0"/>
        <w:rPr/>
      </w:pPr>
      <w:r>
        <w:rPr/>
        <w:fldChar w:fldCharType="begin"/>
      </w:r>
      <w:r>
        <w:rPr/>
        <w:instrText xml:space="preserve"> SEQ level4 \* ALPHABETIC </w:instrText>
      </w:r>
      <w:r>
        <w:rPr/>
        <w:fldChar w:fldCharType="separate"/>
      </w:r>
      <w:r>
        <w:rPr/>
        <w:t>A</w:t>
      </w:r>
      <w:r>
        <w:rPr/>
        <w:fldChar w:fldCharType="end"/>
      </w:r>
      <w:r>
        <w:rPr/>
        <w:t>.</w:t>
        <w:tab/>
        <w:t>NORTH CAROLINA SOLID AND HAZARDOUS WASTE MANAGEMENT ACT (GENERAL STATUTES OF NORTH CAROLINA, CHAPTER 130A)”,</w:t>
      </w:r>
    </w:p>
    <w:p>
      <w:pPr>
        <w:pStyle w:val="Normal"/>
        <w:rPr/>
      </w:pPr>
      <w:r>
        <w:rPr/>
      </w:r>
    </w:p>
    <w:p>
      <w:pPr>
        <w:pStyle w:val="Normal"/>
        <w:ind w:firstLine="720" w:start="720" w:end="0"/>
        <w:rPr/>
      </w:pPr>
      <w:r>
        <w:rPr/>
        <w:fldChar w:fldCharType="begin"/>
      </w:r>
      <w:r>
        <w:rPr/>
        <w:instrText xml:space="preserve"> SEQ level4 \* ALPHABETIC </w:instrText>
      </w:r>
      <w:r>
        <w:rPr/>
        <w:fldChar w:fldCharType="separate"/>
      </w:r>
      <w:r>
        <w:rPr/>
        <w:t>B</w:t>
      </w:r>
      <w:r>
        <w:rPr/>
        <w:fldChar w:fldCharType="end"/>
      </w:r>
      <w:r>
        <w:rPr/>
        <w:t>.</w:t>
        <w:tab/>
        <w:t>NORTH CAROLINA HAZARDOUS WASTE MANAGEMENT REGULATIONS (10 NCAC IOF)</w:t>
      </w:r>
    </w:p>
    <w:p>
      <w:pPr>
        <w:pStyle w:val="Normal"/>
        <w:rPr/>
      </w:pPr>
      <w:r>
        <w:rPr/>
      </w:r>
    </w:p>
    <w:p>
      <w:pPr>
        <w:pStyle w:val="BodyText"/>
        <w:ind w:firstLine="720" w:start="720" w:end="0"/>
        <w:rPr>
          <w:b/>
        </w:rPr>
      </w:pPr>
      <w:r>
        <w:rPr/>
        <w:fldChar w:fldCharType="begin"/>
      </w:r>
      <w:r>
        <w:rPr/>
        <w:instrText xml:space="preserve"> SEQ level4 \* ALPHABETIC </w:instrText>
      </w:r>
      <w:r>
        <w:rPr/>
        <w:fldChar w:fldCharType="separate"/>
      </w:r>
      <w:r>
        <w:rPr/>
        <w:t>C</w:t>
      </w:r>
      <w:r>
        <w:rPr/>
        <w:fldChar w:fldCharType="end"/>
      </w:r>
      <w:r>
        <w:rPr/>
        <w:t>.</w:t>
        <w:tab/>
        <w:t>UNITED STATES ENVIRONMENTAL PROTECTION AGENCY REGULATIONS FOR IDENTIFYING HAZARDOUS WASTE (40 CFR 261)</w:t>
      </w:r>
    </w:p>
    <w:p>
      <w:pPr>
        <w:pStyle w:val="BodyText"/>
        <w:rPr>
          <w:b/>
        </w:rPr>
      </w:pPr>
      <w:r>
        <w:rPr>
          <w:b/>
        </w:rPr>
      </w:r>
    </w:p>
    <w:p>
      <w:pPr>
        <w:pStyle w:val="BodyText"/>
        <w:rPr/>
      </w:pPr>
      <w:r>
        <w:rPr>
          <w:b/>
        </w:rPr>
        <w:tab/>
        <w:t>8.</w:t>
        <w:tab/>
      </w:r>
      <w:r>
        <w:rPr>
          <w:b/>
          <w:u w:val="single"/>
        </w:rPr>
        <w:t>Equipment</w:t>
      </w:r>
    </w:p>
    <w:p>
      <w:pPr>
        <w:pStyle w:val="BodyText"/>
        <w:rPr>
          <w:b/>
          <w:u w:val="single"/>
        </w:rPr>
      </w:pPr>
      <w:r>
        <w:rPr>
          <w:b/>
          <w:u w:val="single"/>
        </w:rPr>
      </w:r>
    </w:p>
    <w:p>
      <w:pPr>
        <w:pStyle w:val="BodyText"/>
        <w:ind w:firstLine="720" w:end="0"/>
        <w:rPr/>
      </w:pPr>
      <w:r>
        <w:rPr/>
        <w:t>ENRON agrees to maintain, at its sole cost, all coal handling equipment at the Station in good operating condition.  RT shall supply all material, equipment, machinery, safety equipment, personal protective equipment or clothing, supplies, and other items required for its operations in a safe a workmanlike manner.</w:t>
      </w:r>
    </w:p>
    <w:p>
      <w:pPr>
        <w:pStyle w:val="BodyText"/>
        <w:rPr/>
      </w:pPr>
      <w:r>
        <w:rPr/>
      </w:r>
    </w:p>
    <w:p>
      <w:pPr>
        <w:pStyle w:val="Normal"/>
        <w:jc w:val="both"/>
        <w:rPr/>
      </w:pPr>
      <w:r>
        <w:rPr/>
        <w:tab/>
        <w:t>RT will provide, at its sole cost, all maintenance to keep all RT owned or furnished machinery and equipment used in its operations pursuant to this Agreement in good operating condition, and it will furnish all fuel, license plates, registration certificates, and permits required by law for any of its operations pursuant to this Agreement.</w:t>
      </w:r>
    </w:p>
    <w:p>
      <w:pPr>
        <w:pStyle w:val="Normal"/>
        <w:jc w:val="both"/>
        <w:rPr>
          <w:b/>
        </w:rPr>
      </w:pPr>
      <w:r>
        <w:rPr/>
        <w:tab/>
        <w:t xml:space="preserve"> </w:t>
      </w:r>
    </w:p>
    <w:p>
      <w:pPr>
        <w:pStyle w:val="BodyText"/>
        <w:ind w:firstLine="720" w:end="0"/>
        <w:rPr/>
      </w:pPr>
      <w:r>
        <w:rPr>
          <w:b/>
        </w:rPr>
        <w:t xml:space="preserve">9. </w:t>
        <w:tab/>
      </w:r>
      <w:r>
        <w:rPr>
          <w:b/>
          <w:u w:val="single"/>
        </w:rPr>
        <w:t>Independent Contractor</w:t>
      </w:r>
    </w:p>
    <w:p>
      <w:pPr>
        <w:pStyle w:val="BodyText"/>
        <w:ind w:firstLine="720" w:end="0"/>
        <w:rPr>
          <w:b/>
          <w:u w:val="single"/>
        </w:rPr>
      </w:pPr>
      <w:r>
        <w:rPr>
          <w:b/>
          <w:u w:val="single"/>
        </w:rPr>
      </w:r>
    </w:p>
    <w:p>
      <w:pPr>
        <w:pStyle w:val="BodyText"/>
        <w:ind w:firstLine="720" w:end="0"/>
        <w:rPr/>
      </w:pPr>
      <w:r>
        <w:rPr/>
        <w:t>This Agreement does not create an employer-employee relationship between ENRON and RT, nor any agency, joint venture or partnership.  Neither party shall have the authority to act for the other nor to bind the other in any way, nor to sign the name of the other or to represent that the other is in any way responsible for the acts or omissions of such party.  RT shall maintain its status as an independent contractor engaged in the rendering of services to ENRON.</w:t>
      </w:r>
    </w:p>
    <w:p>
      <w:pPr>
        <w:pStyle w:val="Normal"/>
        <w:jc w:val="both"/>
        <w:rPr/>
      </w:pPr>
      <w:r>
        <w:rPr/>
      </w:r>
    </w:p>
    <w:p>
      <w:pPr>
        <w:pStyle w:val="Normal"/>
        <w:numPr>
          <w:ilvl w:val="0"/>
          <w:numId w:val="5"/>
        </w:numPr>
        <w:jc w:val="both"/>
        <w:rPr>
          <w:b/>
          <w:u w:val="single"/>
        </w:rPr>
      </w:pPr>
      <w:r>
        <w:rPr>
          <w:b/>
          <w:u w:val="single"/>
        </w:rPr>
        <w:t>Indemnity</w:t>
      </w:r>
    </w:p>
    <w:p>
      <w:pPr>
        <w:pStyle w:val="Normal"/>
        <w:jc w:val="both"/>
        <w:rPr>
          <w:b/>
          <w:u w:val="single"/>
        </w:rPr>
      </w:pPr>
      <w:r>
        <w:rPr>
          <w:b/>
          <w:u w:val="single"/>
        </w:rPr>
      </w:r>
    </w:p>
    <w:p>
      <w:pPr>
        <w:pStyle w:val="BodyText"/>
        <w:numPr>
          <w:ilvl w:val="0"/>
          <w:numId w:val="3"/>
        </w:numPr>
        <w:rPr/>
      </w:pPr>
      <w:r>
        <w:rPr/>
        <w:t xml:space="preserve">ENRON and RT shall each be responsible for its own acts and omissions </w:t>
      </w:r>
    </w:p>
    <w:p>
      <w:pPr>
        <w:pStyle w:val="BodyText"/>
        <w:rPr/>
      </w:pPr>
      <w:r>
        <w:rPr/>
        <w:t>with respect to any claim for loss, damage, expense or injury (including death) resulting from the activities of the parties under this Agreement.</w:t>
      </w:r>
    </w:p>
    <w:p>
      <w:pPr>
        <w:pStyle w:val="BodyText"/>
        <w:ind w:start="720" w:end="0"/>
        <w:rPr/>
      </w:pPr>
      <w:r>
        <w:rPr/>
      </w:r>
    </w:p>
    <w:p>
      <w:pPr>
        <w:pStyle w:val="BodyText"/>
        <w:numPr>
          <w:ilvl w:val="0"/>
          <w:numId w:val="3"/>
        </w:numPr>
        <w:rPr/>
      </w:pPr>
      <w:r>
        <w:rPr/>
        <w:t xml:space="preserve">Except as provided in paragraph (a) above, RT shall indemnify and </w:t>
      </w:r>
    </w:p>
    <w:p>
      <w:pPr>
        <w:pStyle w:val="BodyText"/>
        <w:rPr/>
      </w:pPr>
      <w:r>
        <w:rPr/>
        <w:t xml:space="preserve">hold harmless ENRON, its officers, agents, employees and subcontractors from and against any claims, demands, actions or other litigation, including all liabilities, costs and expenses attributable thereto, resulting from the unloading or transportation of coal under this Agreement; provided, however, that ENRON shall promptly transmit to RT notice of any such claim, including all pleadings and papers served on ENRON in connection with such claim; but the omission to so notify RT will not relieve RT from any liability which it might have to the indemnified party, except to the extent that the failure to give notice of any such claim adversely affects the ability to defend such claim.  Upon receipt of any such notice by RT, RT shall be entitled to assume the defense of such action, suit or proceeding, including the employment of counsel and the payment of all expenses in connection with such defense, and shall have the right to negotiate and consent to settlement.  Any indemnified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RT or (ii) RT shall have elected not to assume the defense of such action, suit, or other litigation or (iii) such indemnified party has been advised by its own counsel that there are legal defenses available to such indemnified party which are different from, additional to or in conflict with the defenses available to RT.  </w:t>
      </w:r>
    </w:p>
    <w:p>
      <w:pPr>
        <w:pStyle w:val="Normal"/>
        <w:jc w:val="both"/>
        <w:rPr/>
      </w:pPr>
      <w:r>
        <w:rPr/>
      </w:r>
    </w:p>
    <w:p>
      <w:pPr>
        <w:pStyle w:val="Normal"/>
        <w:ind w:start="720" w:end="0"/>
        <w:jc w:val="both"/>
        <w:rPr/>
      </w:pPr>
      <w:r>
        <w:rPr>
          <w:b/>
        </w:rPr>
        <w:t>11.</w:t>
        <w:tab/>
      </w:r>
      <w:r>
        <w:rPr>
          <w:b/>
          <w:u w:val="single"/>
        </w:rPr>
        <w:t>Insurance</w:t>
      </w:r>
    </w:p>
    <w:p>
      <w:pPr>
        <w:pStyle w:val="Normal"/>
        <w:ind w:start="720" w:end="0"/>
        <w:jc w:val="both"/>
        <w:rPr/>
      </w:pPr>
      <w:r>
        <w:rPr/>
      </w:r>
    </w:p>
    <w:p>
      <w:pPr>
        <w:pStyle w:val="BodyText"/>
        <w:ind w:firstLine="720" w:end="0"/>
        <w:rPr/>
      </w:pPr>
      <w:r>
        <w:rPr/>
        <w:t xml:space="preserve">Throughout the term and any extensions of this Agreement, RT shall provide and carry comprehensive automotive liability insurance, including owned, non-owned, and hired vehicle coverage, with minimum limits of $2,000,000 bodily injury and $2,000,000 property damage, each covering RT’s operations pursuant to this Agreement.  Prior to commencement of its work under this Agreement, RT will provide ENRON with a certificate or certificates evidencing such insurance.  Each certificate of insurance shall provide that the insurance may not be canceled without ten (10) days prior written notice to ENRON.  RT agrees to keep such insurance in effect throughout the term and any extensions of this Agreement.  </w:t>
      </w:r>
    </w:p>
    <w:p>
      <w:pPr>
        <w:pStyle w:val="Normal"/>
        <w:jc w:val="both"/>
        <w:rPr/>
      </w:pPr>
      <w:r>
        <w:rPr/>
      </w:r>
    </w:p>
    <w:p>
      <w:pPr>
        <w:pStyle w:val="Normal"/>
        <w:ind w:start="720" w:end="0"/>
        <w:jc w:val="both"/>
        <w:rPr/>
      </w:pPr>
      <w:r>
        <w:rPr>
          <w:b/>
        </w:rPr>
        <w:t>12.</w:t>
      </w:r>
      <w:r>
        <w:rPr/>
        <w:t xml:space="preserve"> </w:t>
        <w:tab/>
      </w:r>
      <w:r>
        <w:rPr>
          <w:b/>
          <w:u w:val="single"/>
        </w:rPr>
        <w:t>Laws and Regulations</w:t>
      </w:r>
    </w:p>
    <w:p>
      <w:pPr>
        <w:pStyle w:val="Normal"/>
        <w:jc w:val="both"/>
        <w:rPr>
          <w:b/>
          <w:u w:val="single"/>
        </w:rPr>
      </w:pPr>
      <w:r>
        <w:rPr>
          <w:b/>
          <w:u w:val="single"/>
        </w:rPr>
      </w:r>
    </w:p>
    <w:p>
      <w:pPr>
        <w:pStyle w:val="BodyText"/>
        <w:rPr/>
      </w:pPr>
      <w:r>
        <w:rPr/>
        <w:tab/>
        <w:t xml:space="preserve">Each of the parties shall keep itself fully informed of and comply with all applicable laws, ordinances, rules and regulations of any governmental agency having jurisdiction over its conduct of its obligations under this Agreement, and shall procure and pay for all permits, licenses, inspections and fees required to permit it to perform its obligations under this Agreement.  Each party shall hold the other harmless from any fine, penalty, loss, damage or expense resulting from the other party’s failure to comply therewith.  </w:t>
      </w:r>
    </w:p>
    <w:p>
      <w:pPr>
        <w:pStyle w:val="BodyText"/>
        <w:rPr/>
      </w:pPr>
      <w:r>
        <w:rPr/>
      </w:r>
    </w:p>
    <w:p>
      <w:pPr>
        <w:pStyle w:val="BodyText"/>
        <w:rPr/>
      </w:pPr>
      <w:r>
        <w:rPr/>
        <w:tab/>
        <w:t>If, due to changes in federal, state or local laws or regulations which become effective after January 2001, RT incurs incremental out-of-pocket costs to comply with these new laws or regulations, ENRON and RT shall mutually agree upon revised procedures that minimize such additional costs and ENRON agrees to reimburse RT for all such additional documented costs.</w:t>
      </w:r>
    </w:p>
    <w:p>
      <w:pPr>
        <w:pStyle w:val="Normal"/>
        <w:ind w:start="720" w:end="0"/>
        <w:jc w:val="both"/>
        <w:rPr>
          <w:b/>
          <w:u w:val="single"/>
        </w:rPr>
      </w:pPr>
      <w:r>
        <w:rPr>
          <w:b/>
          <w:u w:val="single"/>
        </w:rPr>
      </w:r>
    </w:p>
    <w:p>
      <w:pPr>
        <w:pStyle w:val="Normal"/>
        <w:numPr>
          <w:ilvl w:val="0"/>
          <w:numId w:val="2"/>
        </w:numPr>
        <w:jc w:val="both"/>
        <w:rPr>
          <w:b/>
          <w:u w:val="single"/>
        </w:rPr>
      </w:pPr>
      <w:r>
        <w:rPr>
          <w:b/>
          <w:u w:val="single"/>
        </w:rPr>
        <w:t>Force Majeure</w:t>
      </w:r>
    </w:p>
    <w:p>
      <w:pPr>
        <w:pStyle w:val="Normal"/>
        <w:jc w:val="both"/>
        <w:rPr>
          <w:b/>
          <w:u w:val="single"/>
        </w:rPr>
      </w:pPr>
      <w:r>
        <w:rPr>
          <w:b/>
          <w:u w:val="single"/>
        </w:rPr>
      </w:r>
    </w:p>
    <w:p>
      <w:pPr>
        <w:pStyle w:val="BodyText"/>
        <w:rPr/>
      </w:pPr>
      <w:r>
        <w:rPr/>
        <w:t xml:space="preserve"> </w:t>
      </w:r>
      <w:r>
        <w:rPr/>
        <w:tab/>
        <w:t xml:space="preserve">Either party shall be excused from performance hereunder to the extent its performance is prevented by any cause reasonably beyond its control, such as, and without limitation:  fire; floods; windstorms; strikes; work stoppages; riots; acts of God; act of the public enemy; and acts of governmental authorities (any of the foregoing a “force majeure” event). </w:t>
      </w:r>
    </w:p>
    <w:p>
      <w:pPr>
        <w:pStyle w:val="Normal"/>
        <w:jc w:val="both"/>
        <w:rPr/>
      </w:pPr>
      <w:r>
        <w:rPr/>
      </w:r>
    </w:p>
    <w:p>
      <w:pPr>
        <w:pStyle w:val="Normal"/>
        <w:ind w:firstLine="720" w:end="0"/>
        <w:jc w:val="both"/>
        <w:rPr/>
      </w:pPr>
      <w:r>
        <w:rPr/>
        <w:t xml:space="preserve">Either party so affected shall provide to the other immediate verbal notification (with written confirmation within five (5) calendar days of the giving of verbal notification) of any force majeure event which may affect its performance under this Agreement.  Such notification shall identify the nature and anticipated duration of the force majeure event.  Any force majeure event which extends beyond one hundred eighty (180) days shall, at the option of the party not suffering force majeure, be cause for termination of this Agreement.  Notwithstanding the foregoing, force majeure shall not excuse RT from its obligations hereunder if RT can reasonably obtain substitute transportation or unloading arrangements for the coal. </w:t>
      </w:r>
    </w:p>
    <w:p>
      <w:pPr>
        <w:pStyle w:val="Normal"/>
        <w:jc w:val="both"/>
        <w:rPr/>
      </w:pPr>
      <w:r>
        <w:rPr/>
      </w:r>
    </w:p>
    <w:p>
      <w:pPr>
        <w:pStyle w:val="Normal"/>
        <w:jc w:val="both"/>
        <w:rPr/>
      </w:pPr>
      <w:r>
        <w:rPr/>
        <w:tab/>
        <w:t xml:space="preserve">The party declaring force majeure shall use its best efforts to resume performance of its obligations under this Agreement with the least possible delay, provided that this shall not require either party to enter into settlement of labor or other disputes against its best interest.  </w:t>
        <w:tab/>
      </w:r>
    </w:p>
    <w:p>
      <w:pPr>
        <w:pStyle w:val="Normal"/>
        <w:ind w:firstLine="720" w:end="0"/>
        <w:jc w:val="both"/>
        <w:rPr/>
      </w:pPr>
      <w:r>
        <w:rPr/>
      </w:r>
    </w:p>
    <w:p>
      <w:pPr>
        <w:pStyle w:val="Normal"/>
        <w:ind w:firstLine="720" w:end="0"/>
        <w:jc w:val="both"/>
        <w:rPr>
          <w:b/>
        </w:rPr>
      </w:pPr>
      <w:r>
        <w:rPr/>
        <w:t>Declaration of force majeure will not excuse the payment of any monies due RT for services already rendered under this Agreement.</w:t>
      </w:r>
    </w:p>
    <w:p>
      <w:pPr>
        <w:pStyle w:val="BodyText"/>
        <w:rPr>
          <w:b/>
        </w:rPr>
      </w:pPr>
      <w:r>
        <w:rPr>
          <w:b/>
        </w:rPr>
      </w:r>
    </w:p>
    <w:p>
      <w:pPr>
        <w:pStyle w:val="BodyText"/>
        <w:rPr/>
      </w:pPr>
      <w:r>
        <w:rPr/>
        <w:tab/>
      </w:r>
      <w:r>
        <w:rPr>
          <w:b/>
        </w:rPr>
        <w:t>14.</w:t>
        <w:tab/>
      </w:r>
      <w:r>
        <w:rPr>
          <w:b/>
          <w:u w:val="single"/>
        </w:rPr>
        <w:t>Termination</w:t>
      </w:r>
    </w:p>
    <w:p>
      <w:pPr>
        <w:pStyle w:val="BodyText"/>
        <w:ind w:firstLine="720" w:end="0"/>
        <w:rPr>
          <w:b/>
          <w:u w:val="single"/>
        </w:rPr>
      </w:pPr>
      <w:r>
        <w:rPr>
          <w:b/>
          <w:u w:val="single"/>
        </w:rPr>
      </w:r>
    </w:p>
    <w:p>
      <w:pPr>
        <w:pStyle w:val="BodyText"/>
        <w:ind w:firstLine="720" w:end="0"/>
        <w:rPr>
          <w:b/>
        </w:rPr>
      </w:pPr>
      <w:r>
        <w:rPr/>
        <w:t>(a)</w:t>
        <w:tab/>
        <w:t>A controversy or claim arising out of or relating to this Agreement shall be submitted to arbitration under the Commercial Arbitration Rules of the American Arbitration Association then in effect.  There shall be one arbitrator selected by the parties.  In the event the parties are unable to agree on an arbitrator, the party who requested arbitration may apply to the United States District Court for the district in which any party is located to appoint an arbitrator.  The party desiring to submit a matter to arbitration shall give written notice thereof to the other party which notice shall set forth the specific issues in controversy.  Within thirty (30) days after the appointment of the arbitrator, notice shall be given by the arbitrator to the parties regarding the time and place of hearing which in no event shall be later than sixty (60) days after selection of the arbitrator.  Unless otherwise agreed by both parties hereto, any arbitration proceeding will take place in Charlotte, North Carolina.  After hearing, the arbitrator shall decide the controversy and render an award in writing setting forth the issues adjudicated, the resolution thereof, and the reasons for the award.  Payment of the expenses of arbitration, including the fee of the arbitrator, shall be allocated by the arbitrator.  The award of the arbitrator shall be conclusive and binding upon the parties and shall be specifically enforceable by any court having jurisdiction over either party by the entry of judgment upon the award.</w:t>
      </w:r>
    </w:p>
    <w:p>
      <w:pPr>
        <w:pStyle w:val="BodyText"/>
        <w:jc w:val="center"/>
        <w:rPr>
          <w:b/>
        </w:rPr>
      </w:pPr>
      <w:r>
        <w:rPr>
          <w:b/>
        </w:rPr>
      </w:r>
    </w:p>
    <w:p>
      <w:pPr>
        <w:pStyle w:val="BodyText"/>
        <w:ind w:start="720" w:end="0"/>
        <w:rPr/>
      </w:pPr>
      <w:r>
        <w:rPr/>
        <w:t>(b)</w:t>
        <w:tab/>
        <w:t xml:space="preserve">If either party shall fail, except as the result of force majeure, to perform </w:t>
      </w:r>
    </w:p>
    <w:p>
      <w:pPr>
        <w:pStyle w:val="BodyText"/>
        <w:rPr/>
      </w:pPr>
      <w:r>
        <w:rPr/>
        <w:t xml:space="preserve">any of its obligations under this Agreement and shall fail, within thirty (30) days after having received written notice from the other party, to initiate in good faith and diligently commence steps to correct same, the party giving notice may, in addition to such other rights and remedies which may be available to it by law, consider that the party failing to perform has breached this Agreement, and the party giving notice may terminate this Agreement immediately without further liability or obligation to the other party except for payments or other obligations which may have accrued prior to the date of such termination, including without limitation the obligations under Section 10 regarding indemnity. </w:t>
      </w:r>
    </w:p>
    <w:p>
      <w:pPr>
        <w:pStyle w:val="BodyText"/>
        <w:ind w:start="720" w:end="0"/>
        <w:rPr/>
      </w:pPr>
      <w:r>
        <w:rPr/>
      </w:r>
    </w:p>
    <w:p>
      <w:pPr>
        <w:pStyle w:val="BodyText"/>
        <w:numPr>
          <w:ilvl w:val="0"/>
          <w:numId w:val="3"/>
        </w:numPr>
        <w:rPr/>
      </w:pPr>
      <w:r>
        <w:rPr/>
        <w:t xml:space="preserve">The filing of a voluntary or joint petition in bankruptcy by either party as a </w:t>
      </w:r>
    </w:p>
    <w:p>
      <w:pPr>
        <w:pStyle w:val="BodyText"/>
        <w:rPr/>
      </w:pPr>
      <w:r>
        <w:rPr/>
        <w:t xml:space="preserve">debtor, or entry of an order for relief against a party as a debtor in an involuntary case or proceeding of bankruptcy, may be deemed an event of default by the other party and shall constitute a basis for termination.  Such termination shall not relieve either party of obligations which may have accrued prior to the date of such termination, including without limitation the obligations under Section 10 regarding indemnity.   </w:t>
      </w:r>
    </w:p>
    <w:p>
      <w:pPr>
        <w:pStyle w:val="BodyText"/>
        <w:rPr/>
      </w:pPr>
      <w:r>
        <w:rPr/>
      </w:r>
    </w:p>
    <w:p>
      <w:pPr>
        <w:pStyle w:val="BodyText"/>
        <w:rPr/>
      </w:pPr>
      <w:r>
        <w:rPr/>
        <w:tab/>
      </w:r>
      <w:r>
        <w:rPr>
          <w:b/>
        </w:rPr>
        <w:t>15.</w:t>
        <w:tab/>
      </w:r>
      <w:r>
        <w:rPr>
          <w:b/>
          <w:u w:val="single"/>
        </w:rPr>
        <w:t>Assignment / Binding Effect</w:t>
      </w:r>
    </w:p>
    <w:p>
      <w:pPr>
        <w:pStyle w:val="BodyText"/>
        <w:rPr>
          <w:b/>
          <w:u w:val="single"/>
        </w:rPr>
      </w:pPr>
      <w:r>
        <w:rPr>
          <w:b/>
          <w:u w:val="single"/>
        </w:rPr>
      </w:r>
    </w:p>
    <w:p>
      <w:pPr>
        <w:pStyle w:val="BodyText"/>
        <w:rPr/>
      </w:pPr>
      <w:r>
        <w:rPr/>
        <w:tab/>
        <w:tab/>
        <w:t xml:space="preserve">This Agreement and all terms and provisions hereof shall be binding upon and inure to the benefit of the successors and assigns of the parties hereto, but no assignment of this Agreement, or any rights or obligations arising under it, may be effected without the prior written consent of the other party, such consent not to be unreasonably withheld.  Notwithstanding anything to the contrary contained herein, ENRON shall have the right to assign its rights and duties under this Agreement as collateral security or to another entity created in connection with the financing arrangements entered into by ENRON, by notifying RT of such assignment.  In the event of any such assignment, ENRON shall remain liable for performance hereunder.  RT agrees to execute and deliver a “Consent and Agreement” and all other documents required by the senior and subordinated lenders to ENRON in connection with such financing arrangements.  </w:t>
      </w:r>
    </w:p>
    <w:p>
      <w:pPr>
        <w:pStyle w:val="BodyText"/>
        <w:rPr>
          <w:u w:val="single"/>
        </w:rPr>
      </w:pPr>
      <w:r>
        <w:rPr>
          <w:u w:val="single"/>
        </w:rPr>
      </w:r>
    </w:p>
    <w:p>
      <w:pPr>
        <w:pStyle w:val="BodyText"/>
        <w:numPr>
          <w:ilvl w:val="0"/>
          <w:numId w:val="4"/>
        </w:numPr>
        <w:rPr>
          <w:b/>
          <w:u w:val="single"/>
        </w:rPr>
      </w:pPr>
      <w:r>
        <w:rPr>
          <w:b/>
          <w:u w:val="single"/>
        </w:rPr>
        <w:t>Non – Waiver</w:t>
      </w:r>
    </w:p>
    <w:p>
      <w:pPr>
        <w:pStyle w:val="BodyText"/>
        <w:ind w:start="1440" w:end="0"/>
        <w:rPr>
          <w:b/>
          <w:u w:val="single"/>
        </w:rPr>
      </w:pPr>
      <w:r>
        <w:rPr>
          <w:b/>
          <w:u w:val="single"/>
        </w:rPr>
      </w:r>
    </w:p>
    <w:p>
      <w:pPr>
        <w:pStyle w:val="BodyText"/>
        <w:ind w:start="1440" w:end="0"/>
        <w:rPr/>
      </w:pPr>
      <w:r>
        <w:rPr/>
        <w:t xml:space="preserve">The failure of either party to insist in any one or more instance upon strict </w:t>
      </w:r>
    </w:p>
    <w:p>
      <w:pPr>
        <w:pStyle w:val="BodyText"/>
        <w:rPr>
          <w:u w:val="single"/>
        </w:rPr>
      </w:pPr>
      <w:r>
        <w:rPr/>
        <w:t xml:space="preserve">performance of any of the provisions of this Agreement or to take advantage of rights hereunder shall not be construed as a waiver of any such provisions or the relinquishment of any such right.  </w:t>
      </w:r>
    </w:p>
    <w:p>
      <w:pPr>
        <w:pStyle w:val="BodyText"/>
        <w:rPr>
          <w:u w:val="single"/>
        </w:rPr>
      </w:pPr>
      <w:r>
        <w:rPr>
          <w:u w:val="single"/>
        </w:rPr>
      </w:r>
    </w:p>
    <w:p>
      <w:pPr>
        <w:pStyle w:val="BodyText"/>
        <w:numPr>
          <w:ilvl w:val="0"/>
          <w:numId w:val="4"/>
        </w:numPr>
        <w:rPr>
          <w:b/>
          <w:u w:val="single"/>
        </w:rPr>
      </w:pPr>
      <w:r>
        <w:rPr>
          <w:b/>
          <w:u w:val="single"/>
        </w:rPr>
        <w:t>Notices</w:t>
      </w:r>
    </w:p>
    <w:p>
      <w:pPr>
        <w:pStyle w:val="BodyText"/>
        <w:ind w:start="1440" w:end="0"/>
        <w:rPr>
          <w:b/>
          <w:u w:val="single"/>
        </w:rPr>
      </w:pPr>
      <w:r>
        <w:rPr>
          <w:b/>
          <w:u w:val="single"/>
        </w:rPr>
      </w:r>
    </w:p>
    <w:p>
      <w:pPr>
        <w:pStyle w:val="BodyText"/>
        <w:ind w:firstLine="720" w:end="0"/>
        <w:rPr/>
      </w:pPr>
      <w:r>
        <w:rPr/>
        <w:t>Any notice required to be given under the terms of this Agreement shall be in writing, effective upon receipt, and shall be sufficient if delivered in person or sent by certified mail, postage prepaid:</w:t>
      </w:r>
    </w:p>
    <w:p>
      <w:pPr>
        <w:pStyle w:val="BodyText"/>
        <w:rPr/>
      </w:pPr>
      <w:r>
        <w:rPr/>
      </w:r>
    </w:p>
    <w:p>
      <w:pPr>
        <w:pStyle w:val="BodyText"/>
        <w:rPr/>
      </w:pPr>
      <w:r>
        <w:rPr/>
      </w:r>
    </w:p>
    <w:p>
      <w:pPr>
        <w:pStyle w:val="BodyText"/>
        <w:rPr/>
      </w:pPr>
      <w:r>
        <w:rPr/>
      </w:r>
    </w:p>
    <w:p>
      <w:pPr>
        <w:pStyle w:val="BodyText"/>
        <w:rPr/>
      </w:pPr>
      <w:r>
        <w:rPr/>
      </w:r>
    </w:p>
    <w:p>
      <w:pPr>
        <w:pStyle w:val="BodyText"/>
        <w:rPr/>
      </w:pPr>
      <w:r>
        <w:rPr/>
        <w:tab/>
        <w:t>If to ENRON :</w:t>
        <w:tab/>
        <w:tab/>
        <w:t xml:space="preserve">               Enron North America Corp.</w:t>
      </w:r>
    </w:p>
    <w:p>
      <w:pPr>
        <w:pStyle w:val="Normal"/>
        <w:ind w:firstLine="720" w:end="0"/>
        <w:rPr/>
      </w:pPr>
      <w:r>
        <w:rPr/>
        <w:tab/>
        <w:tab/>
        <w:tab/>
        <w:tab/>
        <w:t xml:space="preserve">   1400 Smith Street </w:t>
      </w:r>
    </w:p>
    <w:p>
      <w:pPr>
        <w:pStyle w:val="Normal"/>
        <w:rPr/>
      </w:pPr>
      <w:r>
        <w:rPr/>
        <w:tab/>
        <w:tab/>
        <w:tab/>
        <w:tab/>
        <w:tab/>
        <w:t xml:space="preserve">   Houston, Texas  77002 -7361 </w:t>
        <w:tab/>
      </w:r>
    </w:p>
    <w:p>
      <w:pPr>
        <w:pStyle w:val="Normal"/>
        <w:tabs>
          <w:tab w:val="clear" w:pos="720"/>
          <w:tab w:val="left" w:pos="3780" w:leader="none"/>
        </w:tabs>
        <w:ind w:firstLine="720" w:end="0"/>
        <w:rPr/>
      </w:pPr>
      <w:r>
        <w:rPr/>
        <w:tab/>
        <w:t>Attn:  President</w:t>
      </w:r>
    </w:p>
    <w:p>
      <w:pPr>
        <w:pStyle w:val="Normal"/>
        <w:tabs>
          <w:tab w:val="clear" w:pos="720"/>
          <w:tab w:val="left" w:pos="3780" w:leader="none"/>
        </w:tabs>
        <w:rPr/>
      </w:pPr>
      <w:r>
        <w:rPr/>
      </w:r>
    </w:p>
    <w:p>
      <w:pPr>
        <w:pStyle w:val="Normal"/>
        <w:tabs>
          <w:tab w:val="clear" w:pos="720"/>
          <w:tab w:val="left" w:pos="3780" w:leader="none"/>
        </w:tabs>
        <w:ind w:firstLine="720" w:end="0"/>
        <w:rPr/>
      </w:pPr>
      <w:r>
        <w:rPr/>
        <w:t>If to RT:</w:t>
        <w:tab/>
        <w:t>ReUse Technology, Inc.</w:t>
      </w:r>
    </w:p>
    <w:p>
      <w:pPr>
        <w:pStyle w:val="Normal"/>
        <w:tabs>
          <w:tab w:val="clear" w:pos="720"/>
          <w:tab w:val="left" w:pos="3780" w:leader="none"/>
        </w:tabs>
        <w:rPr/>
      </w:pPr>
      <w:r>
        <w:rPr/>
        <w:tab/>
        <w:t>665 Molly Lane</w:t>
      </w:r>
    </w:p>
    <w:p>
      <w:pPr>
        <w:pStyle w:val="Normal"/>
        <w:tabs>
          <w:tab w:val="clear" w:pos="720"/>
          <w:tab w:val="left" w:pos="3780" w:leader="none"/>
        </w:tabs>
        <w:rPr/>
      </w:pPr>
      <w:r>
        <w:rPr/>
        <w:tab/>
        <w:t>Suite 100</w:t>
      </w:r>
    </w:p>
    <w:p>
      <w:pPr>
        <w:pStyle w:val="Normal"/>
        <w:tabs>
          <w:tab w:val="clear" w:pos="720"/>
          <w:tab w:val="left" w:pos="3780" w:leader="none"/>
        </w:tabs>
        <w:rPr/>
      </w:pPr>
      <w:r>
        <w:rPr/>
        <w:tab/>
        <w:t>Woodstock, GA, 30189</w:t>
      </w:r>
    </w:p>
    <w:p>
      <w:pPr>
        <w:pStyle w:val="Normal"/>
        <w:tabs>
          <w:tab w:val="clear" w:pos="720"/>
          <w:tab w:val="left" w:pos="3780" w:leader="none"/>
        </w:tabs>
        <w:rPr/>
      </w:pPr>
      <w:r>
        <w:rPr/>
        <w:tab/>
        <w:t>Attn:  Chief Financial Officer</w:t>
      </w:r>
    </w:p>
    <w:p>
      <w:pPr>
        <w:pStyle w:val="Normal"/>
        <w:tabs>
          <w:tab w:val="clear" w:pos="720"/>
          <w:tab w:val="left" w:pos="3780" w:leader="none"/>
        </w:tabs>
        <w:rPr/>
      </w:pPr>
      <w:r>
        <w:rPr/>
      </w:r>
    </w:p>
    <w:p>
      <w:pPr>
        <w:pStyle w:val="BodyText"/>
        <w:rPr/>
      </w:pPr>
      <w:r>
        <w:rPr/>
        <w:t>or to such subsequent address of which either party may notify the other in writing.</w:t>
      </w:r>
    </w:p>
    <w:p>
      <w:pPr>
        <w:pStyle w:val="BodyText"/>
        <w:rPr/>
      </w:pPr>
      <w:r>
        <w:rPr/>
      </w:r>
    </w:p>
    <w:p>
      <w:pPr>
        <w:pStyle w:val="BodyText"/>
        <w:rPr/>
      </w:pPr>
      <w:r>
        <w:rPr/>
        <w:tab/>
      </w:r>
      <w:r>
        <w:rPr>
          <w:b/>
        </w:rPr>
        <w:t>18.</w:t>
        <w:tab/>
      </w:r>
      <w:r>
        <w:rPr>
          <w:b/>
          <w:u w:val="single"/>
        </w:rPr>
        <w:t>Entire Agreement</w:t>
      </w:r>
    </w:p>
    <w:p>
      <w:pPr>
        <w:pStyle w:val="BodyText"/>
        <w:rPr>
          <w:b/>
          <w:u w:val="single"/>
        </w:rPr>
      </w:pPr>
      <w:r>
        <w:rPr>
          <w:b/>
          <w:u w:val="single"/>
        </w:rPr>
      </w:r>
    </w:p>
    <w:p>
      <w:pPr>
        <w:pStyle w:val="BodyText"/>
        <w:rPr/>
      </w:pPr>
      <w:r>
        <w:rPr/>
        <w:tab/>
        <w:t xml:space="preserve">  This instrument embodies the entire agreement between the parties hereto with respect to RT’s unloading and delivery of coal to the Facility and supersedes all prior negotiations, representations, understandings or other writings with regard thereto.  No rescission, modification, waiver or amendment shall be made by the preprinted terms on any purchase order form or other acknowledgment form.  No rescission, modification, waiver or amendment to this Agreement shall be binding upon the parties hereto unless in writing and signed by both parties.  </w:t>
      </w:r>
    </w:p>
    <w:p>
      <w:pPr>
        <w:pStyle w:val="BodyText"/>
        <w:rPr/>
      </w:pPr>
      <w:r>
        <w:rPr/>
      </w:r>
    </w:p>
    <w:p>
      <w:pPr>
        <w:pStyle w:val="BodyText"/>
        <w:rPr/>
      </w:pPr>
      <w:r>
        <w:rPr/>
        <w:tab/>
      </w:r>
      <w:r>
        <w:rPr>
          <w:b/>
        </w:rPr>
        <w:t>19.</w:t>
        <w:tab/>
      </w:r>
      <w:r>
        <w:rPr>
          <w:b/>
          <w:u w:val="single"/>
        </w:rPr>
        <w:t>Headings</w:t>
      </w:r>
    </w:p>
    <w:p>
      <w:pPr>
        <w:pStyle w:val="BodyText"/>
        <w:rPr>
          <w:b/>
          <w:u w:val="single"/>
        </w:rPr>
      </w:pPr>
      <w:r>
        <w:rPr>
          <w:b/>
          <w:u w:val="single"/>
        </w:rPr>
      </w:r>
    </w:p>
    <w:p>
      <w:pPr>
        <w:pStyle w:val="BodyText"/>
        <w:ind w:firstLine="720" w:end="0"/>
        <w:rPr/>
      </w:pPr>
      <w:r>
        <w:rPr/>
        <w:t xml:space="preserve">Headings are used in this Agreement for convenience of reference only and shall be given no weight in the interpretation of this Agreement. </w:t>
      </w:r>
    </w:p>
    <w:p>
      <w:pPr>
        <w:pStyle w:val="BodyText"/>
        <w:rPr/>
      </w:pPr>
      <w:r>
        <w:rPr/>
      </w:r>
    </w:p>
    <w:p>
      <w:pPr>
        <w:pStyle w:val="BodyText"/>
        <w:rPr/>
      </w:pPr>
      <w:r>
        <w:rPr/>
        <w:tab/>
      </w:r>
      <w:r>
        <w:rPr>
          <w:b/>
        </w:rPr>
        <w:t>20.</w:t>
        <w:tab/>
      </w:r>
      <w:r>
        <w:rPr>
          <w:b/>
          <w:u w:val="single"/>
        </w:rPr>
        <w:t>Severability</w:t>
      </w:r>
    </w:p>
    <w:p>
      <w:pPr>
        <w:pStyle w:val="BodyText"/>
        <w:rPr>
          <w:b/>
          <w:u w:val="single"/>
        </w:rPr>
      </w:pPr>
      <w:r>
        <w:rPr>
          <w:b/>
          <w:u w:val="single"/>
        </w:rPr>
      </w:r>
    </w:p>
    <w:p>
      <w:pPr>
        <w:pStyle w:val="BodyText"/>
        <w:ind w:firstLine="720" w:end="0"/>
        <w:rPr/>
      </w:pPr>
      <w:r>
        <w:rPr/>
        <w:t xml:space="preserve">Any provision hereof which is prohibited or unenforceable in any jurisdiction shall, as to such jurisdiction, be ineffective to the extent of such prohibition or unenforceability without invalidating the remaining provisions hereof and without affecting the validity or enforceability of any provision in any other jurisdiction.  </w:t>
      </w:r>
    </w:p>
    <w:p>
      <w:pPr>
        <w:pStyle w:val="BodyText"/>
        <w:rPr/>
      </w:pPr>
      <w:r>
        <w:rPr/>
      </w:r>
    </w:p>
    <w:p>
      <w:pPr>
        <w:pStyle w:val="BodyText"/>
        <w:numPr>
          <w:ilvl w:val="0"/>
          <w:numId w:val="6"/>
        </w:numPr>
        <w:rPr>
          <w:b/>
          <w:u w:val="single"/>
        </w:rPr>
      </w:pPr>
      <w:r>
        <w:rPr>
          <w:b/>
          <w:u w:val="single"/>
        </w:rPr>
        <w:t>Counterparts</w:t>
      </w:r>
    </w:p>
    <w:p>
      <w:pPr>
        <w:pStyle w:val="BodyText"/>
        <w:ind w:start="1440" w:end="0"/>
        <w:rPr>
          <w:b/>
          <w:u w:val="single"/>
        </w:rPr>
      </w:pPr>
      <w:r>
        <w:rPr>
          <w:b/>
          <w:u w:val="single"/>
        </w:rPr>
      </w:r>
    </w:p>
    <w:p>
      <w:pPr>
        <w:pStyle w:val="Normal"/>
        <w:ind w:firstLine="720" w:end="0"/>
        <w:jc w:val="both"/>
        <w:rPr/>
      </w:pPr>
      <w:r>
        <w:rPr/>
        <w:t xml:space="preserve">This Agreement may be executed in two or more counterparts, each of which shall be deemed an original, but all of which together shall constitute one and the same instrument.  </w:t>
      </w:r>
    </w:p>
    <w:p>
      <w:pPr>
        <w:pStyle w:val="BodyText"/>
        <w:ind w:start="1440" w:end="0"/>
        <w:rPr/>
      </w:pPr>
      <w:r>
        <w:rPr/>
      </w:r>
    </w:p>
    <w:p>
      <w:pPr>
        <w:pStyle w:val="BodyText"/>
        <w:numPr>
          <w:ilvl w:val="0"/>
          <w:numId w:val="6"/>
        </w:numPr>
        <w:rPr>
          <w:b/>
          <w:u w:val="single"/>
        </w:rPr>
      </w:pPr>
      <w:r>
        <w:rPr>
          <w:b/>
          <w:u w:val="single"/>
        </w:rPr>
        <w:t>General</w:t>
      </w:r>
    </w:p>
    <w:p>
      <w:pPr>
        <w:pStyle w:val="BodyText"/>
        <w:rPr>
          <w:b/>
          <w:u w:val="single"/>
        </w:rPr>
      </w:pPr>
      <w:r>
        <w:rPr>
          <w:b/>
          <w:u w:val="single"/>
        </w:rPr>
      </w:r>
    </w:p>
    <w:p>
      <w:pPr>
        <w:pStyle w:val="BodyText"/>
        <w:ind w:start="720" w:end="0"/>
        <w:rPr/>
      </w:pPr>
      <w:r>
        <w:rPr/>
        <w:t>Time is of the essence in this Agreement.</w:t>
      </w:r>
    </w:p>
    <w:p>
      <w:pPr>
        <w:pStyle w:val="BodyText"/>
        <w:rPr/>
      </w:pPr>
      <w:r>
        <w:rPr/>
      </w:r>
    </w:p>
    <w:p>
      <w:pPr>
        <w:pStyle w:val="BodyText"/>
        <w:ind w:start="720" w:end="0"/>
        <w:rPr>
          <w:b/>
        </w:rPr>
      </w:pPr>
      <w:r>
        <w:rPr>
          <w:b/>
        </w:rPr>
      </w:r>
    </w:p>
    <w:p>
      <w:pPr>
        <w:pStyle w:val="BodyText"/>
        <w:ind w:start="720" w:end="0"/>
        <w:rPr>
          <w:u w:val="single"/>
        </w:rPr>
      </w:pPr>
      <w:r>
        <w:rPr>
          <w:b/>
        </w:rPr>
        <w:t>23.</w:t>
        <w:tab/>
      </w:r>
      <w:r>
        <w:rPr>
          <w:b/>
          <w:u w:val="single"/>
        </w:rPr>
        <w:t>Governing Law</w:t>
      </w:r>
      <w:r>
        <w:rPr>
          <w:b/>
        </w:rPr>
        <w:tab/>
      </w:r>
    </w:p>
    <w:p>
      <w:pPr>
        <w:pStyle w:val="BodyText"/>
        <w:ind w:start="720" w:end="0"/>
        <w:rPr>
          <w:u w:val="single"/>
        </w:rPr>
      </w:pPr>
      <w:r>
        <w:rPr>
          <w:u w:val="single"/>
        </w:rPr>
      </w:r>
    </w:p>
    <w:p>
      <w:pPr>
        <w:pStyle w:val="Normal"/>
        <w:jc w:val="both"/>
        <w:rPr/>
      </w:pPr>
      <w:r>
        <w:rPr/>
        <w:tab/>
        <w:t xml:space="preserve"> This Agreement shall be governed by, and construed in accordance with, the laws of the State of North Carolina without regard for its choice of law rules.  For the purposes hereof, ENRON and RT hereby submit to the non-exclusive jurisdiction of the State and Federal courts in North Carolina.</w:t>
      </w:r>
      <w:r>
        <w:br w:type="page"/>
      </w:r>
    </w:p>
    <w:p>
      <w:pPr>
        <w:pStyle w:val="Normal"/>
        <w:ind w:firstLine="720" w:end="0"/>
        <w:jc w:val="both"/>
        <w:rPr>
          <w:b/>
        </w:rPr>
      </w:pPr>
      <w:r>
        <w:rPr>
          <w:b/>
        </w:rPr>
      </w:r>
    </w:p>
    <w:p>
      <w:pPr>
        <w:pStyle w:val="Normal"/>
        <w:ind w:firstLine="720" w:end="0"/>
        <w:jc w:val="both"/>
        <w:rPr/>
      </w:pPr>
      <w:r>
        <w:rPr>
          <w:b/>
        </w:rPr>
        <w:t>IN WITNESS WHEREOF</w:t>
      </w:r>
      <w:r>
        <w:rPr/>
        <w:t>, the parties have executed this Agreement this ___day of January ___, 2001.</w:t>
      </w:r>
    </w:p>
    <w:p>
      <w:pPr>
        <w:pStyle w:val="Normal"/>
        <w:rPr/>
      </w:pPr>
      <w:r>
        <w:rPr/>
      </w:r>
    </w:p>
    <w:p>
      <w:pPr>
        <w:pStyle w:val="Normal"/>
        <w:rPr/>
      </w:pPr>
      <w:r>
        <w:rPr/>
      </w:r>
    </w:p>
    <w:p>
      <w:pPr>
        <w:pStyle w:val="Normal"/>
        <w:tabs>
          <w:tab w:val="clear" w:pos="720"/>
          <w:tab w:val="left" w:pos="4500" w:leader="none"/>
        </w:tabs>
        <w:rPr/>
      </w:pPr>
      <w:r>
        <w:rPr/>
        <w:tab/>
      </w:r>
      <w:r>
        <w:rPr>
          <w:b/>
        </w:rPr>
        <w:t>ENRON NORTH AMERICA CORP.</w:t>
      </w:r>
    </w:p>
    <w:p>
      <w:pPr>
        <w:pStyle w:val="Normal"/>
        <w:tabs>
          <w:tab w:val="clear" w:pos="720"/>
          <w:tab w:val="left" w:pos="4500" w:leader="none"/>
        </w:tabs>
        <w:rPr/>
      </w:pPr>
      <w:r>
        <w:rPr/>
      </w:r>
    </w:p>
    <w:p>
      <w:pPr>
        <w:pStyle w:val="Normal"/>
        <w:tabs>
          <w:tab w:val="clear" w:pos="720"/>
          <w:tab w:val="left" w:pos="4500" w:leader="none"/>
        </w:tabs>
        <w:rPr>
          <w:b/>
        </w:rPr>
      </w:pPr>
      <w:r>
        <w:rPr>
          <w:b/>
        </w:rPr>
        <w:t>ATTEST:</w:t>
      </w:r>
    </w:p>
    <w:p>
      <w:pPr>
        <w:pStyle w:val="Normal"/>
        <w:tabs>
          <w:tab w:val="clear" w:pos="720"/>
          <w:tab w:val="left" w:pos="4500" w:leader="none"/>
        </w:tabs>
        <w:rPr>
          <w:b/>
        </w:rPr>
      </w:pPr>
      <w:r>
        <w:rPr>
          <w:b/>
        </w:rPr>
      </w:r>
    </w:p>
    <w:p>
      <w:pPr>
        <w:pStyle w:val="Normal"/>
        <w:tabs>
          <w:tab w:val="clear" w:pos="720"/>
          <w:tab w:val="left" w:pos="4500" w:leader="none"/>
        </w:tabs>
        <w:rPr/>
      </w:pPr>
      <w:r>
        <w:rPr/>
        <w:t>By:________________________</w:t>
        <w:tab/>
        <w:t>By:</w:t>
      </w:r>
      <w:r>
        <w:rPr>
          <w:u w:val="single"/>
        </w:rPr>
        <w:tab/>
        <w:tab/>
        <w:tab/>
        <w:tab/>
        <w:tab/>
      </w:r>
    </w:p>
    <w:p>
      <w:pPr>
        <w:pStyle w:val="Normal"/>
        <w:tabs>
          <w:tab w:val="clear" w:pos="720"/>
          <w:tab w:val="left" w:pos="4500" w:leader="none"/>
        </w:tabs>
        <w:rPr/>
      </w:pPr>
      <w:r>
        <w:rPr/>
      </w:r>
    </w:p>
    <w:p>
      <w:pPr>
        <w:pStyle w:val="Normal"/>
        <w:tabs>
          <w:tab w:val="clear" w:pos="720"/>
          <w:tab w:val="left" w:pos="4500" w:leader="none"/>
        </w:tabs>
        <w:rPr/>
      </w:pPr>
      <w:r>
        <w:rPr/>
        <w:t>Title:______________________</w:t>
        <w:tab/>
        <w:t>Title:</w:t>
      </w:r>
      <w:r>
        <w:rPr>
          <w:u w:val="single"/>
        </w:rPr>
        <w:tab/>
        <w:tab/>
        <w:tab/>
        <w:tab/>
        <w:tab/>
      </w:r>
    </w:p>
    <w:p>
      <w:pPr>
        <w:pStyle w:val="Normal"/>
        <w:tabs>
          <w:tab w:val="clear" w:pos="720"/>
          <w:tab w:val="left" w:pos="4500" w:leader="none"/>
        </w:tabs>
        <w:rPr/>
      </w:pPr>
      <w:r>
        <w:rPr/>
      </w:r>
    </w:p>
    <w:p>
      <w:pPr>
        <w:pStyle w:val="Normal"/>
        <w:tabs>
          <w:tab w:val="clear" w:pos="720"/>
          <w:tab w:val="left" w:pos="4500" w:leader="none"/>
        </w:tabs>
        <w:rPr/>
      </w:pPr>
      <w:r>
        <w:rPr/>
        <w:t>(Corporate Seal)</w:t>
      </w:r>
    </w:p>
    <w:p>
      <w:pPr>
        <w:pStyle w:val="Normal"/>
        <w:tabs>
          <w:tab w:val="clear" w:pos="720"/>
          <w:tab w:val="left" w:pos="4500" w:leader="none"/>
        </w:tabs>
        <w:rPr/>
      </w:pPr>
      <w:r>
        <w:rPr/>
      </w:r>
    </w:p>
    <w:p>
      <w:pPr>
        <w:pStyle w:val="Normal"/>
        <w:tabs>
          <w:tab w:val="clear" w:pos="720"/>
          <w:tab w:val="left" w:pos="4500" w:leader="none"/>
        </w:tabs>
        <w:rPr/>
      </w:pPr>
      <w:r>
        <w:rPr/>
      </w:r>
    </w:p>
    <w:p>
      <w:pPr>
        <w:pStyle w:val="Normal"/>
        <w:tabs>
          <w:tab w:val="clear" w:pos="720"/>
          <w:tab w:val="left" w:pos="4500" w:leader="none"/>
        </w:tabs>
        <w:rPr/>
      </w:pPr>
      <w:r>
        <w:rPr/>
        <w:tab/>
      </w:r>
      <w:r>
        <w:rPr>
          <w:b/>
        </w:rPr>
        <w:t>REUSE TECHNOLOGY, INC.</w:t>
      </w:r>
    </w:p>
    <w:p>
      <w:pPr>
        <w:pStyle w:val="Normal"/>
        <w:tabs>
          <w:tab w:val="clear" w:pos="720"/>
          <w:tab w:val="left" w:pos="4500" w:leader="none"/>
        </w:tabs>
        <w:rPr/>
      </w:pPr>
      <w:r>
        <w:rPr/>
      </w:r>
    </w:p>
    <w:p>
      <w:pPr>
        <w:pStyle w:val="Normal"/>
        <w:tabs>
          <w:tab w:val="clear" w:pos="720"/>
          <w:tab w:val="left" w:pos="4500" w:leader="none"/>
        </w:tabs>
        <w:rPr>
          <w:b/>
        </w:rPr>
      </w:pPr>
      <w:r>
        <w:rPr>
          <w:b/>
        </w:rPr>
        <w:t>ATTEST:</w:t>
      </w:r>
    </w:p>
    <w:p>
      <w:pPr>
        <w:pStyle w:val="Normal"/>
        <w:tabs>
          <w:tab w:val="clear" w:pos="720"/>
          <w:tab w:val="left" w:pos="4500" w:leader="none"/>
        </w:tabs>
        <w:rPr>
          <w:b/>
        </w:rPr>
      </w:pPr>
      <w:r>
        <w:rPr>
          <w:b/>
        </w:rPr>
      </w:r>
    </w:p>
    <w:p>
      <w:pPr>
        <w:pStyle w:val="Normal"/>
        <w:tabs>
          <w:tab w:val="clear" w:pos="720"/>
          <w:tab w:val="left" w:pos="4500" w:leader="none"/>
        </w:tabs>
        <w:rPr/>
      </w:pPr>
      <w:r>
        <w:rPr/>
        <w:t>By:________________________</w:t>
        <w:tab/>
        <w:t>By:</w:t>
      </w:r>
      <w:r>
        <w:rPr>
          <w:u w:val="single"/>
        </w:rPr>
        <w:tab/>
        <w:tab/>
        <w:tab/>
        <w:tab/>
        <w:tab/>
      </w:r>
    </w:p>
    <w:p>
      <w:pPr>
        <w:pStyle w:val="Normal"/>
        <w:tabs>
          <w:tab w:val="clear" w:pos="720"/>
          <w:tab w:val="left" w:pos="4500" w:leader="none"/>
        </w:tabs>
        <w:rPr/>
      </w:pPr>
      <w:r>
        <w:rPr/>
      </w:r>
    </w:p>
    <w:p>
      <w:pPr>
        <w:pStyle w:val="Normal"/>
        <w:tabs>
          <w:tab w:val="clear" w:pos="720"/>
          <w:tab w:val="left" w:pos="4500" w:leader="none"/>
        </w:tabs>
        <w:rPr/>
      </w:pPr>
      <w:r>
        <w:rPr/>
        <w:t>Title:______________________</w:t>
        <w:tab/>
        <w:t>Title:</w:t>
      </w:r>
      <w:r>
        <w:rPr>
          <w:u w:val="single"/>
        </w:rPr>
        <w:tab/>
        <w:tab/>
        <w:tab/>
        <w:tab/>
        <w:tab/>
      </w:r>
    </w:p>
    <w:p>
      <w:pPr>
        <w:pStyle w:val="Normal"/>
        <w:tabs>
          <w:tab w:val="clear" w:pos="720"/>
          <w:tab w:val="left" w:pos="4500" w:leader="none"/>
        </w:tabs>
        <w:rPr/>
      </w:pPr>
      <w:r>
        <w:rPr/>
      </w:r>
    </w:p>
    <w:p>
      <w:pPr>
        <w:pStyle w:val="Normal"/>
        <w:tabs>
          <w:tab w:val="clear" w:pos="720"/>
          <w:tab w:val="left" w:pos="4500" w:leader="none"/>
        </w:tabs>
        <w:rPr/>
      </w:pPr>
      <w:r>
        <w:rPr/>
        <w:t>(Corporate Seal)</w:t>
      </w:r>
    </w:p>
    <w:p>
      <w:pPr>
        <w:pStyle w:val="Normal"/>
        <w:tabs>
          <w:tab w:val="clear" w:pos="720"/>
          <w:tab w:val="left" w:pos="4500" w:leader="none"/>
        </w:tabs>
        <w:rPr/>
      </w:pPr>
      <w:r>
        <w:rPr/>
      </w:r>
    </w:p>
    <w:p>
      <w:pPr>
        <w:pStyle w:val="Normal"/>
        <w:tabs>
          <w:tab w:val="clear" w:pos="720"/>
          <w:tab w:val="left" w:pos="4500" w:leader="none"/>
        </w:tabs>
        <w:rPr/>
      </w:pPr>
      <w:r>
        <w:rPr/>
      </w:r>
    </w:p>
    <w:p>
      <w:pPr>
        <w:pStyle w:val="Normal"/>
        <w:jc w:val="both"/>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3"/>
      <w:numFmt w:val="decimal"/>
      <w:lvlText w:val="%1."/>
      <w:lvlJc w:val="start"/>
      <w:pPr>
        <w:tabs>
          <w:tab w:val="num" w:pos="1440"/>
        </w:tabs>
        <w:ind w:start="1440" w:hanging="720"/>
      </w:pPr>
      <w:rPr>
        <w:u w:val="none"/>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6"/>
      <w:numFmt w:val="decimal"/>
      <w:lvlText w:val="%1."/>
      <w:lvlJc w:val="start"/>
      <w:pPr>
        <w:tabs>
          <w:tab w:val="num" w:pos="1440"/>
        </w:tabs>
        <w:ind w:start="1440" w:hanging="720"/>
      </w:pPr>
      <w:rPr>
        <w:u w:val="none"/>
      </w:rPr>
    </w:lvl>
  </w:abstractNum>
  <w:abstractNum w:abstractNumId="5">
    <w:lvl w:ilvl="0">
      <w:start w:val="10"/>
      <w:numFmt w:val="decimal"/>
      <w:lvlText w:val="%1."/>
      <w:lvlJc w:val="start"/>
      <w:pPr>
        <w:tabs>
          <w:tab w:val="num" w:pos="1440"/>
        </w:tabs>
        <w:ind w:start="1440" w:hanging="720"/>
      </w:pPr>
      <w:rPr>
        <w:u w:val="none"/>
      </w:rPr>
    </w:lvl>
  </w:abstractNum>
  <w:abstractNum w:abstractNumId="6">
    <w:lvl w:ilvl="0">
      <w:start w:val="21"/>
      <w:numFmt w:val="decimal"/>
      <w:lvlText w:val="%1."/>
      <w:lvlJc w:val="start"/>
      <w:pPr>
        <w:tabs>
          <w:tab w:val="num" w:pos="1440"/>
        </w:tabs>
        <w:ind w:start="1440" w:hanging="720"/>
      </w:pPr>
      <w:rPr>
        <w:u w:val="none"/>
      </w:rPr>
    </w:lvl>
  </w:abstractNum>
  <w:abstractNum w:abstractNumId="7">
    <w:lvl w:ilvl="0">
      <w:start w:val="5"/>
      <w:numFmt w:val="decimal"/>
      <w:lvlText w:val="%1."/>
      <w:lvlJc w:val="start"/>
      <w:pPr>
        <w:tabs>
          <w:tab w:val="num" w:pos="1440"/>
        </w:tabs>
        <w:ind w:start="1440" w:hanging="7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sz w:val="22"/>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b w:val="false"/>
      <w:u w:val="none"/>
    </w:rPr>
  </w:style>
  <w:style w:type="character" w:styleId="WW8Num7z0">
    <w:name w:val="WW8Num7z0"/>
    <w:qFormat/>
    <w:rPr/>
  </w:style>
  <w:style w:type="character" w:styleId="WW8Num8z0">
    <w:name w:val="WW8Num8z0"/>
    <w:qFormat/>
    <w:rPr>
      <w:u w:val="none"/>
    </w:rPr>
  </w:style>
  <w:style w:type="character" w:styleId="WW8Num9z0">
    <w:name w:val="WW8Num9z0"/>
    <w:qFormat/>
    <w:rPr>
      <w:u w:val="none"/>
    </w:rPr>
  </w:style>
  <w:style w:type="character" w:styleId="WW8Num10z0">
    <w:name w:val="WW8Num10z0"/>
    <w:qFormat/>
    <w:rPr>
      <w:u w:val="none"/>
    </w:rPr>
  </w:style>
  <w:style w:type="character" w:styleId="WW8Num11z0">
    <w:name w:val="WW8Num11z0"/>
    <w:qFormat/>
    <w:rPr/>
  </w:style>
  <w:style w:type="character" w:styleId="WW8Num12z0">
    <w:name w:val="WW8Num12z0"/>
    <w:qFormat/>
    <w:rPr>
      <w:b w:val="false"/>
      <w:u w:val="none"/>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Cs w:val="20"/>
    </w:rPr>
  </w:style>
  <w:style w:type="paragraph" w:styleId="BodyTextIndent2">
    <w:name w:val="Body Text Indent 2"/>
    <w:basedOn w:val="Normal"/>
    <w:qFormat/>
    <w:pPr>
      <w:ind w:hanging="0" w:start="720" w:end="0"/>
      <w:jc w:val="both"/>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BodyTextIndent3">
    <w:name w:val="Body Text Indent 3"/>
    <w:basedOn w:val="Normal"/>
    <w:qFormat/>
    <w:pPr>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2001-01-08T18:19:00Z</dcterms:created>
  <dc:creator>System Administrator</dc:creator>
  <dc:description/>
  <dc:language>en-CA</dc:language>
  <cp:lastModifiedBy>KJohnson</cp:lastModifiedBy>
  <cp:lastPrinted>2001-01-08T15:13:00Z</cp:lastPrinted>
  <dcterms:modified xsi:type="dcterms:W3CDTF">2001-01-08T18:19:00Z</dcterms:modified>
  <cp:revision>2</cp:revision>
  <dc:subject/>
  <dc:title>COAL HAULING AGREEMENT</dc:title>
</cp:coreProperties>
</file>