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"ELIGIBLE SWAP PARTICIPANTS"</w:t>
      </w:r>
    </w:p>
    <w:p>
      <w:pPr>
        <w:pStyle w:val="Normal"/>
        <w:ind w:hanging="720" w:start="720" w:end="0"/>
        <w:jc w:val="both"/>
        <w:rPr>
          <w:b/>
          <w:sz w:val="28"/>
        </w:rPr>
      </w:pPr>
      <w:r>
        <w:rPr>
          <w:b/>
          <w:sz w:val="28"/>
        </w:rPr>
      </w:r>
    </w:p>
    <w:p>
      <w:pPr>
        <w:pStyle w:val="Normal"/>
        <w:ind w:hanging="720" w:start="720" w:end="0"/>
        <w:jc w:val="both"/>
        <w:rPr>
          <w:sz w:val="22"/>
        </w:rPr>
      </w:pPr>
      <w:r>
        <w:rPr>
          <w:sz w:val="22"/>
        </w:rPr>
        <w:tab/>
        <w:t>The swap agreement must be between "eligible swap participants" which include:</w:t>
      </w:r>
    </w:p>
    <w:p>
      <w:pPr>
        <w:pStyle w:val="Normal"/>
        <w:ind w:hanging="720" w:start="1440" w:end="0"/>
        <w:jc w:val="both"/>
        <w:rPr>
          <w:sz w:val="22"/>
        </w:rPr>
      </w:pPr>
      <w:r>
        <w:rPr>
          <w:sz w:val="22"/>
        </w:rPr>
      </w:r>
    </w:p>
    <w:p>
      <w:pPr>
        <w:pStyle w:val="Normal"/>
        <w:numPr>
          <w:ilvl w:val="0"/>
          <w:numId w:val="2"/>
        </w:numPr>
        <w:ind w:hanging="720" w:start="720" w:end="0"/>
        <w:jc w:val="both"/>
        <w:rPr>
          <w:sz w:val="22"/>
        </w:rPr>
      </w:pPr>
      <w:r>
        <w:rPr>
          <w:sz w:val="22"/>
        </w:rPr>
        <w:t>a bank or trust company (acting on its own behalf or on behalf of another eligible swap participant);</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savings association or credit union;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 insurance company;</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 investment company subject to regulation under the Investment Company Act of 1940 or a similarly regulated foreign person;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commodity pool subject to the Commodity Exchange Act (“CEA”) having assets exceeding $5 million or a similarly regulated foreign person;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corporation, partnership, proprietorship, organization, trust or other entity (not formed for the specific purpose of constituting an eligible swap participant) (A) having total assets in excess of $10 million, (B) the obligations of the swap agreement are guaranteed by a letter of credit or other agreement, by an entity referred to in Items 1 – 6 or 8, or (C) which has a net worth of $1 million and enters into the swap agreement in connection with the conduct of its business, or which has a net worth of $1 million and enters into the swap agreement to manage the risk of an asset or liability owned or incurred in the conduct of its business or reasonably likely to be owned or incurred in the conduct of its business;</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employee benefit plans subject to ERISA with total assets exceeding $5 million or whose investment decisions are made by a bank, trust company, insurance company, investment adviser subject to the Investment Advisors Act of 1940, or a commodity trading advisor subject to the CEA;</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any governmental entity (including the United States, any state, or any foreign government) or political subdivision thereof, or any multinational or supranational entity or any instrumentality, agency, or department of any of the foregoing;</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 xml:space="preserve">any broker dealer subject to regulation under the Securities Exchange Act of 1934 or a foreign person performing a similar role or function subject as such to foreign regulation, acting on its own behalf or on behalf of another eligible swap participant:  </w:t>
      </w:r>
      <w:r>
        <w:rPr>
          <w:i/>
          <w:sz w:val="22"/>
        </w:rPr>
        <w:t>provided, however</w:t>
      </w:r>
      <w:r>
        <w:rPr>
          <w:sz w:val="22"/>
        </w:rPr>
        <w:t>, that if such broker-dealer is a natural person or proprietorship, the broker-dealer must also meet the requirements of Item 6 above or Item 11;</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 xml:space="preserve">a futures commission merchant, floor broker, or floor trader subject to the CEA or a foreign person performing a similar function subject as such to foreign regulation acting on its own behalf or on behalf of another eligible swap participant, </w:t>
      </w:r>
      <w:r>
        <w:rPr>
          <w:i/>
          <w:sz w:val="22"/>
        </w:rPr>
        <w:t>provided, however</w:t>
      </w:r>
      <w:r>
        <w:rPr>
          <w:sz w:val="22"/>
        </w:rPr>
        <w:t>,  that if such futures commission merchant, floor broker, or floor trader is a natural person or proprietorship, the futures commission merchant, floor broker, or floor trader must also meet the requirements of Item 6 above or Item 11 below; or</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natural person having total assets in excess of $10 million.</w:t>
      </w:r>
    </w:p>
    <w:p>
      <w:pPr>
        <w:pStyle w:val="BodyTextIndent"/>
        <w:tabs>
          <w:tab w:val="left" w:pos="360" w:leader="none"/>
          <w:tab w:val="left" w:pos="1440" w:leader="none"/>
          <w:tab w:val="left" w:pos="1620" w:leader="none"/>
        </w:tabs>
        <w:ind w:hanging="1620" w:start="1620" w:end="0"/>
        <w:rPr>
          <w:sz w:val="22"/>
        </w:rPr>
      </w:pPr>
      <w:r>
        <w:rPr>
          <w:sz w:val="22"/>
        </w:rPr>
      </w:r>
    </w:p>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/mnt/main-storage/datasets/enron-docs/doc/Eligible_Swap_Participants.doc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07" w:end="271"/>
      <w:jc w:val="center"/>
      <w:outlineLvl w:val="0"/>
    </w:pPr>
    <w:rPr>
      <w:rFonts w:ascii="Arial" w:hAnsi="Arial" w:cs="Arial"/>
      <w:sz w:val="24"/>
    </w:rPr>
  </w:style>
  <w:style w:type="paragraph" w:styleId="Heading2">
    <w:name w:val="heading 2"/>
    <w:basedOn w:val="Normal"/>
    <w:next w:val="Normal"/>
    <w:qFormat/>
    <w:pPr>
      <w:keepNext w:val="true"/>
      <w:numPr>
        <w:ilvl w:val="1"/>
        <w:numId w:val="1"/>
      </w:numPr>
      <w:ind w:hanging="0" w:start="1080" w:end="0"/>
      <w:jc w:val="both"/>
      <w:outlineLvl w:val="1"/>
    </w:pPr>
    <w:rPr>
      <w:rFonts w:ascii="Arial" w:hAnsi="Arial" w:cs="Arial"/>
      <w:b/>
      <w:sz w:val="24"/>
    </w:rPr>
  </w:style>
  <w:style w:type="paragraph" w:styleId="Heading3">
    <w:name w:val="heading 3"/>
    <w:basedOn w:val="Normal"/>
    <w:next w:val="Normal"/>
    <w:qFormat/>
    <w:pPr>
      <w:keepNext w:val="true"/>
      <w:numPr>
        <w:ilvl w:val="2"/>
        <w:numId w:val="1"/>
      </w:numPr>
      <w:tabs>
        <w:tab w:val="clear" w:pos="720"/>
        <w:tab w:val="left" w:pos="1080" w:leader="none"/>
      </w:tabs>
      <w:jc w:val="both"/>
      <w:outlineLvl w:val="2"/>
    </w:pPr>
    <w:rPr>
      <w:sz w:val="24"/>
    </w:rPr>
  </w:style>
  <w:style w:type="paragraph" w:styleId="Heading4">
    <w:name w:val="heading 4"/>
    <w:basedOn w:val="Normal"/>
    <w:next w:val="Normal"/>
    <w:qFormat/>
    <w:pPr>
      <w:keepNext w:val="true"/>
      <w:numPr>
        <w:ilvl w:val="3"/>
        <w:numId w:val="1"/>
      </w:numPr>
      <w:ind w:hanging="0" w:start="900" w:end="0"/>
      <w:outlineLvl w:val="3"/>
    </w:pPr>
    <w:rPr>
      <w:rFonts w:ascii="Arial" w:hAnsi="Arial" w:cs="Arial"/>
      <w:sz w:val="24"/>
    </w:rPr>
  </w:style>
  <w:style w:type="paragraph" w:styleId="Heading5">
    <w:name w:val="heading 5"/>
    <w:basedOn w:val="Normal"/>
    <w:next w:val="Normal"/>
    <w:qFormat/>
    <w:pPr>
      <w:keepNext w:val="true"/>
      <w:numPr>
        <w:ilvl w:val="4"/>
        <w:numId w:val="1"/>
      </w:numPr>
      <w:ind w:hanging="1080" w:start="1440" w:end="0"/>
      <w:jc w:val="both"/>
      <w:outlineLvl w:val="4"/>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1440" w:start="1440" w:end="0"/>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1999-11-04T13:52:00Z</dcterms:created>
  <dc:creator>kaye ellis</dc:creator>
  <dc:description/>
  <dc:language>en-CA</dc:language>
  <cp:lastModifiedBy>kaye ellis</cp:lastModifiedBy>
  <cp:lastPrinted>1999-11-04T10:34:00Z</cp:lastPrinted>
  <dcterms:modified xsi:type="dcterms:W3CDTF">1999-11-04T14:04:00Z</dcterms:modified>
  <cp:revision>3</cp:revision>
  <dc:subject/>
  <dc:title>Re:</dc:title>
</cp:coreProperties>
</file>