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med1st1"/>
        <w:numPr>
          <w:ilvl w:val="0"/>
          <w:numId w:val="0"/>
        </w:numPr>
        <w:spacing w:before="0" w:after="110"/>
        <w:ind w:hanging="0" w:start="0"/>
        <w:rPr>
          <w:u w:val="single"/>
        </w:rPr>
      </w:pPr>
      <w:r>
        <w:rPr>
          <w:u w:val="single"/>
        </w:rPr>
        <w:t>ELEKTRO</w:t>
      </w:r>
    </w:p>
    <w:p>
      <w:pPr>
        <w:pStyle w:val="Bmed1st1"/>
        <w:numPr>
          <w:ilvl w:val="0"/>
          <w:numId w:val="0"/>
        </w:numPr>
        <w:spacing w:before="0" w:after="110"/>
        <w:ind w:hanging="0" w:start="0"/>
        <w:rPr>
          <w:u w:val="single"/>
        </w:rPr>
      </w:pPr>
      <w:r>
        <w:rPr>
          <w:u w:val="single"/>
        </w:rPr>
      </w:r>
    </w:p>
    <w:p>
      <w:pPr>
        <w:pStyle w:val="Bmed1st1"/>
        <w:numPr>
          <w:ilvl w:val="0"/>
          <w:numId w:val="0"/>
        </w:numPr>
        <w:spacing w:before="0" w:after="110"/>
        <w:ind w:hanging="0" w:start="0"/>
        <w:rPr/>
      </w:pPr>
      <w:r>
        <w:rPr/>
      </w:r>
    </w:p>
    <w:p>
      <w:pPr>
        <w:pStyle w:val="Bmed1st1"/>
        <w:numPr>
          <w:ilvl w:val="0"/>
          <w:numId w:val="4"/>
        </w:numPr>
        <w:spacing w:before="0" w:after="110"/>
        <w:ind w:hanging="0" w:start="0"/>
        <w:rPr/>
      </w:pPr>
      <w:r>
        <w:rPr>
          <w:i/>
        </w:rPr>
        <w:t>Transparent and Stable Tariff Regime</w:t>
      </w:r>
      <w:r>
        <w:rPr/>
        <w:t xml:space="preserve"> – On its privatization, Elektro was granted a new concession contract.  As part of this contract, Elektro’s tariffs are set for 5 years until [September 2002] with annual pass-through of inflation in respect of its controllable costs and full pass-through of all non-controllable costs (power purchase costs, CCC, RGR, sales taxes etc.).  The terms of the tariff regime have been adhered to buy ANEEL since the company’s privatization.</w:t>
      </w:r>
    </w:p>
    <w:p>
      <w:pPr>
        <w:pStyle w:val="Bmed1st1"/>
        <w:numPr>
          <w:ilvl w:val="0"/>
          <w:numId w:val="4"/>
        </w:numPr>
        <w:spacing w:before="0" w:after="110"/>
        <w:ind w:hanging="0" w:start="0"/>
        <w:rPr/>
      </w:pPr>
      <w:r>
        <w:rPr>
          <w:i/>
        </w:rPr>
        <w:t>Overcoming Devaluation Effects</w:t>
      </w:r>
      <w:r>
        <w:rPr/>
        <w:t xml:space="preserve"> – Under the terms of its concession contract, Elektro’s tariffs are indexed to IGPM, a wholesale market price index while its costs tend to be more closely related to the Indice de Preços ao Consumidor (“IPC”).  In 1999, the IGPM exceeded by 12.3% the IPC, thus allowing Elektro to increase its tariffs at a higher rate than its costs.  In June and September 1999, Elektro received 16.3% and 6.5% increases in its tariffs, with respect to fuel and power cost pass-through adjustments and IGPM adjustments, respectively.  Enron currently expects a further increase of approximately 17% in September 2000 relating to IGPM alone and excluding pass-through of fuel, power purchase costs and other cost increases.  As a result of these increases and the continuing strength of the Real, Elektro will have a tariff which is substantially equivalent in dollar terms to the pre-devaluation tariff level.</w:t>
      </w:r>
    </w:p>
    <w:p>
      <w:pPr>
        <w:pStyle w:val="BLKmed1st1"/>
        <w:numPr>
          <w:ilvl w:val="0"/>
          <w:numId w:val="2"/>
        </w:numPr>
        <w:spacing w:lineRule="auto" w:line="240" w:before="0" w:after="110"/>
        <w:rPr/>
      </w:pPr>
      <w:r>
        <w:rPr>
          <w:i/>
        </w:rPr>
        <w:t>Customer Oriented Culture</w:t>
      </w:r>
      <w:r>
        <w:rPr/>
        <w:t xml:space="preserve"> – Elektro has developed a customer-oriented approach to providing service as evidenced by the fact that it is the only electricity distribution company in Brazil with a fully-integrated customer call center.  Its call center is connected with Elektro’s database as well as maintenance crews.  Accordingly, upon receiving a call from any customer, the customer representative can identify the location and account status of such customer as well as the nearest maintenance crew.  Elektro’s call center has been named the best in the electricity distribution industry in Brazil.</w:t>
      </w:r>
    </w:p>
    <w:p>
      <w:pPr>
        <w:pStyle w:val="BLKmed1st1"/>
        <w:numPr>
          <w:ilvl w:val="0"/>
          <w:numId w:val="2"/>
        </w:numPr>
        <w:spacing w:lineRule="auto" w:line="240"/>
        <w:rPr/>
      </w:pPr>
      <w:r>
        <w:rPr>
          <w:i/>
        </w:rPr>
        <w:t>Anchor Demand for Development of Gas-Fired Power Generation Capacity</w:t>
      </w:r>
      <w:r>
        <w:rPr/>
        <w:t xml:space="preserve"> – Current regulations in Brazil permit distribution companies to contract with related companies for up to 30% of their total electricity requirements for regulated customers.  On this basis, Elektro could provide anchor demand for almost 1,000MW of gas-fired generation capacity by 200[5], representing potential natural gas consumption of [   ]MM</w:t>
      </w:r>
      <w:r>
        <w:rPr>
          <w:vertAlign w:val="superscript"/>
        </w:rPr>
        <w:t>3</w:t>
      </w:r>
      <w:r>
        <w:rPr/>
        <w:t xml:space="preserve"> per day at a load factor of 80%.  Elektro’s location on BBPL could also facilitate the development of gas-fired power generation capacity.  It is also worth noting that new generation contract prices must comply with the price limits set by ANEEL (the “Normative Values”).  For gas-fired plant the Normative Value is currently US$32.4/MWh.</w:t>
      </w:r>
    </w:p>
    <w:p>
      <w:pPr>
        <w:pStyle w:val="BLKmed1st1"/>
        <w:rPr/>
      </w:pPr>
      <w:r>
        <w:rPr/>
        <w:t>*********</w:t>
      </w:r>
      <w:r>
        <w:br w:type="page"/>
      </w:r>
    </w:p>
    <w:p>
      <w:pPr>
        <w:pStyle w:val="BLKmed1st1"/>
        <w:rPr/>
      </w:pPr>
      <w:r>
        <w:rPr/>
      </w:r>
    </w:p>
    <w:p>
      <w:pPr>
        <w:pStyle w:val="BLKmed1st1"/>
        <w:rPr/>
      </w:pPr>
      <w:r>
        <w:rPr/>
        <w:t>The electricity sector in Brazil is coordinated by Eletrobrás and regulated by the Agência Nacional de Energia Elétrica (“ANEEL”), an agency that is part of the Ministry of Mining and Energy.</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321310"/>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Regulatory Framework and Tariffs</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Regulatory Framework and Tariffs</w:t>
                      </w:r>
                    </w:p>
                  </w:txbxContent>
                </v:textbox>
                <w10:wrap type="square"/>
              </v:rect>
            </w:pict>
          </mc:Fallback>
        </mc:AlternateContent>
      </w:r>
    </w:p>
    <w:p>
      <w:pPr>
        <w:pStyle w:val="BLKmed1st1"/>
        <w:rPr/>
      </w:pPr>
      <w:r>
        <w:rPr/>
        <w:t>Tariffs for distribution companies are set and reviewed by ANEEL.  They are reset every 5 years with annual adjustments for pass-through of non-controllable costs such as transmission costs, electricity purchases and taxes (except income taxes).  These adjustments to Elektro’s tariffs are made [in September].  In addition, tariffs are adjusted annually to reflect the pass-through of inflation (IGPM) on all controllable costs.  In addition to these specific adjustments, Elektro is entitled pursuant to its concession contract to a review of its tariffs at any time in order to restore “financial-economic equilibrium.”</w:t>
      </w:r>
    </w:p>
    <w:p>
      <w:pPr>
        <w:pStyle w:val="BLKmed1st1"/>
        <w:rPr/>
      </w:pPr>
      <w:r>
        <w:rPr/>
        <w:t>Elektro’s first review will be in August 2003.  No detailed criteria for the review of tariffs have been set by ANEEL but these are expected to be made public [during 2000].  Elektro’s subsequent tariff review will take place in August 2008.</w:t>
      </w:r>
    </w:p>
    <w:p>
      <w:pPr>
        <w:pStyle w:val="BLKmed1st1"/>
        <w:rPr/>
      </w:pPr>
      <w:r>
        <w:rPr/>
        <w:t>In 1999, Elektro received two tariff adjustments under the concession contract formula.  The first was in June-August for 16.4% and was intended to adjust tariffs to reflect increases in fuel related (CCC) and power purchase related (CESP PPA and Itaipu Power Purchases) costs and changes in RGR payments.  The second in September for 6.5% was the annual IGPM adjustment applied to Elektro’s controllable costs, reflecting IGPM inflation of [  ]% over the period September 1998 to August 1999.  In September, 2000, Elektro should receive an IGPM adjustment of an estimated 17% given that the accumulated inflation as measured by IGPM from September 1, 1999 to December 31, 1999 was already over 10%.  In addition, adjustments should occur in August 2000 for fuel, power purchase related costs, and other cost increases.</w:t>
      </w:r>
    </w:p>
    <w:p>
      <w:pPr>
        <w:pStyle w:val="BLKmed1st1"/>
        <w:rPr/>
      </w:pPr>
      <w:r>
        <w:rPr/>
        <w:t>Elektro’s average tariffs by customer category over the period 1994-1999 have been as follows:</w:t>
      </w:r>
    </w:p>
    <w:p>
      <w:pPr>
        <w:pStyle w:val="TableTitlemed1"/>
        <w:rPr/>
      </w:pPr>
      <w:r>
        <w:rPr/>
        <w:t>Average Tariff (Net of ICMS)</w:t>
        <w:br/>
      </w:r>
      <w:r>
        <w:rPr>
          <w:sz w:val="18"/>
        </w:rPr>
        <w:t>(US$)</w:t>
      </w:r>
    </w:p>
    <w:tbl>
      <w:tblPr>
        <w:tblW w:w="6332" w:type="dxa"/>
        <w:jc w:val="center"/>
        <w:tblInd w:w="0" w:type="dxa"/>
        <w:tblLayout w:type="fixed"/>
        <w:tblCellMar>
          <w:top w:w="0" w:type="dxa"/>
          <w:start w:w="108" w:type="dxa"/>
          <w:bottom w:w="0" w:type="dxa"/>
          <w:end w:w="108" w:type="dxa"/>
        </w:tblCellMar>
      </w:tblPr>
      <w:tblGrid>
        <w:gridCol w:w="2520"/>
        <w:gridCol w:w="810"/>
        <w:gridCol w:w="810"/>
        <w:gridCol w:w="720"/>
        <w:gridCol w:w="720"/>
        <w:gridCol w:w="752"/>
      </w:tblGrid>
      <w:tr>
        <w:trPr>
          <w:tblHeader w:val="true"/>
        </w:trPr>
        <w:tc>
          <w:tcPr>
            <w:tcW w:w="2520"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1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1995</w:t>
            </w:r>
          </w:p>
        </w:tc>
        <w:tc>
          <w:tcPr>
            <w:tcW w:w="81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1996</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1997</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1998</w:t>
            </w:r>
          </w:p>
        </w:tc>
        <w:tc>
          <w:tcPr>
            <w:tcW w:w="752"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1999</w:t>
            </w:r>
          </w:p>
        </w:tc>
      </w:tr>
      <w:tr>
        <w:trPr>
          <w:tblHeader w:val="true"/>
        </w:trPr>
        <w:tc>
          <w:tcPr>
            <w:tcW w:w="2520" w:type="dxa"/>
            <w:tcBorders>
              <w:start w:val="single" w:sz="6" w:space="0" w:color="000000"/>
            </w:tcBorders>
          </w:tcPr>
          <w:p>
            <w:pPr>
              <w:pStyle w:val="TableHeadSpace"/>
              <w:rPr/>
            </w:pPr>
            <w:r>
              <w:rPr>
                <w:rStyle w:val="hidden"/>
                <w:sz w:val="18"/>
              </w:rPr>
              <w:t>DO NOT DELETE</w:t>
            </w:r>
          </w:p>
        </w:tc>
        <w:tc>
          <w:tcPr>
            <w:tcW w:w="810" w:type="dxa"/>
            <w:tcBorders/>
          </w:tcPr>
          <w:p>
            <w:pPr>
              <w:pStyle w:val="TableHeadSpace"/>
              <w:snapToGrid w:val="false"/>
              <w:rPr>
                <w:rStyle w:val="hidden"/>
                <w:sz w:val="18"/>
              </w:rPr>
            </w:pPr>
            <w:r>
              <w:rPr/>
            </w:r>
          </w:p>
        </w:tc>
        <w:tc>
          <w:tcPr>
            <w:tcW w:w="810" w:type="dxa"/>
            <w:tcBorders/>
          </w:tcPr>
          <w:p>
            <w:pPr>
              <w:pStyle w:val="TableHeadSpace"/>
              <w:snapToGrid w:val="false"/>
              <w:rPr>
                <w:sz w:val="18"/>
              </w:rPr>
            </w:pPr>
            <w:r>
              <w:rPr>
                <w:sz w:val="18"/>
              </w:rPr>
            </w:r>
          </w:p>
        </w:tc>
        <w:tc>
          <w:tcPr>
            <w:tcW w:w="720" w:type="dxa"/>
            <w:tcBorders/>
          </w:tcPr>
          <w:p>
            <w:pPr>
              <w:pStyle w:val="TableHeadSpace"/>
              <w:snapToGrid w:val="false"/>
              <w:rPr>
                <w:sz w:val="18"/>
              </w:rPr>
            </w:pPr>
            <w:r>
              <w:rPr>
                <w:sz w:val="18"/>
              </w:rPr>
            </w:r>
          </w:p>
        </w:tc>
        <w:tc>
          <w:tcPr>
            <w:tcW w:w="720" w:type="dxa"/>
            <w:tcBorders/>
          </w:tcPr>
          <w:p>
            <w:pPr>
              <w:pStyle w:val="TableHeadSpace"/>
              <w:snapToGrid w:val="false"/>
              <w:rPr>
                <w:sz w:val="18"/>
              </w:rPr>
            </w:pPr>
            <w:r>
              <w:rPr>
                <w:sz w:val="18"/>
              </w:rPr>
            </w:r>
          </w:p>
        </w:tc>
        <w:tc>
          <w:tcPr>
            <w:tcW w:w="752" w:type="dxa"/>
            <w:tcBorders>
              <w:end w:val="single" w:sz="6" w:space="0" w:color="000000"/>
            </w:tcBorders>
          </w:tcPr>
          <w:p>
            <w:pPr>
              <w:pStyle w:val="TableHeadSpace"/>
              <w:snapToGrid w:val="false"/>
              <w:rPr>
                <w:sz w:val="18"/>
              </w:rPr>
            </w:pPr>
            <w:r>
              <w:rPr>
                <w:sz w:val="18"/>
              </w:rPr>
            </w:r>
          </w:p>
        </w:tc>
      </w:tr>
      <w:tr>
        <w:trPr/>
        <w:tc>
          <w:tcPr>
            <w:tcW w:w="2520" w:type="dxa"/>
            <w:tcBorders>
              <w:start w:val="single" w:sz="6" w:space="0" w:color="000000"/>
            </w:tcBorders>
          </w:tcPr>
          <w:p>
            <w:pPr>
              <w:pStyle w:val="TableBody"/>
              <w:rPr>
                <w:sz w:val="18"/>
              </w:rPr>
            </w:pPr>
            <w:r>
              <w:rPr>
                <w:sz w:val="18"/>
              </w:rPr>
              <w:t>Residential</w:t>
            </w:r>
          </w:p>
        </w:tc>
        <w:tc>
          <w:tcPr>
            <w:tcW w:w="810" w:type="dxa"/>
            <w:tcBorders/>
          </w:tcPr>
          <w:p>
            <w:pPr>
              <w:pStyle w:val="TableBody"/>
              <w:tabs>
                <w:tab w:val="clear" w:pos="720"/>
                <w:tab w:val="decimal" w:pos="342" w:leader="none"/>
              </w:tabs>
              <w:rPr>
                <w:sz w:val="18"/>
              </w:rPr>
            </w:pPr>
            <w:r>
              <w:rPr>
                <w:sz w:val="18"/>
              </w:rPr>
              <w:t>82.70</w:t>
            </w:r>
          </w:p>
        </w:tc>
        <w:tc>
          <w:tcPr>
            <w:tcW w:w="810" w:type="dxa"/>
            <w:tcBorders/>
          </w:tcPr>
          <w:p>
            <w:pPr>
              <w:pStyle w:val="TableBody"/>
              <w:tabs>
                <w:tab w:val="clear" w:pos="720"/>
                <w:tab w:val="decimal" w:pos="342" w:leader="none"/>
              </w:tabs>
              <w:rPr>
                <w:sz w:val="18"/>
              </w:rPr>
            </w:pPr>
            <w:r>
              <w:rPr>
                <w:sz w:val="18"/>
              </w:rPr>
              <w:t>108.93</w:t>
            </w:r>
          </w:p>
        </w:tc>
        <w:tc>
          <w:tcPr>
            <w:tcW w:w="720" w:type="dxa"/>
            <w:tcBorders/>
          </w:tcPr>
          <w:p>
            <w:pPr>
              <w:pStyle w:val="TableBody"/>
              <w:tabs>
                <w:tab w:val="clear" w:pos="720"/>
                <w:tab w:val="decimal" w:pos="342" w:leader="none"/>
              </w:tabs>
              <w:rPr>
                <w:sz w:val="18"/>
              </w:rPr>
            </w:pPr>
            <w:r>
              <w:rPr>
                <w:sz w:val="18"/>
              </w:rPr>
              <w:t>113.35</w:t>
            </w:r>
          </w:p>
        </w:tc>
        <w:tc>
          <w:tcPr>
            <w:tcW w:w="720" w:type="dxa"/>
            <w:tcBorders/>
          </w:tcPr>
          <w:p>
            <w:pPr>
              <w:pStyle w:val="TableBody"/>
              <w:tabs>
                <w:tab w:val="clear" w:pos="720"/>
                <w:tab w:val="decimal" w:pos="342" w:leader="none"/>
              </w:tabs>
              <w:rPr>
                <w:sz w:val="18"/>
              </w:rPr>
            </w:pPr>
            <w:r>
              <w:rPr>
                <w:sz w:val="18"/>
              </w:rPr>
              <w:t>108.63</w:t>
            </w:r>
          </w:p>
        </w:tc>
        <w:tc>
          <w:tcPr>
            <w:tcW w:w="752" w:type="dxa"/>
            <w:tcBorders>
              <w:end w:val="single" w:sz="6" w:space="0" w:color="000000"/>
            </w:tcBorders>
          </w:tcPr>
          <w:p>
            <w:pPr>
              <w:pStyle w:val="TableBody"/>
              <w:tabs>
                <w:tab w:val="clear" w:pos="720"/>
                <w:tab w:val="decimal" w:pos="342" w:leader="none"/>
              </w:tabs>
              <w:rPr>
                <w:sz w:val="18"/>
              </w:rPr>
            </w:pPr>
            <w:r>
              <w:rPr>
                <w:sz w:val="18"/>
              </w:rPr>
              <w:t>76.25</w:t>
            </w:r>
          </w:p>
        </w:tc>
      </w:tr>
      <w:tr>
        <w:trPr/>
        <w:tc>
          <w:tcPr>
            <w:tcW w:w="2520" w:type="dxa"/>
            <w:tcBorders>
              <w:start w:val="single" w:sz="6" w:space="0" w:color="000000"/>
            </w:tcBorders>
          </w:tcPr>
          <w:p>
            <w:pPr>
              <w:pStyle w:val="TableBody"/>
              <w:rPr>
                <w:sz w:val="18"/>
              </w:rPr>
            </w:pPr>
            <w:r>
              <w:rPr>
                <w:sz w:val="18"/>
              </w:rPr>
              <w:t>Industrial</w:t>
            </w:r>
          </w:p>
        </w:tc>
        <w:tc>
          <w:tcPr>
            <w:tcW w:w="810" w:type="dxa"/>
            <w:tcBorders/>
          </w:tcPr>
          <w:p>
            <w:pPr>
              <w:pStyle w:val="TableBody"/>
              <w:tabs>
                <w:tab w:val="clear" w:pos="720"/>
                <w:tab w:val="decimal" w:pos="342" w:leader="none"/>
              </w:tabs>
              <w:rPr>
                <w:sz w:val="18"/>
              </w:rPr>
            </w:pPr>
            <w:r>
              <w:rPr>
                <w:sz w:val="18"/>
              </w:rPr>
              <w:t>53.87</w:t>
            </w:r>
          </w:p>
        </w:tc>
        <w:tc>
          <w:tcPr>
            <w:tcW w:w="810" w:type="dxa"/>
            <w:tcBorders/>
          </w:tcPr>
          <w:p>
            <w:pPr>
              <w:pStyle w:val="TableBody"/>
              <w:tabs>
                <w:tab w:val="clear" w:pos="720"/>
                <w:tab w:val="decimal" w:pos="342" w:leader="none"/>
              </w:tabs>
              <w:rPr>
                <w:sz w:val="18"/>
              </w:rPr>
            </w:pPr>
            <w:r>
              <w:rPr>
                <w:sz w:val="18"/>
              </w:rPr>
              <w:t>59.78</w:t>
            </w:r>
          </w:p>
        </w:tc>
        <w:tc>
          <w:tcPr>
            <w:tcW w:w="720" w:type="dxa"/>
            <w:tcBorders/>
          </w:tcPr>
          <w:p>
            <w:pPr>
              <w:pStyle w:val="TableBody"/>
              <w:tabs>
                <w:tab w:val="clear" w:pos="720"/>
                <w:tab w:val="decimal" w:pos="342" w:leader="none"/>
              </w:tabs>
              <w:rPr>
                <w:sz w:val="18"/>
              </w:rPr>
            </w:pPr>
            <w:r>
              <w:rPr>
                <w:sz w:val="18"/>
              </w:rPr>
              <w:t>59.77</w:t>
            </w:r>
          </w:p>
        </w:tc>
        <w:tc>
          <w:tcPr>
            <w:tcW w:w="720" w:type="dxa"/>
            <w:tcBorders/>
          </w:tcPr>
          <w:p>
            <w:pPr>
              <w:pStyle w:val="TableBody"/>
              <w:tabs>
                <w:tab w:val="clear" w:pos="720"/>
                <w:tab w:val="decimal" w:pos="342" w:leader="none"/>
              </w:tabs>
              <w:rPr>
                <w:sz w:val="18"/>
              </w:rPr>
            </w:pPr>
            <w:r>
              <w:rPr>
                <w:sz w:val="18"/>
              </w:rPr>
              <w:t>57.28</w:t>
            </w:r>
          </w:p>
        </w:tc>
        <w:tc>
          <w:tcPr>
            <w:tcW w:w="752" w:type="dxa"/>
            <w:tcBorders>
              <w:end w:val="single" w:sz="6" w:space="0" w:color="000000"/>
            </w:tcBorders>
          </w:tcPr>
          <w:p>
            <w:pPr>
              <w:pStyle w:val="TableBody"/>
              <w:tabs>
                <w:tab w:val="clear" w:pos="720"/>
                <w:tab w:val="decimal" w:pos="342" w:leader="none"/>
              </w:tabs>
              <w:rPr>
                <w:sz w:val="18"/>
              </w:rPr>
            </w:pPr>
            <w:r>
              <w:rPr>
                <w:sz w:val="18"/>
              </w:rPr>
              <w:t>39.83</w:t>
            </w:r>
          </w:p>
        </w:tc>
      </w:tr>
      <w:tr>
        <w:trPr/>
        <w:tc>
          <w:tcPr>
            <w:tcW w:w="2520" w:type="dxa"/>
            <w:tcBorders>
              <w:start w:val="single" w:sz="6" w:space="0" w:color="000000"/>
            </w:tcBorders>
          </w:tcPr>
          <w:p>
            <w:pPr>
              <w:pStyle w:val="TableBody"/>
              <w:rPr>
                <w:sz w:val="18"/>
              </w:rPr>
            </w:pPr>
            <w:r>
              <w:rPr>
                <w:sz w:val="18"/>
              </w:rPr>
              <w:t>Commercial</w:t>
            </w:r>
          </w:p>
        </w:tc>
        <w:tc>
          <w:tcPr>
            <w:tcW w:w="810" w:type="dxa"/>
            <w:tcBorders/>
          </w:tcPr>
          <w:p>
            <w:pPr>
              <w:pStyle w:val="TableBody"/>
              <w:tabs>
                <w:tab w:val="clear" w:pos="720"/>
                <w:tab w:val="decimal" w:pos="342" w:leader="none"/>
              </w:tabs>
              <w:rPr>
                <w:sz w:val="18"/>
              </w:rPr>
            </w:pPr>
            <w:r>
              <w:rPr>
                <w:sz w:val="18"/>
              </w:rPr>
              <w:t>101.40</w:t>
            </w:r>
          </w:p>
        </w:tc>
        <w:tc>
          <w:tcPr>
            <w:tcW w:w="810" w:type="dxa"/>
            <w:tcBorders/>
          </w:tcPr>
          <w:p>
            <w:pPr>
              <w:pStyle w:val="TableBody"/>
              <w:tabs>
                <w:tab w:val="clear" w:pos="720"/>
                <w:tab w:val="decimal" w:pos="342" w:leader="none"/>
              </w:tabs>
              <w:rPr>
                <w:sz w:val="18"/>
              </w:rPr>
            </w:pPr>
            <w:r>
              <w:rPr>
                <w:sz w:val="18"/>
              </w:rPr>
              <w:t>110.64</w:t>
            </w:r>
          </w:p>
        </w:tc>
        <w:tc>
          <w:tcPr>
            <w:tcW w:w="720" w:type="dxa"/>
            <w:tcBorders/>
          </w:tcPr>
          <w:p>
            <w:pPr>
              <w:pStyle w:val="TableBody"/>
              <w:tabs>
                <w:tab w:val="clear" w:pos="720"/>
                <w:tab w:val="decimal" w:pos="342" w:leader="none"/>
              </w:tabs>
              <w:rPr>
                <w:sz w:val="18"/>
              </w:rPr>
            </w:pPr>
            <w:r>
              <w:rPr>
                <w:sz w:val="18"/>
              </w:rPr>
              <w:t>109.17</w:t>
            </w:r>
          </w:p>
        </w:tc>
        <w:tc>
          <w:tcPr>
            <w:tcW w:w="720" w:type="dxa"/>
            <w:tcBorders/>
          </w:tcPr>
          <w:p>
            <w:pPr>
              <w:pStyle w:val="TableBody"/>
              <w:tabs>
                <w:tab w:val="clear" w:pos="720"/>
                <w:tab w:val="decimal" w:pos="342" w:leader="none"/>
              </w:tabs>
              <w:rPr>
                <w:sz w:val="18"/>
              </w:rPr>
            </w:pPr>
            <w:r>
              <w:rPr>
                <w:sz w:val="18"/>
              </w:rPr>
              <w:t>104.26</w:t>
            </w:r>
          </w:p>
        </w:tc>
        <w:tc>
          <w:tcPr>
            <w:tcW w:w="752" w:type="dxa"/>
            <w:tcBorders>
              <w:end w:val="single" w:sz="6" w:space="0" w:color="000000"/>
            </w:tcBorders>
          </w:tcPr>
          <w:p>
            <w:pPr>
              <w:pStyle w:val="TableBody"/>
              <w:tabs>
                <w:tab w:val="clear" w:pos="720"/>
                <w:tab w:val="decimal" w:pos="342" w:leader="none"/>
              </w:tabs>
              <w:rPr>
                <w:sz w:val="18"/>
              </w:rPr>
            </w:pPr>
            <w:r>
              <w:rPr>
                <w:sz w:val="18"/>
              </w:rPr>
              <w:t>72.55</w:t>
            </w:r>
          </w:p>
        </w:tc>
      </w:tr>
      <w:tr>
        <w:trPr/>
        <w:tc>
          <w:tcPr>
            <w:tcW w:w="2520" w:type="dxa"/>
            <w:tcBorders>
              <w:start w:val="single" w:sz="6" w:space="0" w:color="000000"/>
            </w:tcBorders>
          </w:tcPr>
          <w:p>
            <w:pPr>
              <w:pStyle w:val="TableBody"/>
              <w:rPr>
                <w:sz w:val="18"/>
              </w:rPr>
            </w:pPr>
            <w:r>
              <w:rPr>
                <w:sz w:val="18"/>
              </w:rPr>
              <w:t>Rural</w:t>
            </w:r>
          </w:p>
        </w:tc>
        <w:tc>
          <w:tcPr>
            <w:tcW w:w="810" w:type="dxa"/>
            <w:tcBorders/>
          </w:tcPr>
          <w:p>
            <w:pPr>
              <w:pStyle w:val="TableBody"/>
              <w:tabs>
                <w:tab w:val="clear" w:pos="720"/>
                <w:tab w:val="decimal" w:pos="342" w:leader="none"/>
              </w:tabs>
              <w:rPr>
                <w:sz w:val="18"/>
              </w:rPr>
            </w:pPr>
            <w:r>
              <w:rPr>
                <w:sz w:val="18"/>
              </w:rPr>
              <w:t>65.44</w:t>
            </w:r>
          </w:p>
        </w:tc>
        <w:tc>
          <w:tcPr>
            <w:tcW w:w="810" w:type="dxa"/>
            <w:tcBorders/>
          </w:tcPr>
          <w:p>
            <w:pPr>
              <w:pStyle w:val="TableBody"/>
              <w:tabs>
                <w:tab w:val="clear" w:pos="720"/>
                <w:tab w:val="decimal" w:pos="342" w:leader="none"/>
              </w:tabs>
              <w:rPr>
                <w:sz w:val="18"/>
              </w:rPr>
            </w:pPr>
            <w:r>
              <w:rPr>
                <w:sz w:val="18"/>
              </w:rPr>
              <w:t>71.80</w:t>
            </w:r>
          </w:p>
        </w:tc>
        <w:tc>
          <w:tcPr>
            <w:tcW w:w="720" w:type="dxa"/>
            <w:tcBorders/>
          </w:tcPr>
          <w:p>
            <w:pPr>
              <w:pStyle w:val="TableBody"/>
              <w:tabs>
                <w:tab w:val="clear" w:pos="720"/>
                <w:tab w:val="decimal" w:pos="342" w:leader="none"/>
              </w:tabs>
              <w:rPr>
                <w:sz w:val="18"/>
              </w:rPr>
            </w:pPr>
            <w:r>
              <w:rPr>
                <w:sz w:val="18"/>
              </w:rPr>
              <w:t>70.39</w:t>
            </w:r>
          </w:p>
        </w:tc>
        <w:tc>
          <w:tcPr>
            <w:tcW w:w="720" w:type="dxa"/>
            <w:tcBorders/>
          </w:tcPr>
          <w:p>
            <w:pPr>
              <w:pStyle w:val="TableBody"/>
              <w:tabs>
                <w:tab w:val="clear" w:pos="720"/>
                <w:tab w:val="decimal" w:pos="342" w:leader="none"/>
              </w:tabs>
              <w:rPr>
                <w:sz w:val="18"/>
              </w:rPr>
            </w:pPr>
            <w:r>
              <w:rPr>
                <w:sz w:val="18"/>
              </w:rPr>
              <w:t>67.71</w:t>
            </w:r>
          </w:p>
        </w:tc>
        <w:tc>
          <w:tcPr>
            <w:tcW w:w="752" w:type="dxa"/>
            <w:tcBorders>
              <w:end w:val="single" w:sz="6" w:space="0" w:color="000000"/>
            </w:tcBorders>
          </w:tcPr>
          <w:p>
            <w:pPr>
              <w:pStyle w:val="TableBody"/>
              <w:tabs>
                <w:tab w:val="clear" w:pos="720"/>
                <w:tab w:val="decimal" w:pos="342" w:leader="none"/>
              </w:tabs>
              <w:rPr>
                <w:sz w:val="18"/>
              </w:rPr>
            </w:pPr>
            <w:r>
              <w:rPr>
                <w:sz w:val="18"/>
              </w:rPr>
              <w:t>47.21</w:t>
            </w:r>
          </w:p>
        </w:tc>
      </w:tr>
      <w:tr>
        <w:trPr/>
        <w:tc>
          <w:tcPr>
            <w:tcW w:w="2520" w:type="dxa"/>
            <w:tcBorders>
              <w:start w:val="single" w:sz="6" w:space="0" w:color="000000"/>
            </w:tcBorders>
          </w:tcPr>
          <w:p>
            <w:pPr>
              <w:pStyle w:val="TableBody"/>
              <w:rPr>
                <w:sz w:val="18"/>
              </w:rPr>
            </w:pPr>
            <w:r>
              <w:rPr>
                <w:sz w:val="18"/>
              </w:rPr>
              <w:t>Government</w:t>
            </w:r>
          </w:p>
        </w:tc>
        <w:tc>
          <w:tcPr>
            <w:tcW w:w="810" w:type="dxa"/>
            <w:tcBorders/>
          </w:tcPr>
          <w:p>
            <w:pPr>
              <w:pStyle w:val="TableBody"/>
              <w:tabs>
                <w:tab w:val="clear" w:pos="720"/>
                <w:tab w:val="decimal" w:pos="342" w:leader="none"/>
              </w:tabs>
              <w:rPr>
                <w:sz w:val="18"/>
              </w:rPr>
            </w:pPr>
            <w:r>
              <w:rPr>
                <w:sz w:val="18"/>
              </w:rPr>
              <w:t>100.52</w:t>
            </w:r>
          </w:p>
        </w:tc>
        <w:tc>
          <w:tcPr>
            <w:tcW w:w="810" w:type="dxa"/>
            <w:tcBorders/>
          </w:tcPr>
          <w:p>
            <w:pPr>
              <w:pStyle w:val="TableBody"/>
              <w:tabs>
                <w:tab w:val="clear" w:pos="720"/>
                <w:tab w:val="decimal" w:pos="342" w:leader="none"/>
              </w:tabs>
              <w:rPr>
                <w:sz w:val="18"/>
              </w:rPr>
            </w:pPr>
            <w:r>
              <w:rPr>
                <w:sz w:val="18"/>
              </w:rPr>
              <w:t>109.40</w:t>
            </w:r>
          </w:p>
        </w:tc>
        <w:tc>
          <w:tcPr>
            <w:tcW w:w="720" w:type="dxa"/>
            <w:tcBorders/>
          </w:tcPr>
          <w:p>
            <w:pPr>
              <w:pStyle w:val="TableBody"/>
              <w:tabs>
                <w:tab w:val="clear" w:pos="720"/>
                <w:tab w:val="decimal" w:pos="342" w:leader="none"/>
              </w:tabs>
              <w:rPr>
                <w:sz w:val="18"/>
              </w:rPr>
            </w:pPr>
            <w:r>
              <w:rPr>
                <w:sz w:val="18"/>
              </w:rPr>
              <w:t>109.28</w:t>
            </w:r>
          </w:p>
        </w:tc>
        <w:tc>
          <w:tcPr>
            <w:tcW w:w="720" w:type="dxa"/>
            <w:tcBorders/>
          </w:tcPr>
          <w:p>
            <w:pPr>
              <w:pStyle w:val="TableBody"/>
              <w:tabs>
                <w:tab w:val="clear" w:pos="720"/>
                <w:tab w:val="decimal" w:pos="342" w:leader="none"/>
              </w:tabs>
              <w:rPr>
                <w:sz w:val="18"/>
              </w:rPr>
            </w:pPr>
            <w:r>
              <w:rPr>
                <w:sz w:val="18"/>
              </w:rPr>
              <w:t>103.57</w:t>
            </w:r>
          </w:p>
        </w:tc>
        <w:tc>
          <w:tcPr>
            <w:tcW w:w="752" w:type="dxa"/>
            <w:tcBorders>
              <w:end w:val="single" w:sz="6" w:space="0" w:color="000000"/>
            </w:tcBorders>
          </w:tcPr>
          <w:p>
            <w:pPr>
              <w:pStyle w:val="TableBody"/>
              <w:tabs>
                <w:tab w:val="clear" w:pos="720"/>
                <w:tab w:val="decimal" w:pos="342" w:leader="none"/>
              </w:tabs>
              <w:rPr>
                <w:sz w:val="18"/>
              </w:rPr>
            </w:pPr>
            <w:r>
              <w:rPr>
                <w:sz w:val="18"/>
              </w:rPr>
              <w:t>72.91</w:t>
            </w:r>
          </w:p>
        </w:tc>
      </w:tr>
      <w:tr>
        <w:trPr/>
        <w:tc>
          <w:tcPr>
            <w:tcW w:w="2520" w:type="dxa"/>
            <w:tcBorders>
              <w:start w:val="single" w:sz="6" w:space="0" w:color="000000"/>
            </w:tcBorders>
          </w:tcPr>
          <w:p>
            <w:pPr>
              <w:pStyle w:val="TableBody"/>
              <w:rPr>
                <w:sz w:val="18"/>
              </w:rPr>
            </w:pPr>
            <w:r>
              <w:rPr>
                <w:sz w:val="18"/>
              </w:rPr>
              <w:t>Public Light</w:t>
            </w:r>
          </w:p>
        </w:tc>
        <w:tc>
          <w:tcPr>
            <w:tcW w:w="810" w:type="dxa"/>
            <w:tcBorders/>
          </w:tcPr>
          <w:p>
            <w:pPr>
              <w:pStyle w:val="TableBody"/>
              <w:tabs>
                <w:tab w:val="clear" w:pos="720"/>
                <w:tab w:val="decimal" w:pos="342" w:leader="none"/>
              </w:tabs>
              <w:rPr>
                <w:sz w:val="18"/>
              </w:rPr>
            </w:pPr>
            <w:r>
              <w:rPr>
                <w:sz w:val="18"/>
              </w:rPr>
              <w:t>60.84</w:t>
            </w:r>
          </w:p>
        </w:tc>
        <w:tc>
          <w:tcPr>
            <w:tcW w:w="810" w:type="dxa"/>
            <w:tcBorders/>
          </w:tcPr>
          <w:p>
            <w:pPr>
              <w:pStyle w:val="TableBody"/>
              <w:tabs>
                <w:tab w:val="clear" w:pos="720"/>
                <w:tab w:val="decimal" w:pos="342" w:leader="none"/>
              </w:tabs>
              <w:rPr>
                <w:sz w:val="18"/>
              </w:rPr>
            </w:pPr>
            <w:r>
              <w:rPr>
                <w:sz w:val="18"/>
              </w:rPr>
              <w:t>66.46</w:t>
            </w:r>
          </w:p>
        </w:tc>
        <w:tc>
          <w:tcPr>
            <w:tcW w:w="720" w:type="dxa"/>
            <w:tcBorders/>
          </w:tcPr>
          <w:p>
            <w:pPr>
              <w:pStyle w:val="TableBody"/>
              <w:tabs>
                <w:tab w:val="clear" w:pos="720"/>
                <w:tab w:val="decimal" w:pos="342" w:leader="none"/>
              </w:tabs>
              <w:rPr>
                <w:sz w:val="18"/>
              </w:rPr>
            </w:pPr>
            <w:r>
              <w:rPr>
                <w:sz w:val="18"/>
              </w:rPr>
              <w:t>65.78</w:t>
            </w:r>
          </w:p>
        </w:tc>
        <w:tc>
          <w:tcPr>
            <w:tcW w:w="720" w:type="dxa"/>
            <w:tcBorders/>
          </w:tcPr>
          <w:p>
            <w:pPr>
              <w:pStyle w:val="TableBody"/>
              <w:tabs>
                <w:tab w:val="clear" w:pos="720"/>
                <w:tab w:val="decimal" w:pos="342" w:leader="none"/>
              </w:tabs>
              <w:rPr>
                <w:sz w:val="18"/>
              </w:rPr>
            </w:pPr>
            <w:r>
              <w:rPr>
                <w:sz w:val="18"/>
              </w:rPr>
              <w:t>62.73</w:t>
            </w:r>
          </w:p>
        </w:tc>
        <w:tc>
          <w:tcPr>
            <w:tcW w:w="752" w:type="dxa"/>
            <w:tcBorders>
              <w:end w:val="single" w:sz="6" w:space="0" w:color="000000"/>
            </w:tcBorders>
          </w:tcPr>
          <w:p>
            <w:pPr>
              <w:pStyle w:val="TableBody"/>
              <w:tabs>
                <w:tab w:val="clear" w:pos="720"/>
                <w:tab w:val="decimal" w:pos="342" w:leader="none"/>
              </w:tabs>
              <w:rPr>
                <w:sz w:val="18"/>
              </w:rPr>
            </w:pPr>
            <w:r>
              <w:rPr>
                <w:sz w:val="18"/>
              </w:rPr>
              <w:t>44.07</w:t>
            </w:r>
          </w:p>
        </w:tc>
      </w:tr>
      <w:tr>
        <w:trPr/>
        <w:tc>
          <w:tcPr>
            <w:tcW w:w="2520" w:type="dxa"/>
            <w:tcBorders>
              <w:start w:val="single" w:sz="6" w:space="0" w:color="000000"/>
              <w:bottom w:val="single" w:sz="6" w:space="0" w:color="000000"/>
            </w:tcBorders>
          </w:tcPr>
          <w:p>
            <w:pPr>
              <w:pStyle w:val="TableBody"/>
              <w:rPr>
                <w:sz w:val="18"/>
              </w:rPr>
            </w:pPr>
            <w:r>
              <w:rPr>
                <w:sz w:val="18"/>
              </w:rPr>
              <w:t>Public Services</w:t>
            </w:r>
          </w:p>
        </w:tc>
        <w:tc>
          <w:tcPr>
            <w:tcW w:w="810" w:type="dxa"/>
            <w:tcBorders>
              <w:bottom w:val="single" w:sz="6" w:space="0" w:color="000000"/>
            </w:tcBorders>
          </w:tcPr>
          <w:p>
            <w:pPr>
              <w:pStyle w:val="TableBody"/>
              <w:tabs>
                <w:tab w:val="clear" w:pos="720"/>
                <w:tab w:val="decimal" w:pos="342" w:leader="none"/>
              </w:tabs>
              <w:rPr>
                <w:sz w:val="18"/>
              </w:rPr>
            </w:pPr>
            <w:r>
              <w:rPr>
                <w:sz w:val="18"/>
              </w:rPr>
              <w:t>46.31</w:t>
            </w:r>
          </w:p>
        </w:tc>
        <w:tc>
          <w:tcPr>
            <w:tcW w:w="810" w:type="dxa"/>
            <w:tcBorders>
              <w:bottom w:val="single" w:sz="6" w:space="0" w:color="000000"/>
            </w:tcBorders>
          </w:tcPr>
          <w:p>
            <w:pPr>
              <w:pStyle w:val="TableBody"/>
              <w:tabs>
                <w:tab w:val="clear" w:pos="720"/>
                <w:tab w:val="decimal" w:pos="342" w:leader="none"/>
              </w:tabs>
              <w:rPr>
                <w:sz w:val="18"/>
              </w:rPr>
            </w:pPr>
            <w:r>
              <w:rPr>
                <w:sz w:val="18"/>
              </w:rPr>
              <w:t>51.46</w:t>
            </w:r>
          </w:p>
        </w:tc>
        <w:tc>
          <w:tcPr>
            <w:tcW w:w="720" w:type="dxa"/>
            <w:tcBorders>
              <w:bottom w:val="single" w:sz="6" w:space="0" w:color="000000"/>
            </w:tcBorders>
          </w:tcPr>
          <w:p>
            <w:pPr>
              <w:pStyle w:val="TableBody"/>
              <w:tabs>
                <w:tab w:val="clear" w:pos="720"/>
                <w:tab w:val="decimal" w:pos="342" w:leader="none"/>
              </w:tabs>
              <w:rPr>
                <w:sz w:val="18"/>
              </w:rPr>
            </w:pPr>
            <w:r>
              <w:rPr>
                <w:sz w:val="18"/>
              </w:rPr>
              <w:t>49.57</w:t>
            </w:r>
          </w:p>
        </w:tc>
        <w:tc>
          <w:tcPr>
            <w:tcW w:w="720" w:type="dxa"/>
            <w:tcBorders>
              <w:bottom w:val="single" w:sz="6" w:space="0" w:color="000000"/>
            </w:tcBorders>
          </w:tcPr>
          <w:p>
            <w:pPr>
              <w:pStyle w:val="TableBody"/>
              <w:tabs>
                <w:tab w:val="clear" w:pos="720"/>
                <w:tab w:val="decimal" w:pos="342" w:leader="none"/>
              </w:tabs>
              <w:rPr>
                <w:sz w:val="18"/>
              </w:rPr>
            </w:pPr>
            <w:r>
              <w:rPr>
                <w:sz w:val="18"/>
              </w:rPr>
              <w:t>47.56</w:t>
            </w:r>
          </w:p>
        </w:tc>
        <w:tc>
          <w:tcPr>
            <w:tcW w:w="752" w:type="dxa"/>
            <w:tcBorders>
              <w:bottom w:val="single" w:sz="6" w:space="0" w:color="000000"/>
              <w:end w:val="single" w:sz="6" w:space="0" w:color="000000"/>
            </w:tcBorders>
          </w:tcPr>
          <w:p>
            <w:pPr>
              <w:pStyle w:val="TableBody"/>
              <w:tabs>
                <w:tab w:val="clear" w:pos="720"/>
                <w:tab w:val="decimal" w:pos="342" w:leader="none"/>
              </w:tabs>
              <w:rPr>
                <w:sz w:val="18"/>
              </w:rPr>
            </w:pPr>
            <w:r>
              <w:rPr>
                <w:sz w:val="18"/>
              </w:rPr>
              <w:t>33.67</w:t>
            </w:r>
          </w:p>
        </w:tc>
      </w:tr>
    </w:tbl>
    <w:p>
      <w:pPr>
        <w:pStyle w:val="BLKmed1st1"/>
        <w:rPr/>
      </w:pPr>
      <w:r>
        <w:rPr/>
      </w:r>
    </w:p>
    <w:p>
      <w:pPr>
        <w:pStyle w:val="BLKmed1st1"/>
        <w:rPr/>
      </w:pPr>
      <w:r>
        <w:rPr/>
        <w:t>ANEEL also imposes quality of service requirements, in part related to minimizing the frequency and duration of outages (referred to as the DEC and FEC benchmarks).  Elektro ranks second in Brazil in terms of these benchmarks.  In addition, Elektro’s monitoring of these benchmarks is the most transparent, comprehensive and consistent in the industry.  For example, Elektro’s automated call center data bases capture any customer outages and complaints, including its rural customer base.  Therefore, Enron believes that although Elektro’s performance is ranked second it is by far the best in the industry since no other Brazilian electric distribution company has a similar automated monitoring system.</w:t>
      </w:r>
    </w:p>
    <w:p>
      <w:pPr>
        <w:pStyle w:val="BLKmed1st1"/>
        <w:rPr/>
      </w:pPr>
      <w:r>
        <w:rPr/>
      </w:r>
    </w:p>
    <w:p>
      <w:pPr>
        <w:pStyle w:val="BLKmed1st1"/>
        <w:rPr/>
      </w:pPr>
      <w:r>
        <w:rPr/>
        <w:t>*********</w:t>
      </w:r>
    </w:p>
    <w:p>
      <w:pPr>
        <w:pStyle w:val="BLKmed1st1"/>
        <w:ind w:start="-324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54" w:fmt="decimal"/>
          <w:formProt w:val="false"/>
          <w:titlePg/>
          <w:textDirection w:val="lrTb"/>
          <w:docGrid w:type="default" w:linePitch="360" w:charSpace="0"/>
        </w:sectPr>
        <w:pStyle w:val="BLKmed1st1"/>
        <w:ind w:start="-3240" w:end="0"/>
        <w:rPr/>
      </w:pPr>
      <w:r>
        <w:rPr/>
      </w:r>
    </w:p>
    <w:p>
      <w:pPr>
        <w:pStyle w:val="Heading6"/>
        <w:ind w:hanging="0" w:start="0"/>
        <w:rPr/>
      </w:pPr>
      <w:r>
        <w:rPr/>
        <w:t>Management Discussions and Analysis</w:t>
      </w:r>
    </w:p>
    <w:p>
      <w:pPr>
        <w:pStyle w:val="Normal"/>
        <w:rPr>
          <w:b/>
          <w:i/>
          <w:i/>
        </w:rPr>
      </w:pPr>
      <w:r>
        <w:rPr>
          <w:b/>
          <w:i/>
        </w:rPr>
      </w:r>
    </w:p>
    <w:p>
      <w:pPr>
        <w:pStyle w:val="Normal"/>
        <w:rPr>
          <w:b/>
          <w:u w:val="single"/>
        </w:rPr>
      </w:pPr>
      <w:r>
        <w:rPr>
          <w:b/>
          <w:u w:val="single"/>
        </w:rPr>
        <w:t>Revenue -Tariffs</w:t>
      </w:r>
    </w:p>
    <w:p>
      <w:pPr>
        <w:pStyle w:val="Normal"/>
        <w:rPr>
          <w:b/>
          <w:u w:val="single"/>
        </w:rPr>
      </w:pPr>
      <w:r>
        <w:rPr>
          <w:b/>
          <w:u w:val="single"/>
        </w:rPr>
      </w:r>
    </w:p>
    <w:p>
      <w:pPr>
        <w:pStyle w:val="Normal"/>
        <w:rPr/>
      </w:pPr>
      <w:r>
        <w:rPr/>
        <w:t>The historical information provided for 1998 only reflects the performance of Elektro during the last four months of that year.  It is provided primarily to provide guidance as to the performance of Elektro prior to the devaluation in particular as it relates to margins and average tariffs.</w:t>
      </w:r>
    </w:p>
    <w:p>
      <w:pPr>
        <w:pStyle w:val="Normal"/>
        <w:rPr/>
      </w:pPr>
      <w:r>
        <w:rPr/>
      </w:r>
    </w:p>
    <w:p>
      <w:pPr>
        <w:pStyle w:val="Normal"/>
        <w:rPr/>
      </w:pPr>
      <w:r>
        <w:rPr/>
        <w:t>Elektro’s revenues in 1999 were severely impacted by the Brazilian currency devaluation which took place in January 1999.  As a result of the devaluation the average tariffs of Elektro (which are denominated in Reais) during full year 1999 declined in U.S. dollar terms by 34.6% as compared to the last four months of 1998.  The decline in dollar terms was partially offset by two increases in tariffs in June and September of 1999 of 16.3% relating to purchased power cost pass-throughs and 6.5% relating to increases in IGPM (the Brazilian inflation index used to adjust tariffs), respectively.  As a result of these tariff increases, tariffs declined by only 34.6% as compared to the devaluation that totaled 47.9% for 1999.  In addition, the impact of the decline in average tariffs was offset by an increase of [4.9]% in GWh sales in 1999.</w:t>
      </w:r>
    </w:p>
    <w:p>
      <w:pPr>
        <w:pStyle w:val="Normal"/>
        <w:rPr/>
      </w:pPr>
      <w:r>
        <w:rPr/>
      </w:r>
    </w:p>
    <w:p>
      <w:pPr>
        <w:pStyle w:val="Normal"/>
        <w:rPr/>
      </w:pPr>
      <w:r>
        <w:rPr/>
        <w:t>Elektro is currently negotiating with ANEEL in order to obtain (i) tariff increases that will ensure that by January 2002 EBITDA in dollar terms will have increased to pre-devaluation levels and (ii) procedures and mechanisms that will  protect the company’s operating cashflows against future devaluations.  In order to achieve this goal, Elektro is proposing that its tariffs be increased by 4% in each of January 2001 and January 2002 in addition to the annual increases in tariffs in line with IGP-M.  It is Enron’s belief and understanding, that ANEEL and the Ministry of Mines and Energy have accepted the principle behind these measures and that the primary objective of the continuing discussions is to agree on the precise amounts of the increase and the details of the mechanisms and procedures that protect distribution companies in Brazil against future currency devaluations.  Accordingly, after 2001, Elektro is projecting changes in its tariffs which track changes in the Reais/Dollar exchange rate and Brazilian inflation. [CONFIRM]  These changes total [   ]% in 2001 (including the 4% increase in January 2001), [   ]% in 2002 (including the 4% increase in January 2002), [   ]% in 2003, and [  ]% in 2004.</w:t>
      </w:r>
    </w:p>
    <w:p>
      <w:pPr>
        <w:pStyle w:val="Normal"/>
        <w:rPr/>
      </w:pPr>
      <w:r>
        <w:rPr/>
      </w:r>
    </w:p>
    <w:p>
      <w:pPr>
        <w:pStyle w:val="Normal"/>
        <w:rPr/>
      </w:pPr>
      <w:r>
        <w:rPr/>
        <w:t>Additional tariff increases may occur in June of 2000 and thereafter as a result of fuel cost pass-throughs, however, they have not been accounted for in the projections since they correlate closely with increases in power purchasing costs. [CONFIRM]</w:t>
      </w:r>
    </w:p>
    <w:p>
      <w:pPr>
        <w:pStyle w:val="Normal"/>
        <w:rPr/>
      </w:pPr>
      <w:r>
        <w:rPr/>
      </w:r>
    </w:p>
    <w:p>
      <w:pPr>
        <w:pStyle w:val="Normal"/>
        <w:rPr/>
      </w:pPr>
      <w:r>
        <w:rPr/>
      </w:r>
    </w:p>
    <w:p>
      <w:pPr>
        <w:pStyle w:val="Heading2"/>
        <w:ind w:hanging="0" w:start="0"/>
        <w:rPr/>
      </w:pPr>
      <w:r>
        <w:rPr/>
        <w:t xml:space="preserve">Revenue – Volumes (GWhr usage, growth rate and customer connections) </w:t>
      </w:r>
    </w:p>
    <w:p>
      <w:pPr>
        <w:pStyle w:val="Normal"/>
        <w:rPr/>
      </w:pPr>
      <w:r>
        <w:rPr/>
      </w:r>
    </w:p>
    <w:p>
      <w:pPr>
        <w:pStyle w:val="Normal"/>
        <w:rPr/>
      </w:pPr>
      <w:r>
        <w:rPr/>
        <w:t>In the financial projections and summary of Elektro, the growth rates in electric consumption and new consumers connected across all customer classes compares favorable with the previous five year period of  1994-99.  In this period, Brazil’s real stabilization program provided an important incentive for business and consumer activity as a result of a more stable inflation and foreign exchange environment.   High levels of real interest rates to obstensibly protect an overvalued Real eventually became impractical leading to the large devaluation in January 1999 and substantial fears of spiraling inflationary pressures.   With the success of more deftly controlling inflation in the face of substantial dislocations in 1999, Brazil has now gained renewed confidence and is poised for a period of rapidly accelerating economic activity along with prospects for the lowest interest rates in a generation.</w:t>
      </w:r>
    </w:p>
    <w:p>
      <w:pPr>
        <w:pStyle w:val="Normal"/>
        <w:rPr/>
      </w:pPr>
      <w:r>
        <w:rPr/>
      </w:r>
    </w:p>
    <w:p>
      <w:pPr>
        <w:pStyle w:val="Normal"/>
        <w:rPr/>
      </w:pPr>
      <w:r>
        <w:rPr>
          <w:b/>
        </w:rPr>
        <w:tab/>
        <w:tab/>
      </w:r>
      <w:r>
        <w:rPr>
          <w:b/>
          <w:u w:val="single"/>
        </w:rPr>
        <w:t>Growth in GWhr Sold</w:t>
      </w:r>
      <w:r>
        <w:rPr>
          <w:b/>
        </w:rPr>
        <w:tab/>
        <w:tab/>
        <w:tab/>
      </w:r>
      <w:r>
        <w:rPr>
          <w:b/>
          <w:u w:val="single"/>
        </w:rPr>
        <w:t>Growth in Customers Connected</w:t>
        <w:tab/>
      </w:r>
      <w:r>
        <w:rPr>
          <w:b/>
        </w:rPr>
        <w:tab/>
        <w:tab/>
        <w:tab/>
      </w:r>
      <w:r>
        <w:rPr>
          <w:b/>
          <w:u w:val="single"/>
        </w:rPr>
        <w:t>94-99 CAGR</w:t>
        <w:tab/>
        <w:t>00-04 CAGR</w:t>
      </w:r>
      <w:r>
        <w:rPr>
          <w:b/>
        </w:rPr>
        <w:tab/>
        <w:tab/>
      </w:r>
      <w:r>
        <w:rPr>
          <w:b/>
          <w:u w:val="single"/>
        </w:rPr>
        <w:t>94-99 CAGR</w:t>
        <w:tab/>
        <w:t>00-04 CAGR</w:t>
      </w:r>
    </w:p>
    <w:p>
      <w:pPr>
        <w:pStyle w:val="Normal"/>
        <w:rPr/>
      </w:pPr>
      <w:r>
        <w:rPr/>
        <w:t xml:space="preserve">Residential </w:t>
        <w:tab/>
        <w:tab/>
        <w:t>8.7%</w:t>
        <w:tab/>
        <w:tab/>
        <w:t>7.2%</w:t>
        <w:tab/>
        <w:tab/>
        <w:tab/>
        <w:t>4.2%</w:t>
        <w:tab/>
        <w:tab/>
        <w:tab/>
      </w:r>
    </w:p>
    <w:p>
      <w:pPr>
        <w:pStyle w:val="Normal"/>
        <w:rPr/>
      </w:pPr>
      <w:r>
        <w:rPr/>
        <w:t xml:space="preserve">Commercial </w:t>
        <w:tab/>
        <w:tab/>
        <w:t>10.3%</w:t>
        <w:tab/>
        <w:tab/>
        <w:t>7.9%</w:t>
        <w:tab/>
        <w:tab/>
        <w:tab/>
        <w:t>4.5%</w:t>
      </w:r>
    </w:p>
    <w:p>
      <w:pPr>
        <w:pStyle w:val="Normal"/>
        <w:rPr/>
      </w:pPr>
      <w:r>
        <w:rPr/>
        <w:t xml:space="preserve">Industrial </w:t>
        <w:tab/>
        <w:tab/>
        <w:t>4.8%</w:t>
        <w:tab/>
        <w:tab/>
        <w:t>3.7%</w:t>
        <w:tab/>
        <w:tab/>
        <w:tab/>
        <w:t>3.6%</w:t>
      </w:r>
    </w:p>
    <w:p>
      <w:pPr>
        <w:pStyle w:val="Normal"/>
        <w:rPr/>
      </w:pPr>
      <w:r>
        <w:rPr/>
        <w:t>Rural/Other</w:t>
        <w:tab/>
        <w:tab/>
        <w:t>2.9%</w:t>
        <w:tab/>
        <w:tab/>
        <w:t>4.7%</w:t>
        <w:tab/>
        <w:tab/>
      </w:r>
    </w:p>
    <w:p>
      <w:pPr>
        <w:pStyle w:val="Normal"/>
        <w:rPr/>
      </w:pPr>
      <w:r>
        <w:rPr/>
      </w:r>
    </w:p>
    <w:p>
      <w:pPr>
        <w:pStyle w:val="Normal"/>
        <w:rPr/>
      </w:pPr>
      <w:r>
        <w:rPr/>
        <w:t xml:space="preserve">Total </w:t>
        <w:tab/>
        <w:tab/>
        <w:tab/>
        <w:t>5.9%</w:t>
        <w:tab/>
        <w:tab/>
        <w:t>5.7%</w:t>
        <w:tab/>
        <w:tab/>
        <w:tab/>
        <w:t>4.1%</w:t>
        <w:tab/>
        <w:tab/>
        <w:t>4.0%</w:t>
      </w:r>
    </w:p>
    <w:p>
      <w:pPr>
        <w:pStyle w:val="Normal"/>
        <w:rPr/>
      </w:pPr>
      <w:r>
        <w:rPr/>
      </w:r>
    </w:p>
    <w:p>
      <w:pPr>
        <w:pStyle w:val="Normal"/>
        <w:rPr/>
      </w:pPr>
      <w:r>
        <w:rPr/>
      </w:r>
    </w:p>
    <w:p>
      <w:pPr>
        <w:pStyle w:val="Normal"/>
        <w:rPr/>
      </w:pPr>
      <w:r>
        <w:rPr/>
        <w:t xml:space="preserve">  </w:t>
      </w:r>
    </w:p>
    <w:p>
      <w:pPr>
        <w:pStyle w:val="Normal"/>
        <w:rPr/>
      </w:pPr>
      <w:r>
        <w:rPr/>
        <w:t>As 2000 is an economic recovery year in Brazil, management anticipates a continued acceleration of economic activity and therefore anticipates a slightly higher growth rate in gwhr sales (6.0%) than the previous five-year period.  However, the customer categories which management actually expects to exceed the previous five-year average is industrial and rural/other.  These categories possess substantially lower margins are more expensive to obtain by comparison to residential and commercial customers.   While management expects healthy growth in the residential and commercial for 2000 through 2004, they are substantailly below the previous 5 year CAGR and it is possible that even more positive results could develop given the unexpected lower retail inflation rate in Brazil and the emerging prospects for the lowest Brazilian interest rate environment in a generation.</w:t>
      </w:r>
    </w:p>
    <w:p>
      <w:pPr>
        <w:pStyle w:val="Normal"/>
        <w:rPr/>
      </w:pPr>
      <w:r>
        <w:rPr/>
      </w:r>
    </w:p>
    <w:p>
      <w:pPr>
        <w:pStyle w:val="Normal"/>
        <w:rPr/>
      </w:pPr>
      <w:r>
        <w:rPr/>
        <w:t>As result of the increase in tariffs and the growth in GWh sold, revenues, net of taxes, will increase by 18.1% in 2000 and at a compounded annual rate of 11.1% thereafter until 2004.  Taxes on revenue are calculated as 21.4% on an aggregate basis and represent the following taxes: PIS ([ ]%), Cofins ([ ]%), and ICMS ([ ]%).</w:t>
      </w:r>
    </w:p>
    <w:p>
      <w:pPr>
        <w:pStyle w:val="Normal"/>
        <w:rPr/>
      </w:pPr>
      <w:r>
        <w:rPr/>
      </w:r>
    </w:p>
    <w:p>
      <w:pPr>
        <w:pStyle w:val="Normal"/>
        <w:rPr/>
      </w:pPr>
      <w:r>
        <w:rPr/>
      </w:r>
    </w:p>
    <w:p>
      <w:pPr>
        <w:pStyle w:val="Heading2"/>
        <w:ind w:hanging="0" w:start="0"/>
        <w:rPr/>
      </w:pPr>
      <w:r>
        <w:rPr/>
        <w:t>ANEEL Full Rate Review – Every 5 years</w:t>
      </w:r>
    </w:p>
    <w:p>
      <w:pPr>
        <w:pStyle w:val="Normal"/>
        <w:rPr/>
      </w:pPr>
      <w:r>
        <w:rPr/>
      </w:r>
    </w:p>
    <w:p>
      <w:pPr>
        <w:pStyle w:val="Normal"/>
        <w:rPr/>
      </w:pPr>
      <w:r>
        <w:rPr/>
        <w:t xml:space="preserve">Elektro’s tariffs are adjusted every year in August for IGPM and pass-through of all non-controllable costs, per its concession contract. </w:t>
      </w:r>
    </w:p>
    <w:p>
      <w:pPr>
        <w:pStyle w:val="Normal"/>
        <w:rPr/>
      </w:pPr>
      <w:r>
        <w:rPr/>
      </w:r>
    </w:p>
    <w:p>
      <w:pPr>
        <w:pStyle w:val="Normal"/>
        <w:rPr/>
      </w:pPr>
      <w:r>
        <w:rPr/>
        <w:t>Per Elektro’s concession contract, Elektro is required to submit to a full ANEEL rate review process ever 5 years.  In August 2003, Elektro is will have its first regualtory and tariff review with ANEEL for the purpose of resetting its electric tariffs.  Management anticipates a 5% reduction across the board reduction in its electric tariffs at this time to compensate for a reasonable rate of return and some of the efficiencies available to the shareholder prior to 2003.</w:t>
      </w:r>
    </w:p>
    <w:p>
      <w:pPr>
        <w:pStyle w:val="Normal"/>
        <w:rPr/>
      </w:pPr>
      <w:r>
        <w:rPr/>
      </w:r>
    </w:p>
    <w:p>
      <w:pPr>
        <w:pStyle w:val="Normal"/>
        <w:rPr/>
      </w:pPr>
      <w:r>
        <w:rPr/>
        <w:t>This compares favorably to Esclesa’s rate review in late 1998, whereby it received a 3% across the board rate reduction from ANEEL in the first electric sector revision to date in Brazil.  As per Esclesa’s concession contract, Escelsa is required to submit to a  full rate review process every 3 years.</w:t>
      </w:r>
    </w:p>
    <w:p>
      <w:pPr>
        <w:pStyle w:val="Normal"/>
        <w:rPr/>
      </w:pPr>
      <w:r>
        <w:rPr/>
      </w:r>
    </w:p>
    <w:p>
      <w:pPr>
        <w:pStyle w:val="Normal"/>
        <w:rPr/>
      </w:pPr>
      <w:r>
        <w:rPr/>
        <w:t>By further comparison, Elektro has long been considered one of the most efficient electric LDCs in Brazil and while Escelsa has been considered much less efficient.  Therefore, Elektro already possesses lower electric tariffs (especially for its residential and commercial consumers) than Esclesa and has much less scope for efficiency gains to share with the rate payers and the regulator.</w:t>
      </w:r>
    </w:p>
    <w:p>
      <w:pPr>
        <w:pStyle w:val="Normal"/>
        <w:rPr/>
      </w:pPr>
      <w:r>
        <w:rPr/>
      </w:r>
    </w:p>
    <w:p>
      <w:pPr>
        <w:pStyle w:val="Normal"/>
        <w:rPr/>
      </w:pPr>
      <w:r>
        <w:rPr/>
        <w:t>As a conservative stance, management further anticipates another 5% across the board rate reduction in each subsequent 5-year ANEEL rate review process after 2003, notwithstanding the fact that most of the available efficiencies will have been implemented by 2003 or sooner.</w:t>
      </w:r>
    </w:p>
    <w:p>
      <w:pPr>
        <w:pStyle w:val="Normal"/>
        <w:rPr/>
      </w:pPr>
      <w:r>
        <w:rPr/>
      </w:r>
    </w:p>
    <w:p>
      <w:pPr>
        <w:pStyle w:val="Normal"/>
        <w:rPr>
          <w:b/>
          <w:u w:val="single"/>
        </w:rPr>
      </w:pPr>
      <w:r>
        <w:rPr>
          <w:b/>
          <w:u w:val="single"/>
        </w:rPr>
        <w:t>Costs - GWh Purchase and Operating Costs</w:t>
      </w:r>
    </w:p>
    <w:p>
      <w:pPr>
        <w:pStyle w:val="Normal"/>
        <w:rPr>
          <w:b/>
          <w:u w:val="single"/>
        </w:rPr>
      </w:pPr>
      <w:r>
        <w:rPr>
          <w:b/>
          <w:u w:val="single"/>
        </w:rPr>
      </w:r>
    </w:p>
    <w:p>
      <w:pPr>
        <w:pStyle w:val="Normal"/>
        <w:rPr/>
      </w:pPr>
      <w:r>
        <w:rPr/>
        <w:t>The cost of GWh purchased is a pass-through under Brazil’s regulatory framework.  In addition, as discussed earlier, Elektro has contracted 100% of its supply needs pursuant to the CESP PPAs and the Itaipu Power Purchases until 2002 when the original purchase commitments of CESP PPA demand and energy begins to recede and ends in 2008 .  These contracts provide their respective price adjustment mechanisms that are described in greater detail above.</w:t>
      </w:r>
    </w:p>
    <w:p>
      <w:pPr>
        <w:pStyle w:val="Normal"/>
        <w:rPr/>
      </w:pPr>
      <w:r>
        <w:rPr/>
      </w:r>
    </w:p>
    <w:p>
      <w:pPr>
        <w:pStyle w:val="Normal"/>
        <w:rPr/>
      </w:pPr>
      <w:r>
        <w:rPr/>
        <w:t>In the case of the CESP PPAs, adjustments are made to account for Brazilian inflation as measured by IGPM, while the Itaipu costs adjustments reflect the debt service obligations and O&amp;M costs  of Itaipu.  The CESP PPA prices declined by 14.1% in dollar terms during 1999 reflecting the Real devaluation, from US$34.0/MWh during the last four months of 1998 to an average of US$29.2/MWh in 1999</w:t>
      </w:r>
    </w:p>
    <w:p>
      <w:pPr>
        <w:pStyle w:val="Normal"/>
        <w:rPr/>
      </w:pPr>
      <w:r>
        <w:rPr/>
      </w:r>
    </w:p>
    <w:p>
      <w:pPr>
        <w:pStyle w:val="Normal"/>
        <w:rPr/>
      </w:pPr>
      <w:r>
        <w:rPr/>
        <w:t>Itaipu prices are set in U.S. dollars, thus, the devaluation resulted in an increase in power purchase costs in Reais terms which were offset by the Government’s decision to fix the exchange rate at which payments to Itaipu were made originally at 1.55 Reais per Dollar and then at 1.95 Reias per Dollar..  The fixing of the exchange rate, which lasted from [  ] to [    ], partially offset the foreign exchange impact.</w:t>
      </w:r>
    </w:p>
    <w:p>
      <w:pPr>
        <w:pStyle w:val="Normal"/>
        <w:rPr/>
      </w:pPr>
      <w:r>
        <w:rPr/>
      </w:r>
    </w:p>
    <w:p>
      <w:pPr>
        <w:pStyle w:val="Normal"/>
        <w:rPr/>
      </w:pPr>
      <w:r>
        <w:rPr/>
        <w:t xml:space="preserve">Elektro does not currently generate any of its own power nor has it included any self-generation in the projections. </w:t>
      </w:r>
    </w:p>
    <w:p>
      <w:pPr>
        <w:pStyle w:val="Normal"/>
        <w:rPr/>
      </w:pPr>
      <w:r>
        <w:rPr/>
      </w:r>
    </w:p>
    <w:p>
      <w:pPr>
        <w:pStyle w:val="Normal"/>
        <w:rPr/>
      </w:pPr>
      <w:r>
        <w:rPr/>
        <w:t>Projected cost of power for Elektro assumes a pass through per its concession contract and management assumes that it re-contracted wholesale power costs will be at a price equal to Normative Value rules set by ANEEL (which is approxmiately US$37/Mwhr).   Elektro is allowed to self-generate under the Brazilian regulatory framework for 100% of its unregulated demand and up to 30% of its regulated demand.</w:t>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zSection"/>
      <w:tabs>
        <w:tab w:val="clear" w:pos="720"/>
        <w:tab w:val="left" w:pos="2880" w:leader="none"/>
        <w:tab w:val="right" w:pos="6480" w:leader="none"/>
      </w:tabs>
      <w:spacing w:before="0" w:after="240"/>
      <w:rPr/>
    </w:pPr>
    <w:r>
      <w:rPr>
        <w:rFonts w:cs="Arial" w:ascii="Arial" w:hAnsi="Arial"/>
        <w:sz w:val="12"/>
      </w:rPr>
      <w:t>LNCFD/251181/</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8:34</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zSection"/>
      <w:tabs>
        <w:tab w:val="clear" w:pos="720"/>
        <w:tab w:val="left" w:pos="2880" w:leader="none"/>
        <w:tab w:val="right" w:pos="6480" w:leader="none"/>
      </w:tabs>
      <w:spacing w:before="0" w:after="240"/>
      <w:rPr/>
    </w:pPr>
    <w:r>
      <w:rPr>
        <w:rFonts w:cs="Arial" w:ascii="Arial" w:hAnsi="Arial"/>
        <w:sz w:val="12"/>
      </w:rPr>
      <w:t>LNCFD/251181/</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8:34</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zSection"/>
      <w:tabs>
        <w:tab w:val="clear" w:pos="720"/>
        <w:tab w:val="left" w:pos="2880" w:leader="none"/>
        <w:tab w:val="right" w:pos="6480" w:leader="none"/>
      </w:tabs>
      <w:spacing w:before="0" w:after="240"/>
      <w:rPr/>
    </w:pPr>
    <w:r>
      <w:rPr>
        <w:rFonts w:cs="Arial" w:ascii="Arial" w:hAnsi="Arial"/>
        <w:sz w:val="12"/>
      </w:rPr>
      <w:t>LNCFD/251181/</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8:34</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160</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t>V.</w:t>
      <w:tab/>
      <w:t>Power Distribution</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t>V.</w:t>
      <w:tab/>
      <w:t>Power Distribution</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6">
    <w:name w:val="heading 6"/>
    <w:basedOn w:val="Normal"/>
    <w:next w:val="Normal"/>
    <w:qFormat/>
    <w:pPr>
      <w:keepNext w:val="true"/>
      <w:numPr>
        <w:ilvl w:val="5"/>
        <w:numId w:val="1"/>
      </w:numPr>
      <w:outlineLvl w:val="5"/>
    </w:pPr>
    <w:rPr>
      <w:b/>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DefaultParagraphFont">
    <w:name w:val="Default Paragraph Font"/>
    <w:qFormat/>
    <w:rPr/>
  </w:style>
  <w:style w:type="character" w:styleId="hidden">
    <w:name w:val="hidden"/>
    <w:basedOn w:val="DefaultParagraphFont"/>
    <w:qFormat/>
    <w:rPr>
      <w:vanish/>
      <w:color w:val="FF00FF"/>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1">
    <w:name w:val="B/med/1st/1"/>
    <w:basedOn w:val="Normal"/>
    <w:qFormat/>
    <w:pPr>
      <w:numPr>
        <w:ilvl w:val="0"/>
        <w:numId w:val="4"/>
      </w:numPr>
      <w:spacing w:before="0" w:after="220"/>
      <w:jc w:val="both"/>
    </w:pPr>
    <w:rPr>
      <w:sz w:val="22"/>
    </w:rPr>
  </w:style>
  <w:style w:type="paragraph" w:styleId="Bmed2nd0">
    <w:name w:val="B/med/2nd/0"/>
    <w:basedOn w:val="Normal"/>
    <w:qFormat/>
    <w:pPr>
      <w:numPr>
        <w:ilvl w:val="0"/>
        <w:numId w:val="3"/>
      </w:numPr>
      <w:ind w:hanging="0" w:start="720" w:end="0"/>
      <w:jc w:val="both"/>
    </w:pPr>
    <w:rPr>
      <w:sz w:val="22"/>
    </w:rPr>
  </w:style>
  <w:style w:type="paragraph" w:styleId="Bmed2nd5">
    <w:name w:val="B/med/2nd/.5"/>
    <w:basedOn w:val="Bmed2nd0"/>
    <w:qFormat/>
    <w:pPr>
      <w:spacing w:before="0" w:after="110"/>
    </w:pPr>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zSideBar">
    <w:name w:val="z SideBar"/>
    <w:basedOn w:val="Normal"/>
    <w:qFormat/>
    <w:pPr>
      <w:keepNext w:val="true"/>
    </w:pPr>
    <w:rPr>
      <w:b/>
      <w:i/>
      <w:sz w:val="22"/>
    </w:rPr>
  </w:style>
  <w:style w:type="paragraph" w:styleId="TableTitlemed1">
    <w:name w:val="Table Title/med/1"/>
    <w:basedOn w:val="Normal"/>
    <w:qFormat/>
    <w:pPr>
      <w:keepNext w:val="true"/>
      <w:keepLines/>
      <w:spacing w:before="0" w:after="200"/>
      <w:jc w:val="center"/>
    </w:pPr>
    <w:rPr>
      <w:rFonts w:ascii="Arial Narrow" w:hAnsi="Arial Narrow" w:cs="Arial Narrow"/>
      <w:b/>
      <w:sz w:val="20"/>
    </w:rPr>
  </w:style>
  <w:style w:type="paragraph" w:styleId="zSectionTitle">
    <w:name w:val="z SectionTitle"/>
    <w:basedOn w:val="Normal"/>
    <w:next w:val="BLKmed1st1"/>
    <w:qFormat/>
    <w:pPr>
      <w:pBdr>
        <w:bottom w:val="single" w:sz="18" w:space="4" w:color="000000"/>
      </w:pBdr>
      <w:spacing w:before="0" w:after="280"/>
      <w:ind w:hanging="446" w:start="446" w:end="0"/>
    </w:pPr>
    <w:rPr>
      <w:smallCaps/>
      <w:sz w:val="28"/>
    </w:rPr>
  </w:style>
  <w:style w:type="paragraph" w:styleId="zSection">
    <w:name w:val="z Section#"/>
    <w:basedOn w:val="Normal"/>
    <w:qFormat/>
    <w:pPr>
      <w:spacing w:before="0" w:after="240"/>
      <w:ind w:hanging="0" w:start="-3240" w:end="0"/>
    </w:pPr>
    <w:rPr>
      <w:smallCap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2000-03-20T22:47:00Z</dcterms:created>
  <dc:creator>Vinson &amp; Elkins L.L.P.</dc:creator>
  <dc:description/>
  <dc:language>en-CA</dc:language>
  <cp:lastModifiedBy>Vinson &amp; Elkins L.L.P.</cp:lastModifiedBy>
  <dcterms:modified xsi:type="dcterms:W3CDTF">2000-03-21T01:08:00Z</dcterms:modified>
  <cp:revision>3</cp:revision>
  <dc:subject/>
  <dc:title>– Implementing a state-of-the-art customer call center</dc:title>
</cp:coreProperties>
</file>