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Requirements for Electronic Trading Facilities for Exempt Commodities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Transactions must be principal to principal (no brokers)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Parties must be Eligible Commercial Entities</w:t>
      </w:r>
    </w:p>
    <w:p>
      <w:pPr>
        <w:pStyle w:val="Normal"/>
        <w:numPr>
          <w:ilvl w:val="1"/>
          <w:numId w:val="1"/>
        </w:numPr>
        <w:rPr/>
      </w:pPr>
      <w:r>
        <w:rPr/>
        <w:t>Same as Eligible Contract Participants ($10 mil. total assets or $1 mil. net worth) except:</w:t>
      </w:r>
    </w:p>
    <w:p>
      <w:pPr>
        <w:pStyle w:val="Normal"/>
        <w:numPr>
          <w:ilvl w:val="2"/>
          <w:numId w:val="1"/>
        </w:numPr>
        <w:rPr/>
      </w:pPr>
      <w:r>
        <w:rPr/>
        <w:t>Must:</w:t>
      </w:r>
    </w:p>
    <w:p>
      <w:pPr>
        <w:pStyle w:val="Normal"/>
        <w:numPr>
          <w:ilvl w:val="3"/>
          <w:numId w:val="1"/>
        </w:numPr>
        <w:rPr/>
      </w:pPr>
      <w:r>
        <w:rPr/>
        <w:t>have demonstrable ability to make or take delivery of the underlying commodity, or</w:t>
      </w:r>
    </w:p>
    <w:p>
      <w:pPr>
        <w:pStyle w:val="Normal"/>
        <w:numPr>
          <w:ilvl w:val="3"/>
          <w:numId w:val="1"/>
        </w:numPr>
        <w:rPr/>
      </w:pPr>
      <w:r>
        <w:rPr/>
        <w:t>incur risks, in addition to price risk, related to the commodity, or</w:t>
      </w:r>
    </w:p>
    <w:p>
      <w:pPr>
        <w:pStyle w:val="Normal"/>
        <w:numPr>
          <w:ilvl w:val="3"/>
          <w:numId w:val="1"/>
        </w:numPr>
        <w:rPr/>
      </w:pPr>
      <w:r>
        <w:rPr/>
        <w:t>be a dealer</w:t>
      </w:r>
    </w:p>
    <w:p>
      <w:pPr>
        <w:pStyle w:val="Normal"/>
        <w:numPr>
          <w:ilvl w:val="2"/>
          <w:numId w:val="1"/>
        </w:numPr>
        <w:rPr/>
      </w:pPr>
      <w:r>
        <w:rPr/>
        <w:t>May not be a(n):</w:t>
      </w:r>
    </w:p>
    <w:p>
      <w:pPr>
        <w:pStyle w:val="Normal"/>
        <w:numPr>
          <w:ilvl w:val="3"/>
          <w:numId w:val="1"/>
        </w:numPr>
        <w:rPr/>
      </w:pPr>
      <w:r>
        <w:rPr/>
        <w:t>investment company</w:t>
      </w:r>
    </w:p>
    <w:p>
      <w:pPr>
        <w:pStyle w:val="Normal"/>
        <w:numPr>
          <w:ilvl w:val="3"/>
          <w:numId w:val="1"/>
        </w:numPr>
        <w:rPr/>
      </w:pPr>
      <w:r>
        <w:rPr/>
        <w:t>commodity pool</w:t>
      </w:r>
    </w:p>
    <w:p>
      <w:pPr>
        <w:pStyle w:val="Normal"/>
        <w:numPr>
          <w:ilvl w:val="3"/>
          <w:numId w:val="1"/>
        </w:numPr>
        <w:rPr/>
      </w:pPr>
      <w:r>
        <w:rPr/>
        <w:t>employee benefit plan</w:t>
      </w:r>
    </w:p>
    <w:p>
      <w:pPr>
        <w:pStyle w:val="Normal"/>
        <w:numPr>
          <w:ilvl w:val="3"/>
          <w:numId w:val="1"/>
        </w:numPr>
        <w:rPr/>
      </w:pPr>
      <w:r>
        <w:rPr/>
        <w:t>individual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facility must: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 </w:t>
      </w:r>
      <w:r>
        <w:rPr/>
        <w:t>Register with the CFTC giving:</w:t>
      </w:r>
    </w:p>
    <w:p>
      <w:pPr>
        <w:pStyle w:val="Normal"/>
        <w:numPr>
          <w:ilvl w:val="2"/>
          <w:numId w:val="1"/>
        </w:numPr>
        <w:rPr/>
      </w:pPr>
      <w:r>
        <w:rPr/>
        <w:t>Name, address, person to receive notices</w:t>
      </w:r>
    </w:p>
    <w:p>
      <w:pPr>
        <w:pStyle w:val="Normal"/>
        <w:numPr>
          <w:ilvl w:val="2"/>
          <w:numId w:val="1"/>
        </w:numPr>
        <w:rPr/>
      </w:pPr>
      <w:r>
        <w:rPr/>
        <w:t>Commodity categories to be traded</w:t>
      </w:r>
    </w:p>
    <w:p>
      <w:pPr>
        <w:pStyle w:val="Normal"/>
        <w:numPr>
          <w:ilvl w:val="2"/>
          <w:numId w:val="1"/>
        </w:numPr>
        <w:rPr/>
      </w:pPr>
      <w:r>
        <w:rPr/>
        <w:t>Certifications that:</w:t>
      </w:r>
    </w:p>
    <w:p>
      <w:pPr>
        <w:pStyle w:val="Normal"/>
        <w:numPr>
          <w:ilvl w:val="3"/>
          <w:numId w:val="1"/>
        </w:numPr>
        <w:rPr/>
      </w:pPr>
      <w:r>
        <w:rPr/>
        <w:t>Executives meet certain qualifications</w:t>
      </w:r>
    </w:p>
    <w:p>
      <w:pPr>
        <w:pStyle w:val="Normal"/>
        <w:numPr>
          <w:ilvl w:val="3"/>
          <w:numId w:val="1"/>
        </w:numPr>
        <w:rPr/>
      </w:pPr>
      <w:r>
        <w:rPr/>
        <w:t>The facility will comply with exemption conditions</w:t>
      </w:r>
    </w:p>
    <w:p>
      <w:pPr>
        <w:pStyle w:val="Normal"/>
        <w:numPr>
          <w:ilvl w:val="3"/>
          <w:numId w:val="1"/>
        </w:numPr>
        <w:rPr/>
      </w:pPr>
      <w:r>
        <w:rPr/>
        <w:t>The facility will notify the CFTC of any changes in information provided</w:t>
      </w:r>
    </w:p>
    <w:p>
      <w:pPr>
        <w:pStyle w:val="Normal"/>
        <w:numPr>
          <w:ilvl w:val="2"/>
          <w:numId w:val="1"/>
        </w:numPr>
        <w:rPr/>
      </w:pPr>
      <w:r>
        <w:rPr/>
        <w:t>Identity of any clearing organizations to be used</w:t>
      </w:r>
    </w:p>
    <w:p>
      <w:pPr>
        <w:pStyle w:val="Normal"/>
        <w:numPr>
          <w:ilvl w:val="1"/>
          <w:numId w:val="1"/>
        </w:numPr>
        <w:rPr/>
      </w:pPr>
      <w:r>
        <w:rPr/>
        <w:t>Give the CFTC access to trading protocols and electronic access to the system</w:t>
      </w:r>
    </w:p>
    <w:p>
      <w:pPr>
        <w:pStyle w:val="Normal"/>
        <w:numPr>
          <w:ilvl w:val="1"/>
          <w:numId w:val="1"/>
        </w:numPr>
        <w:rPr/>
      </w:pPr>
      <w:r>
        <w:rPr/>
        <w:t>Provide reports to the CFTC regarding executed transactions as requested by the CFTC</w:t>
      </w:r>
    </w:p>
    <w:p>
      <w:pPr>
        <w:pStyle w:val="Normal"/>
        <w:numPr>
          <w:ilvl w:val="1"/>
          <w:numId w:val="1"/>
        </w:numPr>
        <w:rPr/>
      </w:pPr>
      <w:r>
        <w:rPr/>
        <w:t>Maintain records of all transactions and participants for 5 years and give the CFTC access to the records</w:t>
      </w:r>
    </w:p>
    <w:p>
      <w:pPr>
        <w:pStyle w:val="Normal"/>
        <w:numPr>
          <w:ilvl w:val="1"/>
          <w:numId w:val="1"/>
        </w:numPr>
        <w:rPr/>
      </w:pPr>
      <w:r>
        <w:rPr/>
        <w:t>Publicly disseminate price, trading volume and other trading data as required by the CFTC</w:t>
      </w:r>
    </w:p>
    <w:p>
      <w:pPr>
        <w:pStyle w:val="Normal"/>
        <w:numPr>
          <w:ilvl w:val="1"/>
          <w:numId w:val="1"/>
        </w:numPr>
        <w:rPr/>
      </w:pPr>
      <w:r>
        <w:rPr/>
        <w:t>On special request, deliver to the CFTC such other information as it may request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Transactions on such facilities are subject to the anti-fraud and anti-market manipulation jurisdiction of the CFTC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2001-04-26T20:44:00Z</dcterms:created>
  <dc:creator>mtaylo1</dc:creator>
  <dc:description/>
  <dc:language>en-CA</dc:language>
  <cp:lastModifiedBy>mtaylo1</cp:lastModifiedBy>
  <cp:lastPrinted>2001-04-26T19:21:00Z</cp:lastPrinted>
  <dcterms:modified xsi:type="dcterms:W3CDTF">2001-04-27T17:36:00Z</dcterms:modified>
  <cp:revision>3</cp:revision>
  <dc:subject/>
  <dc:title>Electronic Trading Facility for Exempt Commodities</dc:title>
</cp:coreProperties>
</file>