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00" w:after="100"/>
        <w:jc w:val="center"/>
        <w:rPr/>
      </w:pPr>
      <w:r>
        <w:rPr/>
        <w:t>ELECTRONIC SERVICES AGREEMENT</w:t>
      </w:r>
    </w:p>
    <w:p>
      <w:pPr>
        <w:pStyle w:val="Normal"/>
        <w:jc w:val="both"/>
        <w:rPr/>
      </w:pPr>
      <w:r>
        <w:rPr/>
        <w:t xml:space="preserve">WHEREAS, CommodityLogic, Enron Net Works LLC and/or its affiliates (referred to herein collectively and individually as "CommodityLogic") from time to time have established or will establish one or more websites or other internet-based electronic transaction and/or service facilities (collectively, the "Website") for the provision of certain services, products and instruments (the “Services”) based on the trading of energy products or other commodities (including derivatives products) (collectively, "Commodity Transactions"); and </w:t>
      </w:r>
    </w:p>
    <w:p>
      <w:pPr>
        <w:pStyle w:val="Normal"/>
        <w:jc w:val="both"/>
        <w:rPr/>
      </w:pPr>
      <w:r>
        <w:rPr/>
        <w:t>WHEREAS, you (“User”) have expressed a desire to access and utilize the Website and Services in association with Commodity Transactions and have previously signed a Subscription Agreement with CommodityLogic; and</w:t>
      </w:r>
    </w:p>
    <w:p>
      <w:pPr>
        <w:pStyle w:val="Normal"/>
        <w:jc w:val="both"/>
        <w:rPr/>
      </w:pPr>
      <w:r>
        <w:rPr/>
        <w:t>WHEREAS, duly authorized representatives of User have completed and submitted to CommodityLogic a Password Application or various Password Applications (collectively, the “Password Application”)  pursuant to which CommodityLogic has agreed to provide these individuals (“Master Users”) and any individuals designated by the Master Users (all acting on behalf of User) with access to and use of the Website; and</w:t>
      </w:r>
    </w:p>
    <w:p>
      <w:pPr>
        <w:pStyle w:val="Normal"/>
        <w:jc w:val="both"/>
        <w:rPr/>
      </w:pPr>
      <w:r>
        <w:rPr/>
        <w:t>WHEREAS, User has agreed that any access to and utilization of the Website shall be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CommodityLogic and User (by having an Authorized Master User "click" on the “I ACCEPT” area below this Agreement) their mutual intent to enter into this Agreement electronically and on the terms and conditions set forth herein, including those in any annex or supplement hereto (each, an "</w:t>
      </w:r>
      <w:r>
        <w:rPr>
          <w:u w:val="single"/>
        </w:rPr>
        <w:t>Annex</w:t>
      </w:r>
      <w:r>
        <w:rPr/>
        <w:t>"), and in the Password Application, and to be legally bound by the terms and conditions of this Agreement to the same extent and with the same force and effect as if User had manually executed this Agreement.  This Agreement (taken together, where applicable, with any relevant (i) procedures established by CommodityLogic with respect to the access and utilization of the Website, (ii) each Annex for particular Modules (as defined below) and (iii) other terms and conditions specified or referred to on the Website from time to time) will govern the access and utilization of the Website and any and all Services provided to User through the Website.  In the event of any inconsistency between this Agreement, any other terms and conditions specified or referred to on the Website and any Annex regarding any module on the Website (each, a "Module"), the applicable Annex shall govern with respect to the relevant Module.</w:t>
      </w:r>
    </w:p>
    <w:p>
      <w:pPr>
        <w:pStyle w:val="Normal"/>
        <w:jc w:val="both"/>
        <w:rPr/>
      </w:pPr>
      <w:r>
        <w:rPr>
          <w:b/>
        </w:rPr>
        <w:t>2.</w:t>
        <w:tab/>
      </w:r>
      <w:r>
        <w:rPr>
          <w:b/>
          <w:u w:val="single"/>
        </w:rPr>
        <w:t>REPRESENTATIONS, WARRANTIES AND COVENANTS.</w:t>
      </w:r>
      <w:r>
        <w:rPr/>
        <w:t xml:space="preserve"> User hereby represents, warrants and covenants as follows:</w:t>
      </w:r>
    </w:p>
    <w:p>
      <w:pPr>
        <w:pStyle w:val="BodyText"/>
        <w:rPr/>
      </w:pPr>
      <w:r>
        <w:rPr/>
        <w:t>(a)</w:t>
        <w:tab/>
        <w:t xml:space="preserve">User will access and utilize the Website (including but not limited to the provisions of the Services) solely for its own internal business and commercial purposes and in accordance with the terms and conditions of this Agreement, any procedures established by CommodityLogic with respect to the access and utilization of the Website and any other terms and conditions specified or referred to on the Website from time to time. User will not utilize the Website or make use of the Services on behalf of any third parties (save and except for those third parties on whose behalf User is specifically authorized to act, if any) or sell, lease, store, retransmit, redistribute or provide, directly or indirectly, any portion of the content of the Website to any third party. User acknowledges that the Website is the exclusive and proprietary property of CommodityLogic, and that User shall have no rights with respect thereto. User agrees to protect the proprietary rights of CommodityLogic in the Website and User shall comply with reasonable requests made by CommodityLogic to protect such rights. </w:t>
      </w:r>
    </w:p>
    <w:p>
      <w:pPr>
        <w:pStyle w:val="Normal"/>
        <w:jc w:val="both"/>
        <w:rPr/>
      </w:pPr>
      <w:r>
        <w:rPr/>
        <w:t>(b)</w:t>
        <w:tab/>
        <w:t xml:space="preserve">CommodityLogic may, in its sole discretion, with or without notice to User, temporarily or permanently cease to provide the Website or suspend, terminate or restrict User’s access to and utilization of the Website. User shall supply CommodityLogic with all information reasonably requested by CommodityLogic concerning User and its access to and utilization of the Website. User acknowledges that its access to and utilization of the Website may be monitored by CommodityLogic for CommodityLogic’s own purposes, and not for the benefit of User, and that the resultant information may be utilized by CommodityLogic.  The monitoring referred to in the preceding sentence shall not include monitoring of Commodity Information (as hereinafter defined) by CommodityLogic, save and except for situations where CommodityLogic is required to post the Commodity Information to the Website or Module on behalf of User and then such monitoring shall only be to ensure that the Commodity Information has been so posted.   </w:t>
      </w:r>
    </w:p>
    <w:p>
      <w:pPr>
        <w:pStyle w:val="Normal"/>
        <w:jc w:val="both"/>
        <w:rPr/>
      </w:pPr>
      <w:r>
        <w:rPr/>
        <w:t>(c)</w:t>
        <w:tab/>
        <w:t>User shall comply with any and all laws, rules, regulations or orders applicable to User’s access to and use of the Website.</w:t>
      </w:r>
    </w:p>
    <w:p>
      <w:pPr>
        <w:pStyle w:val="Normal"/>
        <w:jc w:val="both"/>
        <w:rPr/>
      </w:pPr>
      <w:r>
        <w:rPr/>
        <w:t>(d)</w:t>
        <w:tab/>
        <w:t>By "clicking" on the designated spaces associated with this Agreement, User itself is executing this Agreement on its own behalf.  User has all necessary power and authority to execute and perform this Agreement and this Agreement is its legal, valid and binding agreement, enforceable against User in accordance with its terms.  User has specifically authorized the Master User “clicking” on the designated spaces associated with this Agreement to undertake such action on behalf of User and to legally bind User to this Agreement.  Neither the execution of nor performance under this Agreement by User violates any law, rule, regulation or order, or any agreement, document or instrument, binding on or applicable to User. User agrees that this Agreement and the Services provided in relation to any Module, to the extent any action is required by User within any Modules, will be deemed to be "in writing" and to have been "signed" for all purposes and that any record of any such Services having been provided to User will be deemed to be in "writing," whether maintained by CommodityLogic or provided to User by CommodityLogic via electronic, written or other means. User will not contest the legally binding nature, validity or enforceability of this Agreement or the use of any Services provided through any Module in relation to any Commodity Transaction based on the fact that it has been executed or acknowledged electronically by "clicking" on the designated spaces and expressly waives any and all rights it may have to assert any such claim.</w:t>
      </w:r>
    </w:p>
    <w:p>
      <w:pPr>
        <w:pStyle w:val="Normal"/>
        <w:jc w:val="both"/>
        <w:rPr/>
      </w:pPr>
      <w:r>
        <w:rPr/>
        <w:t>(e)</w:t>
        <w:tab/>
        <w:t>User has reviewed and understands the procedures established by CommodityLogic with respect to the Services provided within the Modules in relation to Commodity Transactions and agrees to comply with such procedures (and with any changed or amended procedures established by CommodityLogic that are posted on the Website) in connection with such Services.</w:t>
      </w:r>
    </w:p>
    <w:p>
      <w:pPr>
        <w:pStyle w:val="Normal"/>
        <w:jc w:val="both"/>
        <w:rPr/>
      </w:pPr>
      <w:r>
        <w:rPr/>
        <w:t>(f)</w:t>
        <w:tab/>
        <w:t>The Website may provide links to certain internet sites sponsored and maintained by third parties. Such sites are publicly available and CommodityLogic is providing access to such links through the Website solely as a convenience to User. CommodityLogic makes no representations or warranties concerning the content of such sites and the fact that access to such sites is provided does not constitute any endorsement, authorization or sponsorship of such sites or their sponsors by CommodityLogic nor is there any affiliation between CommodityLogic and such sponsors and such sponsors do not endorse, authorize or sponsor the Website. User understands and agrees that it will use or rely on such sites solely at its own risk and that CommodityLogic does not grant the User any rights in respect of such sites.</w:t>
      </w:r>
    </w:p>
    <w:p>
      <w:pPr>
        <w:pStyle w:val="BodyText"/>
        <w:rPr/>
      </w:pPr>
      <w:r>
        <w:rPr/>
        <w:t>(g)</w:t>
        <w:tab/>
        <w:t xml:space="preserve">USER ACKNOWLEDGES, UNDERSTANDS AND ACCEPTS THAT (i) COMMODITYLOGIC MAKES NO WARRANTY WHATSOEVER TO USER AS TO THE WEBSITE, ANY MODULE OR THE RESULTS OF USER’S USE OF THE WEBSITE, EXPRESS OR IMPLIED, INCLUDING, BUT NOT LIMITED TO, THE ACCURACY, COMPLETENESS OR VALIDITY OF ANY COMMODITY INFORMAITON POSTED TO THE MODULE, AND (ii) THE WEBSITE AND ANY MODULE IS PROVIDED BY COMMODITYLOGIC ON AN "AS IS" BASIS AT USER’S SOLE RISK AND COMMODITYLOGIC EXPRESSLY DISCLAIMS ANY IMPLIED WARRANTIES OF SATISFACTORY QUALITY OR FITNESS FOR A PARTICULAR PURPOSE. </w:t>
      </w:r>
    </w:p>
    <w:p>
      <w:pPr>
        <w:pStyle w:val="Normal"/>
        <w:jc w:val="both"/>
        <w:rPr/>
      </w:pPr>
      <w:r>
        <w:rPr>
          <w:b/>
        </w:rPr>
        <w:t>3.</w:t>
        <w:tab/>
      </w:r>
      <w:r>
        <w:rPr>
          <w:b/>
          <w:u w:val="single"/>
        </w:rPr>
        <w:t>SERVICES</w:t>
      </w:r>
      <w:r>
        <w:rPr>
          <w:b/>
        </w:rPr>
        <w:t>.</w:t>
      </w:r>
    </w:p>
    <w:p>
      <w:pPr>
        <w:pStyle w:val="Normal"/>
        <w:jc w:val="both"/>
        <w:rPr/>
      </w:pPr>
      <w:r>
        <w:rPr/>
        <w:t>(a)</w:t>
        <w:tab/>
        <w:t>Each of the Services to be provided to User through the Website shall be subject to the terms and conditions of this Agreement (including those contained in the Annex for each Module), the Subscription Agreement, the Password Application, and the descriptions and definitions posted on the Website (regardless of whether User actually "clicks" on the designated space or views such information) in respect of the Services which are related to the relevant Commodity Transaction.</w:t>
      </w:r>
    </w:p>
    <w:p>
      <w:pPr>
        <w:pStyle w:val="Normal"/>
        <w:jc w:val="both"/>
        <w:rPr/>
      </w:pPr>
      <w:r>
        <w:rPr/>
        <w:t>(b)</w:t>
        <w:tab/>
        <w:t>To the extent any of the Services provided through the Website or any particular Module require the amendment, modification or any other change to any master agreement, other written agreement or any General Terms and Conditions (“GTCs”) between User and any counterparty (a “Counterparty”) with whom User has executed the particular Commodity Transaction(s) (collectively, “</w:t>
      </w:r>
      <w:r>
        <w:rPr>
          <w:u w:val="single"/>
        </w:rPr>
        <w:t>Other Agreements</w:t>
      </w:r>
      <w:r>
        <w:rPr/>
        <w:t xml:space="preserve">”), by “clicking” on the designated spaces associated with this Agreement, within any Annex or within the Module in relation to the Services, the terms and conditions of the Other Agreements will be effectively amended, modified or otherwise changed as if any such amendment, modification or other change to the Other Agreements were made in writing by both User and Counterparty, provided that such Counterparty is also a “user” of the Services and has agreed to the terms of this Agreement with CommodityLogic. </w:t>
      </w:r>
    </w:p>
    <w:p>
      <w:pPr>
        <w:pStyle w:val="Normal"/>
        <w:jc w:val="both"/>
        <w:rPr/>
      </w:pPr>
      <w:r>
        <w:rPr>
          <w:b/>
        </w:rPr>
        <w:t>4.</w:t>
        <w:tab/>
      </w:r>
      <w:r>
        <w:rPr>
          <w:b/>
          <w:u w:val="single"/>
        </w:rPr>
        <w:t>LIMITATION OF LIABILITY; INDEMNITY.</w:t>
      </w:r>
    </w:p>
    <w:p>
      <w:pPr>
        <w:pStyle w:val="Normal"/>
        <w:jc w:val="both"/>
        <w:rPr/>
      </w:pPr>
      <w:r>
        <w:rPr/>
        <w:t>(a)</w:t>
        <w:tab/>
        <w:t xml:space="preserve">COMMODITYLOGIC AND ITS DIRECTORS, OFFICERS, EMPLOYEES AND AGENTS, SHALL HAVE NO LIABILITY, CONTINGENT OR OTHERWISE, TO USER, ANY COUNTERPARTY OR TO ANY THIRD PARTIES, FOR THE ACCURACY, TIMELINESS, COMPLETENESS, RELIABILITY, PERFORMANCE OR CONTINUED AVAILABILITY OF THE WEBSITE OR FOR DELAYS OR OMISSIONS THEREIN. IN NO EVENT WILL COMMODITYLOGIC BE LIABLE FOR ANY SPECIAL, INDIRECT, INCIDENTAL, PUNITIVE OR CONSEQUENTIAL DAMAGES (INCLUDING, WITHOUT LIMITATION, LOSS OF BUSINESS, LOSS OF PROFIT, LOSS OR CORRUPTION OF DATA, LOSS OF GOODWILL OR REPUTATION OR WASTED MANAGEMENT TIME) WHICH MAY BE INCURRED OR EXPERIENCED ON ACCOUNT OF USER’S ENTERING INTO THIS AGREEMENT, USING OR RELYING ON THE WEBSITE OR ANY INFORMATION ON IT, OR ENTERING INTO ANY AGREEMENTS WITH A COUNTERPARTY BASED UPON THE USE OF THE WEBSITE, EVEN IF COMMODITYLOGIC HAS BEEN ADVISED OF THE POSSIBILITY OF SUCH DAMAGES. ANY LIMITATIONS OR RESTRICTIONS ON THE LIABILITY OF EITHER PARTY IN THIS AGREEMENT SHALL ONLY APPLY TO THE EXTENT PERMITTED BY APPLICABLE LAW. </w:t>
      </w:r>
    </w:p>
    <w:p>
      <w:pPr>
        <w:pStyle w:val="Normal"/>
        <w:jc w:val="both"/>
        <w:rPr/>
      </w:pPr>
      <w:r>
        <w:rPr/>
        <w:t>(b)</w:t>
        <w:tab/>
        <w:t>User shall indemnify, protect, and hold harmless CommodityLogic and its directors, officers, employees and agents from and against any and all losses, liabilities, judgments, suits, actions, proceedings, claims, damages, and costs (including court costs and reasonable attorneys’ fees) (collectively, “</w:t>
      </w:r>
      <w:r>
        <w:rPr>
          <w:u w:val="single"/>
        </w:rPr>
        <w:t>Claims</w:t>
      </w:r>
      <w:r>
        <w:rPr/>
        <w:t>”) resulting from or arising out of User’s access to and utilization of the Website, including, without limitation (i) any access or entry into any other CommodityLogic system other than the Website, (ii) any act or omission by any person obtaining access to the Website through the Passwords (as defined in the Password Application), whether or not User has authorized such access, (iii) any actions taken or not taken by User as a result of or based on its access to or utilization of the Website, (iv) any action taken by CommodityLogic based upon information provided by User to CommodityLogic, until such time as User has notified CommodityLogic of a change to or update of any such information, and/or (v) any Claims by any Counterparty based upon action taken by User within a Module that may have an impact upon or otherwise effect a Counterparty or any Commodity Information (as hereinafter defined) or Commodity Transaction between User and a Counterparty.</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for a period of two (2 years after the expiry or sooner termination of this Agreement, without the prior written consent of the other party, disclose or suffer or permit its officers, employees, affiliates, agents or contractors to disclose to any person (other than to any of its officers, employees, affiliates, agents or contractors with a need for the Confidential Information in connection with the performance of their obligations to User)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w:t>
      </w:r>
      <w:r>
        <w:rPr>
          <w:u w:val="single"/>
        </w:rPr>
        <w:t>Confidential Information</w:t>
      </w:r>
      <w:r>
        <w:rPr/>
        <w:t>").</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or accounting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pPr>
      <w:r>
        <w:rPr>
          <w:b/>
        </w:rPr>
        <w:t>6.</w:t>
        <w:tab/>
      </w:r>
      <w:r>
        <w:rPr>
          <w:b/>
          <w:u w:val="single"/>
        </w:rPr>
        <w:t>ARCHIVES AND RECORDS RETENTION</w:t>
      </w:r>
      <w:r>
        <w:rPr>
          <w:b/>
        </w:rPr>
        <w:t>.</w:t>
      </w:r>
    </w:p>
    <w:p>
      <w:pPr>
        <w:pStyle w:val="Normal"/>
        <w:jc w:val="both"/>
        <w:rPr/>
      </w:pPr>
      <w:r>
        <w:rPr/>
        <w:t>(a)</w:t>
        <w:tab/>
        <w:t>User acknowledges that CommodityLogic is merely providing the Website and each Module as an alternative method of enabling parties to a Commodity Transaction or group of Commodity Transactions to carry out certain “mid and back office functions” associated with those Commodity Transactions or groups of Commodity Transactions, as well as certain other associated functions.  Any data or information posted to a specific Module for a Commodity Transaction or group of Commodity Transactions by User or its Counterparty (“</w:t>
      </w:r>
      <w:r>
        <w:rPr>
          <w:u w:val="single"/>
        </w:rPr>
        <w:t>Commodity Information</w:t>
      </w:r>
      <w:r>
        <w:rPr/>
        <w:t>”), is Commodity Information generated by a party to the Commodity Transaction and is not Commodity Information for which CommodityLogic bears any responsibility to verify or otherwise determine the accuracy or validity thereof.  It is also acknowledged by User that CommodityLogic does not have any obligation or responsibility to verify, validate or otherwise confirm any such Commodity Information despite the fact that User may have agreed to use CommodityLogic, the Website and a particular Module for purposes of receiving certain specified Services.</w:t>
      </w:r>
    </w:p>
    <w:p>
      <w:pPr>
        <w:pStyle w:val="Normal"/>
        <w:jc w:val="both"/>
        <w:rPr/>
      </w:pPr>
      <w:r>
        <w:rPr/>
        <w:t>(b)</w:t>
        <w:tab/>
        <w:t>Unless otherwise indicated in an Annex to a Module, Commodity Information will remain accessible to User through that Module for a period of one (1) year subsequent to the date it was posted to the Module (the “</w:t>
      </w:r>
      <w:r>
        <w:rPr>
          <w:u w:val="single"/>
        </w:rPr>
        <w:t>Access Period</w:t>
      </w:r>
      <w:r>
        <w:rPr/>
        <w:t>”), provided User remains authorized to access and use the Module.  Following the Access Period, all Commodity Information will be migrated to archives by CommodityLogic in accordance with CommodityLogic’s then current archive and records retention policies.  Once migrated to archives, access by User will no longer be available through the Website or the Module.  Once Commodity Information has been archived or User’s rights to access the Website and/or a Module have been terminated prior to the end of the Access Period, copies of Commodity Information may be provided to User following a written request provided to CommodityLogic from User.  A small fee may be charged by CommodityLogic for copies of any Commodity Information provided by CommodityLogic pursuant to a request by User.</w:t>
      </w:r>
    </w:p>
    <w:p>
      <w:pPr>
        <w:pStyle w:val="Normal"/>
        <w:keepNext w:val="true"/>
        <w:keepLines/>
        <w:widowControl/>
        <w:jc w:val="both"/>
        <w:rPr/>
      </w:pPr>
      <w:r>
        <w:rPr>
          <w:b/>
        </w:rPr>
        <w:t>7.</w:t>
        <w:tab/>
      </w:r>
      <w:r>
        <w:rPr>
          <w:b/>
          <w:u w:val="single"/>
        </w:rPr>
        <w:t>GENERAL</w:t>
      </w:r>
      <w:r>
        <w:rPr>
          <w:b/>
        </w:rPr>
        <w:t>.</w:t>
      </w:r>
    </w:p>
    <w:p>
      <w:pPr>
        <w:pStyle w:val="Normal"/>
        <w:keepNext w:val="true"/>
        <w:keepLines/>
        <w:widowControl/>
        <w:jc w:val="both"/>
        <w:rPr/>
      </w:pPr>
      <w:r>
        <w:rPr/>
        <w:t>(a)</w:t>
        <w:tab/>
        <w:t xml:space="preserve">This Agreement shall commence upon CommodityLogic’s issuance of a user ID and Password to User and User’s authorized Master User’s first "clicking" on the designated spaces associated with this Agreement and shall remain in effect unless and until terminated by CommodityLogic upon written or electronic notice to User, to take effect immediately, in accordance with Section 7(e), </w:t>
      </w:r>
      <w:r>
        <w:rPr>
          <w:u w:val="single"/>
        </w:rPr>
        <w:t>provided</w:t>
      </w:r>
      <w:r>
        <w:rPr/>
        <w:t xml:space="preserve"> </w:t>
      </w:r>
      <w:r>
        <w:rPr>
          <w:u w:val="single"/>
        </w:rPr>
        <w:t>that</w:t>
      </w:r>
      <w:r>
        <w:rPr/>
        <w:t xml:space="preserve"> this Agreement shall remain in effect with respect to any Services provided to User prior to such termination.</w:t>
      </w:r>
    </w:p>
    <w:p>
      <w:pPr>
        <w:pStyle w:val="Normal"/>
        <w:jc w:val="both"/>
        <w:rPr/>
      </w:pPr>
      <w:r>
        <w:rPr/>
        <w:t>(b)</w:t>
        <w:tab/>
        <w:t>This Agreement may not be assigned by User without the express prior written consent of CommodityLogic. This Agreement shall be binding upon each party and its successors and permitted assigns in accordance with its terms.</w:t>
      </w:r>
    </w:p>
    <w:p>
      <w:pPr>
        <w:pStyle w:val="Normal"/>
        <w:jc w:val="both"/>
        <w:rPr/>
      </w:pPr>
      <w:r>
        <w:rPr/>
        <w:t>(c)</w:t>
        <w:tab/>
        <w:t>The User shall be solely responsible for all third party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as their proper address for the receipt of such notices. Any notices sent pursuant to clause 7(e)(ii) of this Agreement shall be deemed to have been received immediately upon transmission of the electronic mail message.</w:t>
      </w:r>
    </w:p>
    <w:p>
      <w:pPr>
        <w:pStyle w:val="Normal"/>
        <w:jc w:val="both"/>
        <w:rPr/>
      </w:pPr>
      <w:r>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jc w:val="both"/>
        <w:rPr/>
      </w:pPr>
      <w:r>
        <w:rPr/>
        <w:t xml:space="preserve"> </w:t>
      </w:r>
      <w:r>
        <w:rPr/>
        <w:t>(g)</w:t>
        <w:tab/>
        <w:t xml:space="preserve">Notwithstanding anything else in this Agreement or in any Annex to the contrary, under no circumstance shall either CommodityLogic or User, as the case may be, be liable to each other for a failure to perform based upon a force majeure event.  Notwithstanding the preceding sentence to the contrary, upon the occurrence of a force majeure event resulting in User being unable to access or make use of the Website and/or any particular Module, it shall be User’s responsibility to communicate such fact to its Counterparty to any Commodity Transactions which are or may be posted within any Module and to undertake, by whatever means are agreed to between User and its Counterparty to accomplish the equivalent of the Services which would otherwise be completed through the Website and/or Module.  For purposes of this Agreement, any Annex, and the corresponding Module, a "force majeure event" shall mean and include acts of God, fire, civil disobedience, labor disputes or labor shortages, utility outages, strikes, sabotage, or action or restraint by court order of any governmental authority which results in either party being unable to access or otherwise make use of the Website and/or Module for purposes of obtaining the Services associated with that Module.  </w:t>
      </w:r>
    </w:p>
    <w:p>
      <w:pPr>
        <w:pStyle w:val="Normal"/>
        <w:jc w:val="both"/>
        <w:rPr/>
      </w:pPr>
      <w:r>
        <w:rPr/>
        <w:t>(h)</w:t>
        <w:tab/>
        <w:t>Any Counterparty who undertakes to use the Website in conjunction with User's activities on the Website shall be deemed to be a third party beneficiary of this Agreement.</w:t>
      </w:r>
    </w:p>
    <w:p>
      <w:pPr>
        <w:pStyle w:val="Normal"/>
        <w:spacing w:before="100" w:after="100"/>
        <w:jc w:val="both"/>
        <w:rPr/>
      </w:pPr>
      <w:r>
        <w:rPr/>
        <w:t>(i)</w:t>
        <w:tab/>
        <w:t xml:space="preserve">If User is accessing and utilizing the Website or any Module as an agent for or broker representing any Counterparty to a Commodity Transaction or on behalf of any subsidiary or </w:t>
      </w:r>
      <w:r>
        <w:rPr/>
        <w:t>affiliate organization, User must first provide CommodityLogic with the Agency Authorization Form and/or the Addendum to Password Application for Affiliates and Subsidiaries, complete in all respects, which forms can be found within the “Legal Agreements” on the Website.  If at any time during the term of this Agreement or User’s use of specific Modules on the Website, information contained in either of the foregoing forms, as well as the Password Application, changes or is required to be updated, User shall immediately notify CommodityLogic of such change or update.</w:t>
      </w:r>
      <w:r>
        <mc:AlternateContent>
          <mc:Choice Requires="wps">
            <w:drawing>
              <wp:anchor behindDoc="0" distT="0" distB="0" distL="114935" distR="114935" simplePos="0" locked="0" layoutInCell="1" allowOverlap="1" relativeHeight="2">
                <wp:simplePos x="0" y="0"/>
                <wp:positionH relativeFrom="column">
                  <wp:posOffset>5760720</wp:posOffset>
                </wp:positionH>
                <wp:positionV relativeFrom="paragraph">
                  <wp:posOffset>8750300</wp:posOffset>
                </wp:positionV>
                <wp:extent cx="831215" cy="237490"/>
                <wp:effectExtent l="0" t="0" r="0" b="0"/>
                <wp:wrapNone/>
                <wp:docPr id="1" name="Frame1"/>
                <a:graphic xmlns:a="http://schemas.openxmlformats.org/drawingml/2006/main">
                  <a:graphicData uri="http://schemas.microsoft.com/office/word/2010/wordprocessingShape">
                    <wps:wsp>
                      <wps:cNvSpPr txBox="1"/>
                      <wps:spPr>
                        <a:xfrm>
                          <a:off x="0" y="0"/>
                          <a:ext cx="831215" cy="237490"/>
                        </a:xfrm>
                        <a:prstGeom prst="rect"/>
                        <a:solidFill>
                          <a:srgbClr val="FFFFFF">
                            <a:alpha val="0"/>
                          </a:srgbClr>
                        </a:solidFill>
                      </wps:spPr>
                      <wps:txbx>
                        <w:txbxContent>
                          <w:p>
                            <w:pPr>
                              <w:pStyle w:val="Normal"/>
                              <w:spacing w:before="100" w:after="100"/>
                              <w:rPr>
                                <w:sz w:val="14"/>
                              </w:rPr>
                            </w:pPr>
                            <w:r>
                              <w:rPr>
                                <w:sz w:val="14"/>
                              </w:rPr>
                              <w:t>Version 07-01</w:t>
                            </w:r>
                          </w:p>
                        </w:txbxContent>
                      </wps:txbx>
                      <wps:bodyPr anchor="t" lIns="92075" tIns="46355" rIns="92075" bIns="46355">
                        <a:noAutofit/>
                      </wps:bodyPr>
                    </wps:wsp>
                  </a:graphicData>
                </a:graphic>
              </wp:anchor>
            </w:drawing>
          </mc:Choice>
          <mc:Fallback>
            <w:pict>
              <v:rect fillcolor="#FFFFFF" style="position:absolute;rotation:-0;width:65.45pt;height:18.7pt;mso-wrap-distance-left:9.05pt;mso-wrap-distance-right:9.05pt;mso-wrap-distance-top:0pt;mso-wrap-distance-bottom:0pt;margin-top:689pt;mso-position-vertical-relative:text;margin-left:453.6pt;mso-position-horizontal-relative:text">
                <v:fill opacity="0f"/>
                <v:textbox inset="0.100694444444444in,0.0506944444444444in,0.100694444444444in,0.0506944444444444in">
                  <w:txbxContent>
                    <w:p>
                      <w:pPr>
                        <w:pStyle w:val="Normal"/>
                        <w:spacing w:before="100" w:after="100"/>
                        <w:rPr>
                          <w:sz w:val="14"/>
                        </w:rPr>
                      </w:pPr>
                      <w:r>
                        <w:rPr>
                          <w:sz w:val="14"/>
                        </w:rPr>
                        <w:t>Version 07-01</w:t>
                      </w:r>
                    </w:p>
                  </w:txbxContent>
                </v:textbox>
                <w10:wrap type="none"/>
              </v:rect>
            </w:pict>
          </mc:Fallback>
        </mc:AlternateContent>
      </w:r>
    </w:p>
    <w:sectPr>
      <w:headerReference w:type="default" r:id="rId2"/>
      <w:headerReference w:type="first" r:id="rId3"/>
      <w:footerReference w:type="default" r:id="rId4"/>
      <w:footerReference w:type="first" r:id="rId5"/>
      <w:type w:val="nextPage"/>
      <w:pgSz w:w="12240" w:h="15840"/>
      <w:pgMar w:left="1440" w:right="1440" w:gutter="0" w:header="36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jc w:val="end"/>
      <w:rPr>
        <w:rStyle w:val="PageNumber"/>
        <w:sz w:val="12"/>
      </w:rPr>
    </w:pPr>
    <w:r>
      <w:rPr/>
    </w:r>
  </w:p>
  <w:p>
    <w:pPr>
      <w:pStyle w:val="Footer"/>
      <w:spacing w:before="100" w:after="10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bCs/>
      </w:rPr>
    </w:pPr>
    <w:r>
      <w:rPr>
        <w:b/>
        <w:bCs/>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pyList">
    <w:name w:val="CopyList"/>
    <w:basedOn w:val="Normal"/>
    <w:qFormat/>
    <w:pPr>
      <w:widowControl/>
      <w:tabs>
        <w:tab w:val="clear" w:pos="720"/>
        <w:tab w:val="left" w:pos="504" w:leader="none"/>
      </w:tabs>
      <w:overflowPunct w:val="false"/>
      <w:autoSpaceDE w:val="false"/>
      <w:spacing w:before="360" w:after="0"/>
      <w:ind w:hanging="504" w:start="576" w:end="0"/>
      <w:textAlignment w:val="baseline"/>
    </w:pPr>
    <w:rPr>
      <w:rFonts w:ascii="Arial" w:hAnsi="Arial" w:cs="Arial"/>
      <w:sz w:val="20"/>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2001-06-27T13:24:00Z</dcterms:created>
  <dc:creator>rshults</dc:creator>
  <dc:description/>
  <dc:language>en-CA</dc:language>
  <cp:lastModifiedBy>mgreenbe</cp:lastModifiedBy>
  <cp:lastPrinted>2001-03-26T15:35:00Z</cp:lastPrinted>
  <dcterms:modified xsi:type="dcterms:W3CDTF">2001-07-11T14:12:00Z</dcterms:modified>
  <cp:revision>4</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Generator">
    <vt:lpwstr>Microsoft Word 97</vt:lpwstr>
  </property>
  <property fmtid="{D5CDD505-2E9C-101B-9397-08002B2CF9AE}" pid="4" name="HTML">
    <vt:bool>1</vt:bool>
  </property>
  <property fmtid="{D5CDD505-2E9C-101B-9397-08002B2CF9AE}" pid="5" name="PCDOCS ID Info">
    <vt:lpwstr>{filename}</vt:lpwstr>
  </property>
  <property fmtid="{D5CDD505-2E9C-101B-9397-08002B2CF9AE}" pid="6" name="PCDOCS ID Long">
    <vt:lpwstr>500712.2</vt:lpwstr>
  </property>
  <property fmtid="{D5CDD505-2E9C-101B-9397-08002B2CF9AE}" pid="7" name="PCDOCS ID Short">
    <vt:lpwstr>500712.2</vt:lpwstr>
  </property>
</Properties>
</file>