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9771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97710"/>
                        </a:xfrm>
                        <a:prstGeom prst="rect"/>
                        <a:solidFill>
                          <a:srgbClr val="FFFFFF">
                            <a:alpha val="0"/>
                          </a:srgbClr>
                        </a:solidFill>
                      </wps:spPr>
                      <wps:txbx>
                        <w:txbxContent>
                          <w:p>
                            <w:pPr>
                              <w:pStyle w:val="Normal"/>
                              <w:widowControl/>
                              <w:bidi w:val="0"/>
                              <w:spacing w:before="60" w:after="60"/>
                              <w:rPr>
                                <w:sz w:val="24"/>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8.15pt;height:117.4pt" filled="f" o:ole="">
                                  <v:imagedata r:id="rId3" o:title=""/>
                                </v:shape>
                                <o:OLEObject Type="Embed" ProgID="" ShapeID="ole_rId2" DrawAspect="Content" ObjectID="_406125654" r:id="rId2"/>
                              </w:object>
                            </w:r>
                          </w:p>
                          <w:p>
                            <w:pPr>
                              <w:pStyle w:val="Normal"/>
                              <w:rPr>
                                <w:sz w:val="24"/>
                              </w:rPr>
                            </w:pPr>
                            <w:r>
                              <w:rPr>
                                <w:sz w:val="24"/>
                              </w:rPr>
                            </w:r>
                          </w:p>
                          <w:p>
                            <w:pPr>
                              <w:pStyle w:val="Normal"/>
                              <w:spacing w:before="0" w:after="0"/>
                              <w:rPr>
                                <w:rFonts w:ascii="Arial" w:hAnsi="Arial" w:cs="Arial"/>
                                <w:sz w:val="24"/>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7.3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sz w:val="24"/>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8.15pt;height:117.4pt" filled="f" o:ole="">
                            <v:imagedata r:id="rId5" o:title=""/>
                          </v:shape>
                          <o:OLEObject Type="Embed" ProgID="" ShapeID="ole_rId4" DrawAspect="Content" ObjectID="_1189859466" r:id="rId4"/>
                        </w:object>
                      </w:r>
                    </w:p>
                    <w:p>
                      <w:pPr>
                        <w:pStyle w:val="Normal"/>
                        <w:rPr>
                          <w:sz w:val="24"/>
                        </w:rPr>
                      </w:pPr>
                      <w:r>
                        <w:rPr>
                          <w:sz w:val="24"/>
                        </w:rPr>
                      </w:r>
                    </w:p>
                    <w:p>
                      <w:pPr>
                        <w:pStyle w:val="Normal"/>
                        <w:spacing w:before="0" w:after="0"/>
                        <w:rPr>
                          <w:rFonts w:ascii="Arial" w:hAnsi="Arial" w:cs="Arial"/>
                          <w:sz w:val="24"/>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sz w:val="24"/>
              </w:rPr>
            </w:pPr>
            <w:r>
              <w:rPr>
                <w:rFonts w:cs="Arial" w:ascii="Arial" w:hAnsi="Arial"/>
                <w:b/>
                <w:sz w:val="24"/>
              </w:rPr>
              <w:t>To:</w:t>
            </w:r>
          </w:p>
        </w:tc>
        <w:tc>
          <w:tcPr>
            <w:tcW w:w="7560" w:type="dxa"/>
            <w:tcBorders/>
          </w:tcPr>
          <w:p>
            <w:pPr>
              <w:pStyle w:val="To"/>
              <w:spacing w:before="60" w:after="60"/>
              <w:rPr>
                <w:rFonts w:ascii="Arial" w:hAnsi="Arial" w:cs="Arial"/>
                <w:sz w:val="24"/>
              </w:rPr>
            </w:pPr>
            <w:bookmarkStart w:id="0" w:name="To"/>
            <w:bookmarkEnd w:id="0"/>
            <w:r>
              <w:rPr>
                <w:rFonts w:cs="Arial" w:ascii="Arial" w:hAnsi="Arial"/>
                <w:sz w:val="24"/>
              </w:rPr>
              <w:t>Mark E. Haedicke</w:t>
            </w:r>
          </w:p>
        </w:tc>
      </w:tr>
      <w:tr>
        <w:trPr/>
        <w:tc>
          <w:tcPr>
            <w:tcW w:w="1188" w:type="dxa"/>
            <w:tcBorders/>
          </w:tcPr>
          <w:p>
            <w:pPr>
              <w:pStyle w:val="Normal"/>
              <w:spacing w:before="60" w:after="60"/>
              <w:rPr>
                <w:rFonts w:ascii="Arial" w:hAnsi="Arial" w:cs="Arial"/>
                <w:b/>
                <w:sz w:val="24"/>
              </w:rPr>
            </w:pPr>
            <w:r>
              <w:rPr>
                <w:rFonts w:cs="Arial" w:ascii="Arial" w:hAnsi="Arial"/>
                <w:b/>
                <w:sz w:val="24"/>
              </w:rPr>
              <w:t>Cc:</w:t>
            </w:r>
          </w:p>
        </w:tc>
        <w:tc>
          <w:tcPr>
            <w:tcW w:w="7560" w:type="dxa"/>
            <w:tcBorders/>
          </w:tcPr>
          <w:p>
            <w:pPr>
              <w:pStyle w:val="From"/>
              <w:spacing w:before="60" w:after="60"/>
              <w:rPr>
                <w:rFonts w:ascii="Arial" w:hAnsi="Arial" w:cs="Arial"/>
                <w:sz w:val="24"/>
              </w:rPr>
            </w:pPr>
            <w:bookmarkStart w:id="1" w:name="From"/>
            <w:bookmarkEnd w:id="1"/>
            <w:r>
              <w:rPr>
                <w:rFonts w:cs="Arial" w:ascii="Arial" w:hAnsi="Arial"/>
                <w:sz w:val="24"/>
              </w:rPr>
              <w:t>John Novak</w:t>
            </w:r>
          </w:p>
          <w:p>
            <w:pPr>
              <w:pStyle w:val="From"/>
              <w:spacing w:before="60" w:after="60"/>
              <w:rPr>
                <w:rFonts w:ascii="Arial" w:hAnsi="Arial" w:cs="Arial"/>
                <w:sz w:val="24"/>
              </w:rPr>
            </w:pPr>
            <w:r>
              <w:rPr>
                <w:rFonts w:cs="Arial" w:ascii="Arial" w:hAnsi="Arial"/>
                <w:sz w:val="24"/>
              </w:rPr>
              <w:t>Elizabeth Sager</w:t>
            </w:r>
          </w:p>
        </w:tc>
      </w:tr>
      <w:tr>
        <w:trPr/>
        <w:tc>
          <w:tcPr>
            <w:tcW w:w="1188" w:type="dxa"/>
            <w:tcBorders/>
          </w:tcPr>
          <w:p>
            <w:pPr>
              <w:pStyle w:val="Normal"/>
              <w:spacing w:before="60" w:after="60"/>
              <w:rPr>
                <w:rFonts w:ascii="Arial" w:hAnsi="Arial" w:cs="Arial"/>
                <w:sz w:val="24"/>
              </w:rPr>
            </w:pPr>
            <w:r>
              <w:rPr>
                <w:rFonts w:cs="Arial" w:ascii="Arial" w:hAnsi="Arial"/>
                <w:b/>
                <w:sz w:val="24"/>
              </w:rPr>
              <w:t>From:</w:t>
            </w:r>
          </w:p>
        </w:tc>
        <w:tc>
          <w:tcPr>
            <w:tcW w:w="7560" w:type="dxa"/>
            <w:tcBorders/>
          </w:tcPr>
          <w:p>
            <w:pPr>
              <w:pStyle w:val="From"/>
              <w:spacing w:before="60" w:after="60"/>
              <w:rPr>
                <w:rFonts w:ascii="Arial" w:hAnsi="Arial" w:cs="Arial"/>
                <w:sz w:val="24"/>
              </w:rPr>
            </w:pPr>
            <w:r>
              <w:rPr>
                <w:rFonts w:cs="Arial" w:ascii="Arial" w:hAnsi="Arial"/>
                <w:sz w:val="24"/>
              </w:rPr>
              <w:t>Lisa Alfaro</w:t>
            </w:r>
          </w:p>
        </w:tc>
      </w:tr>
      <w:tr>
        <w:trPr/>
        <w:tc>
          <w:tcPr>
            <w:tcW w:w="1188" w:type="dxa"/>
            <w:tcBorders/>
          </w:tcPr>
          <w:p>
            <w:pPr>
              <w:pStyle w:val="Normal"/>
              <w:spacing w:before="60" w:after="60"/>
              <w:rPr>
                <w:rFonts w:ascii="Arial" w:hAnsi="Arial" w:cs="Arial"/>
                <w:sz w:val="24"/>
              </w:rPr>
            </w:pPr>
            <w:r>
              <w:rPr>
                <w:rFonts w:cs="Arial" w:ascii="Arial" w:hAnsi="Arial"/>
                <w:b/>
                <w:sz w:val="24"/>
              </w:rPr>
              <w:t>Date:</w:t>
            </w:r>
          </w:p>
        </w:tc>
        <w:tc>
          <w:tcPr>
            <w:tcW w:w="7560" w:type="dxa"/>
            <w:tcBorders/>
          </w:tcPr>
          <w:p>
            <w:pPr>
              <w:pStyle w:val="Date"/>
              <w:spacing w:before="60" w:after="60"/>
              <w:rPr>
                <w:rFonts w:ascii="Arial" w:hAnsi="Arial" w:cs="Arial"/>
                <w:sz w:val="24"/>
              </w:rPr>
            </w:pPr>
            <w:r>
              <w:rPr>
                <w:rFonts w:cs="Arial" w:ascii="Arial" w:hAnsi="Arial"/>
                <w:sz w:val="24"/>
              </w:rPr>
              <w:t>3/12/00</w:t>
            </w:r>
          </w:p>
        </w:tc>
      </w:tr>
      <w:tr>
        <w:trPr/>
        <w:tc>
          <w:tcPr>
            <w:tcW w:w="1188" w:type="dxa"/>
            <w:tcBorders>
              <w:bottom w:val="single" w:sz="18" w:space="0" w:color="000000"/>
            </w:tcBorders>
          </w:tcPr>
          <w:p>
            <w:pPr>
              <w:pStyle w:val="Normal"/>
              <w:spacing w:before="60" w:after="60"/>
              <w:rPr>
                <w:rFonts w:ascii="Arial" w:hAnsi="Arial" w:cs="Arial"/>
                <w:sz w:val="24"/>
              </w:rPr>
            </w:pPr>
            <w:r>
              <w:rPr>
                <w:rFonts w:cs="Arial" w:ascii="Arial" w:hAnsi="Arial"/>
                <w:b/>
                <w:sz w:val="24"/>
              </w:rPr>
              <w:t>Subject:</w:t>
            </w:r>
          </w:p>
        </w:tc>
        <w:tc>
          <w:tcPr>
            <w:tcW w:w="7560" w:type="dxa"/>
            <w:tcBorders>
              <w:bottom w:val="single" w:sz="18" w:space="0" w:color="000000"/>
            </w:tcBorders>
          </w:tcPr>
          <w:p>
            <w:pPr>
              <w:pStyle w:val="Subject"/>
              <w:spacing w:before="60" w:after="60"/>
              <w:rPr>
                <w:rFonts w:ascii="Arial" w:hAnsi="Arial" w:cs="Arial"/>
                <w:sz w:val="24"/>
              </w:rPr>
            </w:pPr>
            <w:bookmarkStart w:id="2" w:name="Subject"/>
            <w:bookmarkEnd w:id="2"/>
            <w:r>
              <w:rPr>
                <w:rFonts w:cs="Arial" w:ascii="Arial" w:hAnsi="Arial"/>
                <w:sz w:val="24"/>
              </w:rPr>
              <w:t>Electrobolt Project – Legal Risk Memo</w:t>
            </w:r>
          </w:p>
        </w:tc>
      </w:tr>
    </w:tbl>
    <w:p>
      <w:pPr>
        <w:pStyle w:val="BodyText"/>
        <w:rPr/>
      </w:pPr>
      <w:r>
        <w:rPr/>
      </w:r>
      <w:bookmarkStart w:id="3" w:name="StartOfMemo"/>
      <w:bookmarkStart w:id="4" w:name="StartOfMemo"/>
      <w:bookmarkEnd w:id="4"/>
    </w:p>
    <w:p>
      <w:pPr>
        <w:pStyle w:val="Normal"/>
        <w:rPr/>
      </w:pPr>
      <w:r>
        <w:rPr>
          <w:rFonts w:cs="Arial" w:ascii="Arial" w:hAnsi="Arial"/>
          <w:sz w:val="24"/>
          <w:lang w:val="en-CA"/>
        </w:rPr>
      </w:r>
      <w:r>
        <w:rPr>
          <w:rFonts w:cs="Arial" w:ascii="Arial" w:hAnsi="Arial"/>
          <w:color w:val="000000"/>
          <w:spacing w:val="-5"/>
          <w:sz w:val="24"/>
        </w:rPr>
        <w:t>Enron Comercializadora de Energia Ltda. (“ECE”) plans to enter into a consortium agreement with Petróleo Brasileiro S.A.– Petrobras (“Petrobras”), and SFE – Sociedade Fluminense de Energia Ltda. (“SFE”) to be governed under Brazilian law (the “Consortium Agreement”).  The parties are forming the consortium to develop and construct a simple-cycle power generation facility of approximately three hundred eighty-eight (388) megawatts in the state of Rio de Janeiro, Brazil (the "Plant"), market the energy generated by the Plant and share the revenues among the consortium members (the “Electrobolt Project”).  Under the Consortium Agreement, SFE will be responsible for the construction, operation and maintenance of the Plant; ECE will be responsible for all marketing decisions relating to the energy generated by the Plant and will function as payment agent and consortium representative before the Brazilian electricity wholesale market; and Petrobras will be responsible for certain contingent obligations to contribute additional capital to the consortium and will ensure the availability of natural gas for the Plant.  The Consortium Agreement also sets forth the distribution of revenues generated by the sale of the energy generated by the Plant.  The additional capital to be paid by Petrobras and the revenue distribution to SFE are indexed to US dollars.</w:t>
      </w:r>
    </w:p>
    <w:p>
      <w:pPr>
        <w:pStyle w:val="Normal"/>
        <w:rPr>
          <w:rFonts w:ascii="Arial" w:hAnsi="Arial" w:cs="Arial"/>
          <w:color w:val="000000"/>
          <w:spacing w:val="-5"/>
          <w:sz w:val="24"/>
        </w:rPr>
      </w:pPr>
      <w:r>
        <w:rPr>
          <w:rFonts w:cs="Arial" w:ascii="Arial" w:hAnsi="Arial"/>
          <w:color w:val="000000"/>
          <w:spacing w:val="-5"/>
          <w:sz w:val="24"/>
        </w:rPr>
      </w:r>
    </w:p>
    <w:p>
      <w:pPr>
        <w:pStyle w:val="BodyText"/>
        <w:spacing w:before="0" w:after="219"/>
        <w:jc w:val="start"/>
        <w:rPr/>
      </w:pPr>
      <w:r>
        <w:rPr>
          <w:color w:val="000000"/>
          <w:sz w:val="24"/>
          <w:u w:val="single"/>
        </w:rPr>
        <w:t>Enforceability of Dollar Indexation for Petrobras Payments</w:t>
      </w:r>
      <w:r>
        <w:rPr>
          <w:color w:val="000000"/>
          <w:sz w:val="24"/>
        </w:rPr>
        <w:t xml:space="preserve"> – In general, Brazilian law prohibits indexation to US dollars of payments to be made in Brazil between two Brazilian entities.  Brazilian counsel for the Electrobolt Project, Tozzini, Freire, Teixeira e Silva has advised (and will be providing an opinion) that because the additional capital provided by Petrobras is characterized as a contribution of capital to the consortium, the dollar indexation of such contribution is not prohibited by Brazilian law.  </w:t>
      </w:r>
    </w:p>
    <w:p>
      <w:pPr>
        <w:pStyle w:val="BodyText"/>
        <w:spacing w:before="0" w:after="219"/>
        <w:jc w:val="start"/>
        <w:rPr>
          <w:color w:val="000000"/>
          <w:sz w:val="24"/>
        </w:rPr>
      </w:pPr>
      <w:r>
        <w:rPr>
          <w:color w:val="000000"/>
          <w:sz w:val="24"/>
        </w:rPr>
      </w:r>
    </w:p>
    <w:p>
      <w:pPr>
        <w:pStyle w:val="BodyText"/>
        <w:spacing w:before="0" w:after="219"/>
        <w:jc w:val="start"/>
        <w:rPr>
          <w:color w:val="000000"/>
          <w:sz w:val="24"/>
        </w:rPr>
      </w:pPr>
      <w:r>
        <w:rPr>
          <w:color w:val="000000"/>
          <w:sz w:val="24"/>
        </w:rPr>
      </w:r>
    </w:p>
    <w:p>
      <w:pPr>
        <w:pStyle w:val="BodyText"/>
        <w:spacing w:before="0" w:after="219"/>
        <w:jc w:val="start"/>
        <w:rPr>
          <w:color w:val="000000"/>
          <w:sz w:val="24"/>
        </w:rPr>
      </w:pPr>
      <w:r>
        <w:rPr>
          <w:color w:val="000000"/>
          <w:sz w:val="24"/>
        </w:rPr>
        <w:t xml:space="preserve">In this case the dollar indexation of the capital contribution is a criterion determined by the parties for calculating the exact amount of the contribution.  Similarly, the monthly allocation to SFE  that correspond to the capacity and energy charges is characterized in the Consortium Agreement as a distribution of profits rather than a payment obligation and therefore dollar indexation is not prohibited by Brazilian law. </w:t>
      </w:r>
    </w:p>
    <w:p>
      <w:pPr>
        <w:pStyle w:val="BodyText"/>
        <w:spacing w:before="0" w:after="219"/>
        <w:jc w:val="start"/>
        <w:rPr/>
      </w:pPr>
      <w:r>
        <w:rPr>
          <w:color w:val="000000"/>
          <w:sz w:val="24"/>
          <w:u w:val="single"/>
        </w:rPr>
        <w:t>Enforceability of Arbitration Provision and Award</w:t>
      </w:r>
      <w:r>
        <w:rPr>
          <w:color w:val="000000"/>
          <w:sz w:val="24"/>
        </w:rPr>
        <w:t xml:space="preserve"> -- The Consortium Agreement provides for dispute resolution by arbitration under UNCITRAL rules in New York.  Brazilian law allows for the enforcement of a foreign arbitration award upon the issuance by the Supreme Court of Brazil of an order confirming that the award meets certain specified criteria, including among others, that the award does not violate public policy and that certain procedural requirements were followed.  The Supreme Court review process may result in a delay of more than a year to enforce an arbitration award.  Additionally, the Brazilian arbitration law is currently being challenged as a violation of the constitutional right of a party to seek redress in the Brazilian courts.  The case has been pending for a couple of years and the outcome may impact the enforceability of the arbitration provision and/or an arbitration award.  In the meantime, foreign arbitration awards have been enforced in Brazil.</w:t>
      </w:r>
    </w:p>
    <w:p>
      <w:pPr>
        <w:pStyle w:val="BodyText"/>
        <w:spacing w:before="0" w:after="219"/>
        <w:jc w:val="start"/>
        <w:rPr/>
      </w:pPr>
      <w:r>
        <w:rPr>
          <w:color w:val="000000"/>
          <w:sz w:val="24"/>
          <w:u w:val="single"/>
        </w:rPr>
        <w:t>Construction Risk</w:t>
      </w:r>
      <w:r>
        <w:rPr>
          <w:color w:val="000000"/>
          <w:sz w:val="24"/>
        </w:rPr>
        <w:t xml:space="preserve"> – The construction contract  contemplates a "cost-plus" pricing structure. The return to SFE, in the form of a capacity payment and an energy payment, is based upon a forecasted construction budget.  Other than in certain specific cases (</w:t>
      </w:r>
      <w:r>
        <w:rPr>
          <w:i/>
          <w:color w:val="000000"/>
          <w:sz w:val="24"/>
        </w:rPr>
        <w:t>e.g.,</w:t>
      </w:r>
      <w:r>
        <w:rPr>
          <w:color w:val="000000"/>
          <w:sz w:val="24"/>
        </w:rPr>
        <w:t xml:space="preserve"> force majeure, political force majeure, change in law, or failure to deliver natural gas for commissioning), the expenses associated with any cost overruns or completion delays in construction of the Plant are borne by SFE.  No provision of the Consortium Agreement permits SFE to increase the monthly capacity payment or energy payment to the extent that the actual costs to construct the Plant were to exceed the forecasted costs.  However, SFE is accorded significant flexibility regarding the commercial operations date.  SFE will not incur any take-or-pay costs or liquidated damages charges for failing to have the Plant enter into commercial operations prior to April 20, 2002.   </w:t>
      </w:r>
    </w:p>
    <w:p>
      <w:pPr>
        <w:pStyle w:val="BodyText"/>
        <w:spacing w:before="0" w:after="219"/>
        <w:jc w:val="start"/>
        <w:rPr/>
      </w:pPr>
      <w:r>
        <w:rPr>
          <w:color w:val="000000"/>
          <w:sz w:val="24"/>
          <w:u w:val="single"/>
          <w:lang w:val="pt-BR"/>
        </w:rPr>
        <w:t>Commissioning Delay Charges</w:t>
      </w:r>
      <w:r>
        <w:rPr>
          <w:color w:val="000000"/>
          <w:sz w:val="24"/>
        </w:rPr>
        <w:t xml:space="preserve"> – Petrobras is required to deliver natural gas for the commissioning of the plant.  To the extent that SFE incurs costs or expenses resulting from the failure of Petrobras to deliver such natural gas as nominated by SFE ("Commissioning Delay Charges"), SFE is required to finance the costs associated with these charges.  The Consortium will reimburse SFE for such costs following commercial operations.  SFE  may have insufficient funds to finance the Commissioning Delay Charges if the amount of such charges exceeds the contingent amount set forth for cost overruns in the financing agreements.</w:t>
      </w:r>
    </w:p>
    <w:p>
      <w:pPr>
        <w:pStyle w:val="BodyText"/>
        <w:spacing w:before="0" w:after="219"/>
        <w:jc w:val="start"/>
        <w:rPr/>
      </w:pPr>
      <w:r>
        <w:rPr>
          <w:color w:val="000000"/>
          <w:sz w:val="24"/>
          <w:u w:val="single"/>
        </w:rPr>
        <w:t>Operating Risk</w:t>
      </w:r>
      <w:r>
        <w:rPr>
          <w:color w:val="000000"/>
          <w:sz w:val="24"/>
        </w:rPr>
        <w:t xml:space="preserve"> – The payments to SFE under the Consortium Agreement are based upon assumed operating parameters.  To the extent that SFE is unable to satisfy certain technical requirements (</w:t>
      </w:r>
      <w:r>
        <w:rPr>
          <w:i/>
          <w:color w:val="000000"/>
          <w:sz w:val="24"/>
        </w:rPr>
        <w:t>i.e.</w:t>
      </w:r>
      <w:r>
        <w:rPr>
          <w:color w:val="000000"/>
          <w:sz w:val="24"/>
        </w:rPr>
        <w:t>, heat rate and availability factor), the capacity payment payable to SFE is reduced accordingly.  In order to protect the return of SFE, the negotiating team set the minimum obligations of SFE in the Consortium Agreement at a level that is significantly worse the expected heat rate and availability factor that the Plant will be capable of achieving.</w:t>
      </w:r>
    </w:p>
    <w:p>
      <w:pPr>
        <w:pStyle w:val="BodyText"/>
        <w:spacing w:before="0" w:after="219"/>
        <w:jc w:val="start"/>
        <w:rPr/>
      </w:pPr>
      <w:r>
        <w:rPr>
          <w:color w:val="000000"/>
          <w:sz w:val="24"/>
          <w:u w:val="single"/>
          <w:lang w:val="pt-BR"/>
        </w:rPr>
        <w:t>Fuel Supply</w:t>
      </w:r>
      <w:r>
        <w:rPr>
          <w:color w:val="000000"/>
          <w:sz w:val="24"/>
          <w:lang w:val="pt-BR"/>
        </w:rPr>
        <w:t xml:space="preserve">  </w:t>
      </w:r>
      <w:r>
        <w:rPr>
          <w:color w:val="000000"/>
          <w:sz w:val="24"/>
        </w:rPr>
        <w:t xml:space="preserve">– </w:t>
      </w:r>
      <w:r>
        <w:rPr>
          <w:color w:val="000000"/>
          <w:sz w:val="24"/>
          <w:lang w:val="pt-BR"/>
        </w:rPr>
        <w:t>Under the Consortium Agreement, Petrobras is obligated to deliver natural gas meeting specific requirements.  The natural gas requirements attached to the Consortium Agreement are based upon historical averages of natural gas actually delivered by Petrobras to the local gas distribution company in Rio de Janeiro.  In the future, Petrobras may be unable to obtain natural gas that satisfies such requirements.  If natural gas delivered to the Plant fails to satisfy the technical requirements, SFE may reject such natural gas.  In any given month in which revenues received by the Consortium are insufficient to pay the capacity payment and the energy payment to SFE, Petrobras is required to contribute such deficient amount to the Consortium for payment to SFE.</w:t>
      </w:r>
    </w:p>
    <w:p>
      <w:pPr>
        <w:pStyle w:val="BodyText"/>
        <w:spacing w:before="0" w:after="219"/>
        <w:jc w:val="start"/>
        <w:rPr/>
      </w:pPr>
      <w:r>
        <w:rPr>
          <w:color w:val="000000"/>
          <w:sz w:val="24"/>
          <w:u w:val="single"/>
          <w:lang w:val="pt-BR"/>
        </w:rPr>
        <w:t>Calculation of Fuel Payment to Petrobras</w:t>
      </w:r>
      <w:r>
        <w:rPr>
          <w:color w:val="000000"/>
          <w:sz w:val="24"/>
        </w:rPr>
        <w:t xml:space="preserve">  – For the natural gas consumed by the Plant, Petrobras receives up to  $2.475 per MMBtu, as escalated by variation in the Producer Price Index.  Because the Consortium Agreement does not address the baseline date from which variations are to be measured, the calculation of the fuel payment is ambiguous.  In the course of the negotiations, Petrobras proposed March 2000.  The negotiation team elected to leave the clause ambiguous in order to argue at a later date that the intent of the parties was that the baseline date should actually be the execution date of the Consortium Agreement.  However, for the purposes of modeling the economics of the Electrobolt Project, the March 2000 date was used.</w:t>
      </w:r>
    </w:p>
    <w:p>
      <w:pPr>
        <w:pStyle w:val="BodyText"/>
        <w:spacing w:before="0" w:after="219"/>
        <w:jc w:val="start"/>
        <w:rPr/>
      </w:pPr>
      <w:r>
        <w:rPr>
          <w:color w:val="000000"/>
          <w:sz w:val="24"/>
          <w:u w:val="single"/>
        </w:rPr>
        <w:t>Potential Disparity between Gas Nominations and Dispatch of the Plant</w:t>
      </w:r>
      <w:r>
        <w:rPr>
          <w:color w:val="000000"/>
          <w:sz w:val="24"/>
        </w:rPr>
        <w:t xml:space="preserve">  – Given the lack of finality in the regulatory environment, the nomination procedures for natural gas may not correspond with the dispatch procedures for the Plant.  In general, Petrobras is obligated to supply natural gas on an interruptible basis.  However, Petrobras must supply natural gas on a firm basis for the period of time corresponding to the declaration of availability of the Plant to the relevant governmental authority.  Any penalty or expense incurred by SFE or the Consortium resulting from the failure to deliver natural gas on a firm basis as contemplated under the Consortium Agreement is a Petrobras risk.</w:t>
      </w:r>
    </w:p>
    <w:p>
      <w:pPr>
        <w:pStyle w:val="BodyText"/>
        <w:spacing w:before="0" w:after="219"/>
        <w:jc w:val="start"/>
        <w:rPr/>
      </w:pPr>
      <w:r>
        <w:rPr>
          <w:color w:val="000000"/>
          <w:sz w:val="24"/>
          <w:u w:val="single"/>
        </w:rPr>
        <w:t>Excused Failures to SFE's Performance</w:t>
      </w:r>
      <w:r>
        <w:rPr>
          <w:color w:val="000000"/>
          <w:sz w:val="24"/>
        </w:rPr>
        <w:t xml:space="preserve">  – The capacity payment received by SFE is based upon the capacity of the Plant made available to the Consortium in any given month.  SFE is excused from delivering the capacity of the Plant without a reduction in the monthly capacity payment if such failure results from, among others, scheduled maintenance, a limited amount of unscheduled maintenance, force majeure, political force majeure or fuel unavailability.   If SFE is unsuccessful in characterizing its failure to provide the capacity as an excused failure contemplated in the Consortium Agreement,  SFE will receive less than the full capacity payment for such month.  </w:t>
      </w:r>
    </w:p>
    <w:p>
      <w:pPr>
        <w:pStyle w:val="BodyText"/>
        <w:spacing w:before="0" w:after="219"/>
        <w:jc w:val="start"/>
        <w:rPr/>
      </w:pPr>
      <w:r>
        <w:rPr>
          <w:color w:val="000000"/>
          <w:sz w:val="24"/>
          <w:u w:val="single"/>
        </w:rPr>
        <w:t>Political Force Majeure</w:t>
      </w:r>
      <w:r>
        <w:rPr>
          <w:color w:val="000000"/>
          <w:sz w:val="24"/>
        </w:rPr>
        <w:t xml:space="preserve"> –  The payment due SFE as a result of an event of political force majeure was greatly debated during the negotiations of the Consortium Agreement. SFE may only claim political force majeure if such event did not arise out of the "fault, negligence, intentional acts or omissions" of SFE. The principal concern was that Petrobras may attempt to frustrate the Consortium Agreement through its political ties in the Brazilian government.  The resulting compromise allocated risk to each of SFE and Petrobras.  If the Consortium Agreement is terminated as a result of an event of political force majeure that began prior to March 31, 2001, SFE is entitled to receive the lesser of actual costs incurred or $15 million.  This sum may not cover the actual costs incurred by SFE.  If the Consortium Agreement is terminated as a result of an event of political force majeure that  occurs following March 31, 2001 (unless SFE has not shipped the turbines), SFE is entitled to terminate the agreement, following the payment by Petrobras of the capacity payment for 12 months, and either (a) transfer the site with all fixtures to Petrobras, or (b) put the Plant to Petrobras for a payment equal to the net asset value of SFE as reflected on its most recent balance sheet.  Again, this amount may not accurately represent all costs incurred to develop the project. </w:t>
      </w:r>
    </w:p>
    <w:p>
      <w:pPr>
        <w:pStyle w:val="BodyText"/>
        <w:spacing w:before="0" w:after="219"/>
        <w:jc w:val="start"/>
        <w:rPr/>
      </w:pPr>
      <w:r>
        <w:rPr>
          <w:color w:val="000000"/>
          <w:sz w:val="24"/>
          <w:u w:val="single"/>
        </w:rPr>
        <w:t>Calculation of Termination Damages</w:t>
      </w:r>
      <w:r>
        <w:rPr>
          <w:color w:val="000000"/>
          <w:sz w:val="24"/>
        </w:rPr>
        <w:t xml:space="preserve"> – Upon an event of default, if the defaulting party is SFE or Petrobras, the other party is entitled to receive an amount to be calculated based upon the remaining term of the Consortium Agreement.  In addition, each of ECE and the non-defaulting party in entitled to receive all costs and expenses incurred by each of the non-defaulting parties, including any taxes, legal fees, any termination fee or other damages payable to terminate any agreements or arrangements with a third party.  This ambiguous language could be interpreted as conflicting with the limitations of liability set forth elsewhere in the agreement.  The negotiating team elected to have this language purposely ambiguous based upon the assumption that Petrobras is the more likely candidate to be the defaulting party.  However, if SFE is the defaulting party, SFE is solely responsible for such payment.  No parent guarantee or collateral support has been provided to ensure the payment due from SFE to Petrobras.</w:t>
      </w:r>
    </w:p>
    <w:p>
      <w:pPr>
        <w:pStyle w:val="BodyText"/>
        <w:spacing w:before="0" w:after="219"/>
        <w:jc w:val="start"/>
        <w:rPr/>
      </w:pPr>
      <w:r>
        <w:rPr>
          <w:color w:val="000000"/>
          <w:sz w:val="24"/>
          <w:u w:val="single"/>
        </w:rPr>
        <w:t>Regulatory Environment</w:t>
      </w:r>
      <w:r>
        <w:rPr>
          <w:color w:val="000000"/>
          <w:sz w:val="24"/>
        </w:rPr>
        <w:t xml:space="preserve">  – Brazil remains in a stage of transition regarding the implementation of the regulatory structure under which the Electrobolt Project will operate.  For example, the specific procedures for the dispatch of the Plant by the applicable governmental authority (ONS) have yet to be promulgated.  The amount of any penalty for the failure of SFE to make capacity available following the nomination of such capacity is also unknown.  This lack of regulatory certainty necessitates certain assumptions regarding the modeling and forecasting of the economics of the project.  However, the development of such rules has been a relatively transparent process and the local developers have been very involved in this process.</w:t>
      </w:r>
    </w:p>
    <w:p>
      <w:pPr>
        <w:pStyle w:val="BodyText"/>
        <w:spacing w:before="0" w:after="219"/>
        <w:jc w:val="start"/>
        <w:rPr/>
      </w:pPr>
      <w:r>
        <w:rPr>
          <w:color w:val="000000"/>
          <w:sz w:val="24"/>
          <w:u w:val="single"/>
        </w:rPr>
        <w:t>Environmental Liability relating to the Electrobolt Project Site</w:t>
      </w:r>
      <w:r>
        <w:rPr>
          <w:color w:val="000000"/>
          <w:sz w:val="24"/>
        </w:rPr>
        <w:t xml:space="preserve"> – In Brazil environmental liability is a strict liability matter.  Therefore once SFE purchases the land on which the Plant will be built, SFE may be held responsible for environmental liabilities associated with the property.  An environmental contamination report is expected to be delivered by December 8, prior to the purchase of the land.</w:t>
      </w:r>
    </w:p>
    <w:p>
      <w:pPr>
        <w:pStyle w:val="BodyText"/>
        <w:jc w:val="start"/>
        <w:rPr>
          <w:color w:val="000000"/>
          <w:sz w:val="24"/>
        </w:rPr>
      </w:pPr>
      <w:r>
        <w:rPr>
          <w:color w:val="000000"/>
          <w:sz w:val="24"/>
        </w:rPr>
      </w:r>
    </w:p>
    <w:p>
      <w:pPr>
        <w:pStyle w:val="MessageHeader"/>
        <w:spacing w:before="0" w:after="120"/>
        <w:rPr>
          <w:sz w:val="24"/>
        </w:rPr>
      </w:pPr>
      <w:r>
        <w:rPr>
          <w:sz w:val="24"/>
        </w:rPr>
        <w:t>LAA/laa</w:t>
      </w:r>
    </w:p>
    <w:sectPr>
      <w:headerReference w:type="default" r:id="rId6"/>
      <w:headerReference w:type="first" r:id="rId7"/>
      <w:type w:val="nextPage"/>
      <w:pgSz w:w="12240" w:h="15840"/>
      <w:pgMar w:left="1800" w:right="180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284"/>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Draftline">
    <w:name w:val="Draftline"/>
    <w:basedOn w:val="DefaultParagraphFont"/>
    <w:qFormat/>
    <w:rPr>
      <w:rFonts w:ascii="Times New Roman" w:hAnsi="Times New Roman" w:cs="Arial"/>
      <w:b w:val="false"/>
      <w:i w:val="false"/>
      <w:caps w:val="false"/>
      <w:smallCaps w:val="false"/>
      <w:strike w:val="false"/>
      <w:dstrike w:val="false"/>
      <w:outline w:val="false"/>
      <w:shadow w:val="false"/>
      <w:emboss/>
      <w:vanish/>
      <w:color w:val="FF0000"/>
      <w:spacing w:val="0"/>
      <w:w w:val="100"/>
      <w:kern w:val="0"/>
      <w:position w:val="0"/>
      <w:sz w:val="15"/>
      <w:sz w:val="15"/>
      <w:szCs w:val="24"/>
      <w:u w:val="none"/>
      <w:vertAlign w:val="baseline"/>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284"/>
        <w:tab w:val="center" w:pos="4986" w:leader="none"/>
        <w:tab w:val="right" w:pos="9972" w:leader="none"/>
      </w:tabs>
    </w:pPr>
    <w:rPr/>
  </w:style>
  <w:style w:type="paragraph" w:styleId="Header">
    <w:name w:val="header"/>
    <w:basedOn w:val="Normal"/>
    <w:pPr>
      <w:tabs>
        <w:tab w:val="clear" w:pos="284"/>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284"/>
        <w:tab w:val="left" w:pos="504" w:leader="none"/>
      </w:tabs>
      <w:spacing w:before="360" w:after="0"/>
      <w:ind w:hanging="504" w:start="504" w:end="0"/>
    </w:pPr>
    <w:rPr/>
  </w:style>
  <w:style w:type="paragraph" w:styleId="MessageHeader">
    <w:name w:val="Message Header"/>
    <w:basedOn w:val="BodyText"/>
    <w:qFormat/>
    <w:pPr>
      <w:keepLines/>
      <w:spacing w:before="0" w:after="120"/>
      <w:ind w:hanging="720" w:start="720" w:end="0"/>
      <w:jc w:val="start"/>
    </w:pPr>
    <w:rPr/>
  </w:style>
  <w:style w:type="paragraph" w:styleId="FooterB">
    <w:name w:val="Footer B"/>
    <w:qFormat/>
    <w:pPr>
      <w:widowControl/>
      <w:tabs>
        <w:tab w:val="clear" w:pos="284"/>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Footer">
    <w:name w:val="footer"/>
    <w:basedOn w:val="Normal"/>
    <w:pPr>
      <w:tabs>
        <w:tab w:val="clear" w:pos="284"/>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2000-12-04T13:52:00Z</dcterms:created>
  <dc:creator>EDC</dc:creator>
  <dc:description/>
  <dc:language>en-CA</dc:language>
  <cp:lastModifiedBy>ESA</cp:lastModifiedBy>
  <cp:lastPrinted>2000-12-02T13:34:00Z</cp:lastPrinted>
  <dcterms:modified xsi:type="dcterms:W3CDTF">2000-12-04T13:52:00Z</dcterms:modified>
  <cp:revision>2</cp:revision>
  <dc:subject/>
  <dc:title>Enron International Memo</dc:title>
</cp:coreProperties>
</file>