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r>
        <w:rPr>
          <w:b/>
          <w:u w:val="single"/>
        </w:rPr>
        <w:t>Initial Draft for Discussion Purposes Only</w:t>
        <w:tab/>
      </w:r>
    </w:p>
    <w:p>
      <w:pPr>
        <w:pStyle w:val="Normal"/>
        <w:rPr>
          <w:b/>
          <w:u w:val="single"/>
        </w:rPr>
      </w:pPr>
      <w:r>
        <w:rPr>
          <w:b/>
          <w:u w:val="single"/>
        </w:rPr>
      </w:r>
    </w:p>
    <w:p>
      <w:pPr>
        <w:pStyle w:val="Normal"/>
        <w:rPr/>
      </w:pPr>
      <w:r>
        <w:rPr>
          <w:b/>
        </w:rPr>
        <w:tab/>
        <w:tab/>
        <w:tab/>
        <w:t>ELECTRIC SYSTEM</w:t>
      </w:r>
      <w:r>
        <w:rPr/>
        <w:t xml:space="preserve"> </w:t>
      </w:r>
      <w:r>
        <w:rPr>
          <w:b/>
        </w:rPr>
        <w:t xml:space="preserve">PRECEDENT </w:t>
      </w:r>
    </w:p>
    <w:p>
      <w:pPr>
        <w:pStyle w:val="Heading2"/>
        <w:ind w:start="0" w:end="0"/>
        <w:rPr/>
      </w:pPr>
      <w:r>
        <w:rPr/>
        <w:t xml:space="preserve">                        </w:t>
      </w:r>
      <w:r>
        <w:rPr/>
        <w:t>AND COST-REIMBURSEMENT AGREEMENT</w:t>
      </w:r>
    </w:p>
    <w:p>
      <w:pPr>
        <w:pStyle w:val="Normal"/>
        <w:rPr>
          <w:b/>
        </w:rPr>
      </w:pPr>
      <w:r>
        <w:rPr>
          <w:b/>
        </w:rPr>
      </w:r>
    </w:p>
    <w:p>
      <w:pPr>
        <w:pStyle w:val="Normal"/>
        <w:rPr/>
      </w:pPr>
      <w:r>
        <w:rPr>
          <w:b/>
        </w:rPr>
        <w:tab/>
      </w:r>
      <w:r>
        <w:rPr/>
        <w:t>This Electric System Precedent and Cost-Reimbursement Agreement (“Agreement”) is made as of this ___ day of March, 2001, by and between Consolidated Edison Company of New York, Inc. (“Con Edison”), a New York corporation, and _________________________, (“Generator”), a _____________corporation, (Con Edison and Generator are sometimes referred to individually as “Party” and jointly as “Parties”).</w:t>
      </w:r>
    </w:p>
    <w:p>
      <w:pPr>
        <w:pStyle w:val="Normal"/>
        <w:rPr/>
      </w:pPr>
      <w:r>
        <w:rPr/>
        <w:tab/>
        <w:tab/>
        <w:tab/>
        <w:tab/>
      </w:r>
    </w:p>
    <w:p>
      <w:pPr>
        <w:pStyle w:val="Normal"/>
        <w:rPr/>
      </w:pPr>
      <w:r>
        <w:rPr/>
        <w:tab/>
        <w:tab/>
        <w:tab/>
        <w:tab/>
        <w:t xml:space="preserve">  </w:t>
      </w:r>
      <w:r>
        <w:rPr>
          <w:b/>
        </w:rPr>
        <w:t>WITNESSETH:</w:t>
      </w:r>
    </w:p>
    <w:p>
      <w:pPr>
        <w:pStyle w:val="Normal"/>
        <w:rPr>
          <w:b/>
        </w:rPr>
      </w:pPr>
      <w:r>
        <w:rPr>
          <w:b/>
        </w:rPr>
      </w:r>
    </w:p>
    <w:p>
      <w:pPr>
        <w:pStyle w:val="Normal"/>
        <w:rPr/>
      </w:pPr>
      <w:r>
        <w:rPr>
          <w:b/>
        </w:rPr>
        <w:tab/>
        <w:t xml:space="preserve">WHEREAS, </w:t>
      </w:r>
      <w:r>
        <w:rPr/>
        <w:t>Con Edison owns and operates an electric transmission system (“Con Edison Electric System”) in New York City and in Westchester, Rockland, Putman, and Dutchess Counties;</w:t>
      </w:r>
    </w:p>
    <w:p>
      <w:pPr>
        <w:pStyle w:val="Normal"/>
        <w:rPr/>
      </w:pPr>
      <w:r>
        <w:rPr/>
      </w:r>
    </w:p>
    <w:p>
      <w:pPr>
        <w:pStyle w:val="Normal"/>
        <w:rPr/>
      </w:pPr>
      <w:r>
        <w:rPr/>
        <w:tab/>
      </w:r>
      <w:r>
        <w:rPr>
          <w:b/>
        </w:rPr>
        <w:t>WHEREAS,</w:t>
      </w:r>
      <w:r>
        <w:rPr/>
        <w:t xml:space="preserve"> Generator proposes to construct and operate an electric generating facility (“Generator’s Facility”) to be located in the Borough of____________;</w:t>
      </w:r>
    </w:p>
    <w:p>
      <w:pPr>
        <w:pStyle w:val="Normal"/>
        <w:rPr/>
      </w:pPr>
      <w:r>
        <w:rPr/>
        <w:tab/>
      </w:r>
    </w:p>
    <w:p>
      <w:pPr>
        <w:pStyle w:val="Normal"/>
        <w:rPr/>
      </w:pPr>
      <w:r>
        <w:rPr/>
        <w:tab/>
      </w:r>
      <w:r>
        <w:rPr>
          <w:b/>
        </w:rPr>
        <w:t xml:space="preserve">WHEREAS, </w:t>
      </w:r>
      <w:r>
        <w:rPr/>
        <w:t xml:space="preserve">the interconnection of Generator’s Facility with the Con Edison Electric System will require the construction by Con Edison of additional facilities on the Con Edison Electric System; </w:t>
      </w:r>
    </w:p>
    <w:p>
      <w:pPr>
        <w:pStyle w:val="Normal"/>
        <w:rPr/>
      </w:pPr>
      <w:r>
        <w:rPr/>
      </w:r>
    </w:p>
    <w:p>
      <w:pPr>
        <w:pStyle w:val="Normal"/>
        <w:ind w:firstLine="720" w:end="0"/>
        <w:rPr/>
      </w:pPr>
      <w:r>
        <w:rPr>
          <w:b/>
        </w:rPr>
        <w:t xml:space="preserve">WHEREAS, </w:t>
      </w:r>
      <w:r>
        <w:rPr/>
        <w:t>during the next few years, thirteen developers plan to interconnect approximately 9,500 megawatts (“MW”) of new electric generation to the Con Edison Electric System (this new electric generation collectively is referred to as “Developers’ Projects”);</w:t>
      </w:r>
    </w:p>
    <w:p>
      <w:pPr>
        <w:pStyle w:val="Normal"/>
        <w:ind w:firstLine="720" w:end="0"/>
        <w:rPr/>
      </w:pPr>
      <w:r>
        <w:rPr/>
      </w:r>
    </w:p>
    <w:p>
      <w:pPr>
        <w:pStyle w:val="Normal"/>
        <w:rPr/>
      </w:pPr>
      <w:r>
        <w:rPr/>
        <w:tab/>
      </w:r>
      <w:r>
        <w:rPr>
          <w:b/>
        </w:rPr>
        <w:t xml:space="preserve">WHEREAS, </w:t>
      </w:r>
      <w:r>
        <w:rPr/>
        <w:t xml:space="preserve">Con Edison and Generator desire to coordinate such construction for Generator’s Facility with the corresponding construction that Con Edison proposes to undertake for the other Developers’ Projects; </w:t>
      </w:r>
    </w:p>
    <w:p>
      <w:pPr>
        <w:pStyle w:val="Normal"/>
        <w:rPr/>
      </w:pPr>
      <w:r>
        <w:rPr/>
      </w:r>
    </w:p>
    <w:p>
      <w:pPr>
        <w:pStyle w:val="Normal"/>
        <w:rPr/>
      </w:pPr>
      <w:r>
        <w:rPr/>
        <w:tab/>
      </w:r>
      <w:r>
        <w:rPr>
          <w:b/>
        </w:rPr>
        <w:t>WHEREAS,</w:t>
      </w:r>
      <w:r>
        <w:rPr/>
        <w:t xml:space="preserve"> the interconnection of Developers’ Projects will increase the magnitude of fault currents to levels significantly greater than the ratings of Con Edison’s breakers at various 345 kilovolt (“kV”), 138 kV and 69 kV Con Edison substations; and </w:t>
      </w:r>
    </w:p>
    <w:p>
      <w:pPr>
        <w:pStyle w:val="Normal"/>
        <w:rPr/>
      </w:pPr>
      <w:r>
        <w:rPr/>
      </w:r>
    </w:p>
    <w:p>
      <w:pPr>
        <w:pStyle w:val="Normal"/>
        <w:rPr/>
      </w:pPr>
      <w:r>
        <w:rPr/>
        <w:tab/>
      </w:r>
      <w:r>
        <w:rPr>
          <w:b/>
        </w:rPr>
        <w:t>WHEREAS,</w:t>
      </w:r>
      <w:r>
        <w:rPr/>
        <w:t xml:space="preserve"> Con Edison has developed a Fault Current Management Plan (“Management Plan”) to manage the fault currents on the Con Edison Electric System so that Developers’ Projects can be safely interconnected to the Con Edison Electric System.</w:t>
      </w:r>
    </w:p>
    <w:p>
      <w:pPr>
        <w:pStyle w:val="Normal"/>
        <w:rPr/>
      </w:pPr>
      <w:r>
        <w:rPr/>
      </w:r>
    </w:p>
    <w:p>
      <w:pPr>
        <w:pStyle w:val="Normal"/>
        <w:rPr/>
      </w:pPr>
      <w:r>
        <w:rPr/>
      </w:r>
    </w:p>
    <w:p>
      <w:pPr>
        <w:pStyle w:val="Normal"/>
        <w:rPr/>
      </w:pPr>
      <w:r>
        <w:rPr/>
        <w:tab/>
      </w:r>
      <w:r>
        <w:rPr>
          <w:b/>
        </w:rPr>
        <w:t xml:space="preserve">NOW, THEREFORE, </w:t>
      </w:r>
      <w:r>
        <w:rPr/>
        <w:t>in consideration of the mutual covenants herein assumed, Con Edison and Generator agree as follows:</w:t>
      </w:r>
    </w:p>
    <w:p>
      <w:pPr>
        <w:pStyle w:val="Normal"/>
        <w:rPr/>
      </w:pPr>
      <w:r>
        <w:rPr/>
      </w:r>
    </w:p>
    <w:p>
      <w:pPr>
        <w:pStyle w:val="Normal"/>
        <w:rPr/>
      </w:pPr>
      <w:r>
        <w:rPr/>
        <w:tab/>
      </w:r>
      <w:r>
        <w:rPr>
          <w:b/>
        </w:rPr>
        <w:t>1.</w:t>
      </w:r>
      <w:r>
        <w:rPr/>
        <w:tab/>
      </w:r>
      <w:r>
        <w:rPr>
          <w:b/>
          <w:u w:val="single"/>
        </w:rPr>
        <w:t>Regulatory Obligations.</w:t>
      </w:r>
      <w:r>
        <w:rPr/>
        <w:t xml:space="preserve">  </w:t>
      </w:r>
    </w:p>
    <w:p>
      <w:pPr>
        <w:pStyle w:val="Normal"/>
        <w:rPr/>
      </w:pPr>
      <w:r>
        <w:rPr/>
      </w:r>
    </w:p>
    <w:p>
      <w:pPr>
        <w:pStyle w:val="Normal"/>
        <w:rPr/>
      </w:pPr>
      <w:r>
        <w:rPr/>
        <w:tab/>
        <w:t>Con Edison shall file this Agreement with the Federal Energy Regulatory Commission (“FERC”) as a rate schedule in accordance with Section 205 of the Federal Power Act.  Con Edison does not intend to seek authorization to construct or operate the  Management Plan facilities pursuant to Articles VII or X of the Public Service Law of the State of New York, but may do so in its sole discretion, which is acceptable to Generator.  In accordance with Article X of the Public Service Law, Generator shall request approval from the New York State Board on Electric Generation Siting and the Environment (“Siting Board”) for the Project Specific Facilities described in Section 3 of this Agreement if such approval is required.</w:t>
      </w:r>
    </w:p>
    <w:p>
      <w:pPr>
        <w:pStyle w:val="Footer"/>
        <w:tabs>
          <w:tab w:val="clear" w:pos="4320"/>
          <w:tab w:val="clear" w:pos="8640"/>
        </w:tabs>
        <w:rPr/>
      </w:pPr>
      <w:r>
        <w:rPr/>
      </w:r>
    </w:p>
    <w:p>
      <w:pPr>
        <w:pStyle w:val="Normal"/>
        <w:rPr/>
      </w:pPr>
      <w:r>
        <w:rPr/>
        <w:tab/>
      </w:r>
      <w:r>
        <w:rPr>
          <w:b/>
        </w:rPr>
        <w:t>2.</w:t>
        <w:tab/>
      </w:r>
      <w:r>
        <w:rPr>
          <w:b/>
          <w:u w:val="single"/>
        </w:rPr>
        <w:t>Implementation of the Management Plan.</w:t>
      </w:r>
      <w:r>
        <w:rPr/>
        <w:t xml:space="preserve">    </w:t>
      </w:r>
    </w:p>
    <w:p>
      <w:pPr>
        <w:pStyle w:val="Normal"/>
        <w:rPr/>
      </w:pPr>
      <w:r>
        <w:rPr/>
      </w:r>
    </w:p>
    <w:p>
      <w:pPr>
        <w:pStyle w:val="Normal"/>
        <w:rPr/>
      </w:pPr>
      <w:r>
        <w:rPr/>
        <w:tab/>
        <w:t xml:space="preserve">The scope, nature, and cost of the Management Plan are dependent upon the size, location and operating characteristics of Generator’s Facility and of the other developers’ proposed generation facilities.  Con Edison has provided Generator with the Management Plan, which is predicated upon the generation developers’ requirements as communicated to Con Edison prior to the preparation of that Management Plan.  However, because Generator and the other developers have yet to make final commitments to Developers’ Projects, the scope, nature, and cost of the Management Plan is tentative and subject to change.  Con Edison will notify Generator promptly of changes to the Management Plan necessitated by changes in or withdrawal of Developers’ Projects or other factors, such as the need to reduce the impact of the Management Plan on the Con Edison electric cable system transfer capacity.  Generator will correspondingly notify Con Edison of any significant change in Generator’s Facility that would occasion a change in the Management Plan. </w:t>
      </w:r>
    </w:p>
    <w:p>
      <w:pPr>
        <w:pStyle w:val="Normal"/>
        <w:rPr/>
      </w:pPr>
      <w:r>
        <w:rPr/>
      </w:r>
    </w:p>
    <w:p>
      <w:pPr>
        <w:pStyle w:val="Normal"/>
        <w:ind w:firstLine="720" w:end="0"/>
        <w:rPr/>
      </w:pPr>
      <w:r>
        <w:rPr/>
        <w:t>The electric facility requirements of the Management Plan, as currently configured, are listed on Attachment __.  The Attachment identifies the annual cash flow requirements associated with the facilities to be installed in the Management Plan.  The annual cash flow requirements will be updated by the notices issued pursuant to Section 7 of this Agreement, to reflect conditions at the time of the notice.  Subject to (1) intervening changes to the Management Plan and (2) and the timely payment by Generator of amounts due pursuant to Section 7, Con Edison will undertake the above-described construction of the Management Plan facilities and will make commercially reasonable efforts to complete the necessary portions of that Plan prior to the in-service date of Generator’s Facility, in accordance with the terms and conditions of this Agreement.</w:t>
      </w:r>
    </w:p>
    <w:p>
      <w:pPr>
        <w:pStyle w:val="Footer"/>
        <w:tabs>
          <w:tab w:val="clear" w:pos="4320"/>
          <w:tab w:val="clear" w:pos="8640"/>
        </w:tabs>
        <w:rPr/>
      </w:pPr>
      <w:r>
        <w:rPr/>
      </w:r>
    </w:p>
    <w:p>
      <w:pPr>
        <w:pStyle w:val="Normal"/>
        <w:numPr>
          <w:ilvl w:val="0"/>
          <w:numId w:val="5"/>
        </w:numPr>
        <w:rPr>
          <w:b/>
          <w:u w:val="single"/>
        </w:rPr>
      </w:pPr>
      <w:r>
        <w:rPr>
          <w:b/>
          <w:u w:val="single"/>
        </w:rPr>
        <w:t>Generator’s</w:t>
      </w:r>
      <w:r>
        <w:rPr>
          <w:u w:val="single"/>
        </w:rPr>
        <w:t xml:space="preserve"> </w:t>
      </w:r>
      <w:r>
        <w:rPr>
          <w:b/>
          <w:u w:val="single"/>
        </w:rPr>
        <w:t>Project Specific Costs.</w:t>
      </w:r>
    </w:p>
    <w:p>
      <w:pPr>
        <w:pStyle w:val="Normal"/>
        <w:ind w:start="720" w:end="0"/>
        <w:rPr>
          <w:b/>
          <w:u w:val="single"/>
        </w:rPr>
      </w:pPr>
      <w:r>
        <w:rPr>
          <w:b/>
          <w:u w:val="single"/>
        </w:rPr>
      </w:r>
    </w:p>
    <w:p>
      <w:pPr>
        <w:pStyle w:val="Normal"/>
        <w:rPr/>
      </w:pPr>
      <w:r>
        <w:rPr/>
        <w:tab/>
        <w:t>In addition to the Management Plan facilities, Con Edison will construct, at Generator’s request, facilities that Con Edison will own and that are necessary to interconnect Generator’s Facility to Con Edison’s Electric System.  Such interconnection facilities will be dedicated solely for Generator (“Generator’s Project Specific Facilities”).  The costs that Con Edison incurs in constructing such facilities (“Generator’s Project Specific Costs”) will be defined in a notice that Con Edison sends to Generator prior to the commencement of work on the Project Specific Facilities.  No construction work related to Generator’s Project Specific Costs and related facilities shall commence until (i) Generator has received an Article X certificate from the Siting Board (if such certificate is required) and any other required siting approvals and (ii) Generator has paid Generator’s Project Specific Costs that are due in accordance with Section 7.</w:t>
      </w:r>
    </w:p>
    <w:p>
      <w:pPr>
        <w:pStyle w:val="Footer"/>
        <w:tabs>
          <w:tab w:val="clear" w:pos="4320"/>
          <w:tab w:val="clear" w:pos="8640"/>
        </w:tabs>
        <w:rPr/>
      </w:pPr>
      <w:r>
        <w:rPr/>
        <w:tab/>
        <w:tab/>
      </w:r>
    </w:p>
    <w:p>
      <w:pPr>
        <w:pStyle w:val="Normal"/>
        <w:rPr/>
      </w:pPr>
      <w:r>
        <w:rPr/>
        <w:tab/>
      </w:r>
      <w:r>
        <w:rPr>
          <w:b/>
        </w:rPr>
        <w:t>4.</w:t>
        <w:tab/>
      </w:r>
      <w:r>
        <w:rPr>
          <w:b/>
          <w:u w:val="single"/>
        </w:rPr>
        <w:t>Generator Obligations.</w:t>
      </w:r>
      <w:r>
        <w:rPr>
          <w:b/>
        </w:rPr>
        <w:tab/>
      </w:r>
    </w:p>
    <w:p>
      <w:pPr>
        <w:pStyle w:val="Normal"/>
        <w:rPr>
          <w:b/>
        </w:rPr>
      </w:pPr>
      <w:r>
        <w:rPr>
          <w:b/>
        </w:rPr>
      </w:r>
    </w:p>
    <w:p>
      <w:pPr>
        <w:pStyle w:val="Normal"/>
        <w:numPr>
          <w:ilvl w:val="0"/>
          <w:numId w:val="3"/>
        </w:numPr>
        <w:rPr/>
      </w:pPr>
      <w:r>
        <w:rPr/>
        <w:t>Generator shall seek and obtain any necessary corporate approval to reimburse Con Edison for Generator’s Project Specific Costs and Generator’s allocated share of the costs of the Management Plan.</w:t>
      </w:r>
    </w:p>
    <w:p>
      <w:pPr>
        <w:pStyle w:val="Normal"/>
        <w:ind w:start="720" w:end="0"/>
        <w:rPr/>
      </w:pPr>
      <w:r>
        <w:rPr/>
      </w:r>
    </w:p>
    <w:p>
      <w:pPr>
        <w:pStyle w:val="Normal"/>
        <w:numPr>
          <w:ilvl w:val="0"/>
          <w:numId w:val="3"/>
        </w:numPr>
        <w:rPr/>
      </w:pPr>
      <w:r>
        <w:rPr/>
        <w:t xml:space="preserve">Generator shall, on an ongoing basis but without unreasonable cost to Generator, provide such additional information and data to Con Edison as Con Edison may reasonably require to complete its evaluation of Generator’s request for interconnection of Generator’s Facility with the Con Edison Electric System. </w:t>
      </w:r>
    </w:p>
    <w:p>
      <w:pPr>
        <w:pStyle w:val="Footer"/>
        <w:tabs>
          <w:tab w:val="clear" w:pos="4320"/>
          <w:tab w:val="clear" w:pos="8640"/>
        </w:tabs>
        <w:rPr/>
      </w:pPr>
      <w:r>
        <w:rPr/>
        <w:tab/>
        <w:tab/>
      </w:r>
    </w:p>
    <w:p>
      <w:pPr>
        <w:pStyle w:val="Normal"/>
        <w:numPr>
          <w:ilvl w:val="0"/>
          <w:numId w:val="3"/>
        </w:numPr>
        <w:rPr/>
      </w:pPr>
      <w:r>
        <w:rPr/>
        <w:t xml:space="preserve">Generator shall on a timely basis, in accordance with Section 7 below, make reimbursement commitments and payments to Con Edison for Generator’s Project Specific Costs and Generator’s allocated share of the costs of the Management Plan. </w:t>
      </w:r>
    </w:p>
    <w:p>
      <w:pPr>
        <w:pStyle w:val="Normal"/>
        <w:rPr/>
      </w:pPr>
      <w:r>
        <w:rPr/>
      </w:r>
    </w:p>
    <w:p>
      <w:pPr>
        <w:pStyle w:val="Normal"/>
        <w:numPr>
          <w:ilvl w:val="0"/>
          <w:numId w:val="3"/>
        </w:numPr>
        <w:rPr/>
      </w:pPr>
      <w:r>
        <w:rPr/>
        <w:t>Generator shall, on a timely basis in accordance with Section 15 below, provide Con Edison with a letter of credit for the amount of Generator’s cost reimbursement commitments pursuant to Section 7 below.</w:t>
      </w:r>
    </w:p>
    <w:p>
      <w:pPr>
        <w:pStyle w:val="Normal"/>
        <w:rPr/>
      </w:pPr>
      <w:r>
        <w:rPr/>
        <w:t xml:space="preserve"> </w:t>
      </w:r>
      <w:r>
        <w:rPr>
          <w:b/>
        </w:rPr>
        <w:tab/>
        <w:tab/>
        <w:tab/>
        <w:t xml:space="preserve">  </w:t>
      </w:r>
    </w:p>
    <w:p>
      <w:pPr>
        <w:pStyle w:val="Normal"/>
        <w:rPr/>
      </w:pPr>
      <w:r>
        <w:rPr/>
        <w:tab/>
      </w:r>
      <w:r>
        <w:rPr>
          <w:b/>
        </w:rPr>
        <w:t>5.</w:t>
        <w:tab/>
      </w:r>
      <w:r>
        <w:rPr>
          <w:b/>
          <w:u w:val="single"/>
        </w:rPr>
        <w:t xml:space="preserve">Condition Precedent. </w:t>
      </w:r>
    </w:p>
    <w:p>
      <w:pPr>
        <w:pStyle w:val="Normal"/>
        <w:ind w:firstLine="720" w:end="0"/>
        <w:rPr>
          <w:b/>
          <w:u w:val="single"/>
        </w:rPr>
      </w:pPr>
      <w:r>
        <w:rPr>
          <w:b/>
          <w:u w:val="single"/>
        </w:rPr>
      </w:r>
    </w:p>
    <w:p>
      <w:pPr>
        <w:pStyle w:val="Normal"/>
        <w:ind w:firstLine="720" w:end="0"/>
        <w:rPr/>
      </w:pPr>
      <w:r>
        <w:rPr/>
        <w:t>Con Edison’s obligation to construct the additional electric facilities described in Sections 2 and 3 above is subject to receipt of Generator’s agreement to pay Con Edison for Generator’s allocated share of the annual cash flow requirements for those facilities on or before the commitment date specified in Con Edison’s notice given pursuant to Section 7 below.</w:t>
      </w:r>
    </w:p>
    <w:p>
      <w:pPr>
        <w:pStyle w:val="Normal"/>
        <w:ind w:firstLine="720" w:end="0"/>
        <w:rPr/>
      </w:pPr>
      <w:r>
        <w:rPr/>
      </w:r>
    </w:p>
    <w:p>
      <w:pPr>
        <w:pStyle w:val="Normal"/>
        <w:numPr>
          <w:ilvl w:val="0"/>
          <w:numId w:val="6"/>
        </w:numPr>
        <w:rPr>
          <w:b/>
          <w:bCs/>
          <w:u w:val="single"/>
        </w:rPr>
      </w:pPr>
      <w:r>
        <w:rPr>
          <w:b/>
          <w:bCs/>
          <w:u w:val="single"/>
        </w:rPr>
        <w:t>Force Majeure.</w:t>
      </w:r>
    </w:p>
    <w:p>
      <w:pPr>
        <w:pStyle w:val="Normal"/>
        <w:rPr>
          <w:b/>
          <w:bCs/>
          <w:u w:val="single"/>
        </w:rPr>
      </w:pPr>
      <w:r>
        <w:rPr>
          <w:b/>
          <w:bCs/>
          <w:u w:val="single"/>
        </w:rPr>
      </w:r>
    </w:p>
    <w:p>
      <w:pPr>
        <w:pStyle w:val="BodyTextIndent"/>
        <w:rPr/>
      </w:pPr>
      <w:r>
        <w:rPr/>
        <w:t xml:space="preserve">Con Edison shall not be liable for failure to perform or for delay in performance due to any cause beyond its reasonable control, including without limitation, fire, flood, strike or other labor difficulty, act of God, act or failure to act of any governmental authority or of Generator, riot, sabotage, embargo, fuel or energy shortage, wreck or delay in transportation, major equipment breakdown, discovery of environmental or safety conditions that are not known as of the date of this Agreement, or inability to obtain necessary labor, materials, or facilities from usual sources.  In the event of delay in performance due to any such cause, the time for completion will be extended by a period of time reasonably necessary to overcome the effect of such delay, and Con Edison will be entitled to any reasonable additional costs it incurs as a result of a delay in its performance unless the delay is due to its negligence or willful neglect. </w:t>
      </w:r>
    </w:p>
    <w:p>
      <w:pPr>
        <w:pStyle w:val="Normal"/>
        <w:rPr>
          <w:b/>
          <w:bCs/>
          <w:u w:val="single"/>
        </w:rPr>
      </w:pPr>
      <w:r>
        <w:rPr>
          <w:b/>
          <w:bCs/>
          <w:u w:val="single"/>
        </w:rPr>
      </w:r>
    </w:p>
    <w:p>
      <w:pPr>
        <w:pStyle w:val="Normal"/>
        <w:ind w:firstLine="720" w:end="0"/>
        <w:rPr/>
      </w:pPr>
      <w:r>
        <w:rPr>
          <w:b/>
        </w:rPr>
        <w:t>7.</w:t>
        <w:tab/>
      </w:r>
      <w:r>
        <w:rPr>
          <w:b/>
          <w:u w:val="single"/>
        </w:rPr>
        <w:t>Generator’s Payments to Con Edison.</w:t>
      </w:r>
      <w:r>
        <w:rPr/>
        <w:t xml:space="preserve">         </w:t>
      </w:r>
    </w:p>
    <w:p>
      <w:pPr>
        <w:pStyle w:val="Normal"/>
        <w:ind w:firstLine="720" w:end="0"/>
        <w:rPr/>
      </w:pPr>
      <w:r>
        <w:rPr/>
      </w:r>
    </w:p>
    <w:p>
      <w:pPr>
        <w:pStyle w:val="Normal"/>
        <w:ind w:firstLine="720" w:end="0"/>
        <w:rPr/>
      </w:pPr>
      <w:r>
        <w:rPr/>
        <w:t>Con Edison will incur costs in constructing the Management Plan facilities and Generator’s Project Specific Facilities, including costs for engineering, material procurement, and installation.  Such costs will include the commitment of internal resources and expenditures to third parties to perform work for Con Edison.</w:t>
      </w:r>
    </w:p>
    <w:p>
      <w:pPr>
        <w:pStyle w:val="Normal"/>
        <w:ind w:firstLine="720" w:end="0"/>
        <w:rPr/>
      </w:pPr>
      <w:r>
        <w:rPr/>
        <w:t xml:space="preserve"> </w:t>
      </w:r>
    </w:p>
    <w:p>
      <w:pPr>
        <w:pStyle w:val="Normal"/>
        <w:ind w:firstLine="720" w:end="0"/>
        <w:rPr/>
      </w:pPr>
      <w:r>
        <w:rPr/>
        <w:t>Generator shall pay Con Edison for all costs that Con Edison incurs in constructing electric facilities associated with Generator’s Facility.  Specifically, Generator shall pay Con Edison for (i) Generator’s Project Specific Costs and (ii) Generator’s allocated share of the Management Plan costs.  The total currently estimated costs of the Management Plan are identified in Attachment __ and shall be allocated between Generator and the other generation owners based on the Cost Allocation Methodology that is currently being developed by the New York Independent System Operator (“NYISO”).</w:t>
      </w:r>
    </w:p>
    <w:p>
      <w:pPr>
        <w:pStyle w:val="Normal"/>
        <w:ind w:firstLine="720" w:end="0"/>
        <w:rPr/>
      </w:pPr>
      <w:r>
        <w:rPr/>
      </w:r>
    </w:p>
    <w:p>
      <w:pPr>
        <w:pStyle w:val="Normal"/>
        <w:ind w:firstLine="720" w:end="0"/>
        <w:rPr/>
      </w:pPr>
      <w:r>
        <w:rPr/>
        <w:t>Until the NYISO Cost Allocation Methodology is approved by the FERC and becomes effective, the cost of the common facilities for each annual segment of the Management Plan shall, on an interim basis, be shared by Generator and each of the other developers participating in that annual segment of the Management Plan based on the proportion of capacity that each developer’s facility bears to the total capacity of the Developers’ Projects.  Attachment __ contains the interim annual cost allocation for the developers.  As soon as practicable after the NYISO’s Cost Allocation Methodology becomes effective, Con Edison shall reconcile the interim cost allocation with the new Cost Allocation Methodology and the resulting credit or debit for Generator shall be applied to Generator’s next reimbursement payment under the Cost Allocation Methodology.  If no more reimbursement payments are due, then the credit or debit shall be assessed to Generator, and Generator and Con Edison shall make either a conforming payment or refund.</w:t>
      </w:r>
    </w:p>
    <w:p>
      <w:pPr>
        <w:pStyle w:val="Normal"/>
        <w:rPr/>
      </w:pPr>
      <w:r>
        <w:rPr/>
      </w:r>
    </w:p>
    <w:p>
      <w:pPr>
        <w:pStyle w:val="Normal"/>
        <w:rPr/>
      </w:pPr>
      <w:r>
        <w:rPr/>
        <w:tab/>
        <w:t>Prior to the commencement of work on Generator’s Project Specific Facilities and the Management Plan Facilities, and periodically thereafter, Con Edison will notify Generator with respect to the work to be done during the period covered by the notice, the estimated cost of that work, and Generator’s allocated share of such cost.  Con Edison’s notice shall specify (i) the date by which Generator shall provide a written commitment to pay Con Edison for the Generator’s share of the estimated cost and (ii) the date by which payment must be made.  The cost estimates will be revised periodically to reflect (i) any cost increases and (ii) any attrition of Developers’ Projects, up to the date for Generator’s reimbursement commitment.</w:t>
      </w:r>
    </w:p>
    <w:p>
      <w:pPr>
        <w:pStyle w:val="Normal"/>
        <w:rPr/>
      </w:pPr>
      <w:r>
        <w:rPr/>
      </w:r>
    </w:p>
    <w:p>
      <w:pPr>
        <w:pStyle w:val="Normal"/>
        <w:rPr/>
      </w:pPr>
      <w:r>
        <w:rPr/>
        <w:tab/>
        <w:t xml:space="preserve">Forms for Con Edison’s notice and Generator’s payment commitment are included in Attachment ___.  </w:t>
      </w:r>
    </w:p>
    <w:p>
      <w:pPr>
        <w:pStyle w:val="Normal"/>
        <w:rPr/>
      </w:pPr>
      <w:r>
        <w:rPr/>
      </w:r>
    </w:p>
    <w:p>
      <w:pPr>
        <w:pStyle w:val="Normal"/>
        <w:ind w:firstLine="720" w:end="0"/>
        <w:rPr/>
      </w:pPr>
      <w:r>
        <w:rPr/>
        <w:t>Prior to Con Edison’s commencement of the work subject to its notice, Generator shall pay Con Edison by wire transfer Generator’s allocated share of the cost for work to be done during the period of the notice.  If Generator shall fail to make a timely payment  to Con Edison, Con Edison, in addition to being able to terminate this Agreement pursuant to Section 9(C), may assess a late payment charge on Generator equal to no more than 1.5 percent per month on the unpaid amount (including any interest thereon).</w:t>
      </w:r>
    </w:p>
    <w:p>
      <w:pPr>
        <w:pStyle w:val="Normal"/>
        <w:rPr/>
      </w:pPr>
      <w:r>
        <w:rPr/>
        <w:tab/>
        <w:t xml:space="preserve"> </w:t>
      </w:r>
    </w:p>
    <w:p>
      <w:pPr>
        <w:pStyle w:val="Normal"/>
        <w:rPr/>
      </w:pPr>
      <w:r>
        <w:rPr/>
        <w:tab/>
        <w:t>Upon completion of the Management Plan facilities and Generator’s Project Specific Facilities, Con Edison will retain an independent auditor to review Con Edison’s records and provide Generator with a verification of the costs that were incurred by Con Edison and allocated to Generator under this Agreement.  Con Edison shall then provide Generator with a reconciliation of the estimated and actual costs allocated to Generator; and Generator and Con Edison shall make either a conforming payment or refund as the case may be.</w:t>
      </w:r>
    </w:p>
    <w:p>
      <w:pPr>
        <w:pStyle w:val="Footer"/>
        <w:tabs>
          <w:tab w:val="clear" w:pos="4320"/>
          <w:tab w:val="clear" w:pos="8640"/>
        </w:tabs>
        <w:rPr/>
      </w:pPr>
      <w:r>
        <w:rPr/>
      </w:r>
    </w:p>
    <w:p>
      <w:pPr>
        <w:pStyle w:val="Normal"/>
        <w:rPr/>
      </w:pPr>
      <w:r>
        <w:rPr/>
        <w:tab/>
      </w:r>
      <w:r>
        <w:rPr>
          <w:b/>
          <w:bCs/>
        </w:rPr>
        <w:t>8.</w:t>
      </w:r>
      <w:r>
        <w:rPr>
          <w:b/>
        </w:rPr>
        <w:tab/>
      </w:r>
      <w:r>
        <w:rPr>
          <w:b/>
          <w:u w:val="single"/>
        </w:rPr>
        <w:t>Ownership of Facilities</w:t>
      </w:r>
    </w:p>
    <w:p>
      <w:pPr>
        <w:pStyle w:val="Normal"/>
        <w:rPr/>
      </w:pPr>
      <w:r>
        <w:rPr/>
      </w:r>
    </w:p>
    <w:p>
      <w:pPr>
        <w:pStyle w:val="Normal"/>
        <w:rPr/>
      </w:pPr>
      <w:r>
        <w:rPr/>
        <w:tab/>
        <w:t>Con Edison shall own and operate the Management Plan facilities and Generator’s Project Specific Facilities as elements of the Con Edison Electric System.  Generator’s payments under this Agreement shall not provide Generator with any ownership rights with respect to those facilities.</w:t>
      </w:r>
    </w:p>
    <w:p>
      <w:pPr>
        <w:pStyle w:val="Normal"/>
        <w:rPr/>
      </w:pPr>
      <w:r>
        <w:rPr/>
      </w:r>
    </w:p>
    <w:p>
      <w:pPr>
        <w:pStyle w:val="Normal"/>
        <w:rPr/>
      </w:pPr>
      <w:r>
        <w:rPr/>
        <w:tab/>
      </w:r>
      <w:r>
        <w:rPr>
          <w:b/>
          <w:bCs/>
        </w:rPr>
        <w:t>9.</w:t>
      </w:r>
      <w:r>
        <w:rPr>
          <w:b/>
        </w:rPr>
        <w:tab/>
      </w:r>
      <w:r>
        <w:rPr>
          <w:b/>
          <w:u w:val="single"/>
        </w:rPr>
        <w:t xml:space="preserve">Effectiveness and Termination of this Agreement.    </w:t>
      </w:r>
    </w:p>
    <w:p>
      <w:pPr>
        <w:pStyle w:val="Footer"/>
        <w:tabs>
          <w:tab w:val="clear" w:pos="4320"/>
          <w:tab w:val="clear" w:pos="8640"/>
        </w:tabs>
        <w:rPr/>
      </w:pPr>
      <w:r>
        <w:rPr/>
      </w:r>
    </w:p>
    <w:p>
      <w:pPr>
        <w:pStyle w:val="Normal"/>
        <w:rPr/>
      </w:pPr>
      <w:r>
        <w:rPr/>
        <w:tab/>
        <w:t>(</w:t>
      </w:r>
      <w:r>
        <w:rPr>
          <w:b/>
        </w:rPr>
        <w:t>A)</w:t>
        <w:tab/>
      </w:r>
      <w:r>
        <w:rPr/>
        <w:t>This Agreement is effective as of the date first written above and shall continue in effect until the earlier of (1) the date on which Con Edison completes the construction of the Management Plan facilities and Generator’s Project Specific Facilities or (2) December 31, 2005, unless Generator or Con Edison terminates it at an earlier date in accordance with Sections (B) or (C) below.</w:t>
      </w:r>
    </w:p>
    <w:p>
      <w:pPr>
        <w:pStyle w:val="Normal"/>
        <w:rPr/>
      </w:pPr>
      <w:r>
        <w:rPr/>
      </w:r>
    </w:p>
    <w:p>
      <w:pPr>
        <w:pStyle w:val="Normal"/>
        <w:rPr/>
      </w:pPr>
      <w:r>
        <w:rPr/>
        <w:tab/>
      </w:r>
      <w:r>
        <w:rPr>
          <w:b/>
        </w:rPr>
        <w:t>(B)</w:t>
        <w:tab/>
      </w:r>
      <w:r>
        <w:rPr/>
        <w:t xml:space="preserve">Generator may terminate this Agreement, for any reason and at any time, upon 60 days’ prior written notice to Con Edison.  If Generator terminates this Agreement, its payments made prior to the termination shall not be refundable, and Generator shall be liable for and pay Con Edison for (i) all costs for which Generator has provided a payment commitment pursuant to Section 7 of this Agreement and (ii) all costs of engineering work performed for Developers’ Projects that must be repeated because of Generator’s termination. </w:t>
        <w:tab/>
      </w:r>
    </w:p>
    <w:p>
      <w:pPr>
        <w:pStyle w:val="Normal"/>
        <w:rPr/>
      </w:pPr>
      <w:r>
        <w:rPr/>
      </w:r>
    </w:p>
    <w:p>
      <w:pPr>
        <w:pStyle w:val="Normal"/>
        <w:rPr/>
      </w:pPr>
      <w:r>
        <w:rPr/>
        <w:tab/>
      </w:r>
      <w:r>
        <w:rPr>
          <w:b/>
        </w:rPr>
        <w:t>(C)</w:t>
        <w:tab/>
      </w:r>
      <w:r>
        <w:rPr/>
        <w:t>Con Edison may terminate this Agreement, upon __ days’ prior written notice to Generator, if Generator fails to provide to Con Edison either (i) a timely written commitment to pay Con Edison for Generator’s allocated share of the estimated cost or (ii) a timely payment, each as described in Section 6 above, or (iii) a letter of credit as described in Section 15 below.</w:t>
      </w:r>
    </w:p>
    <w:p>
      <w:pPr>
        <w:pStyle w:val="Normal"/>
        <w:rPr/>
      </w:pPr>
      <w:r>
        <w:rPr/>
      </w:r>
    </w:p>
    <w:p>
      <w:pPr>
        <w:pStyle w:val="Normal"/>
        <w:rPr/>
      </w:pPr>
      <w:r>
        <w:rPr/>
        <w:tab/>
      </w:r>
      <w:r>
        <w:rPr>
          <w:b/>
          <w:bCs/>
        </w:rPr>
        <w:t>10.</w:t>
      </w:r>
      <w:r>
        <w:rPr>
          <w:b/>
        </w:rPr>
        <w:tab/>
      </w:r>
      <w:r>
        <w:rPr>
          <w:b/>
          <w:u w:val="single"/>
        </w:rPr>
        <w:t>Assignment.</w:t>
      </w:r>
      <w:r>
        <w:rPr/>
        <w:t xml:space="preserve">   </w:t>
      </w:r>
    </w:p>
    <w:p>
      <w:pPr>
        <w:pStyle w:val="Footer"/>
        <w:tabs>
          <w:tab w:val="clear" w:pos="4320"/>
          <w:tab w:val="clear" w:pos="8640"/>
        </w:tabs>
        <w:rPr>
          <w:u w:val="single"/>
        </w:rPr>
      </w:pPr>
      <w:r>
        <w:rPr>
          <w:u w:val="single"/>
        </w:rPr>
      </w:r>
    </w:p>
    <w:p>
      <w:pPr>
        <w:pStyle w:val="Normal"/>
        <w:rPr/>
      </w:pPr>
      <w:r>
        <w:rPr/>
        <w:tab/>
        <w:t>Any company which shall succeed by purchase, merger or consolidation of the properties, substantially as an entirety, of either Con Edison or Generator shall be entitled to the rights and shall be subject to the obligations of its predecessor in title under this Agreement.  Either Party may, without relieving itself of its obligations under this Agreement, assign any of its rights hereunder to a company with which it is affiliated.  However, neither Party may otherwise assign this Agreement or any of its rights or obligations hereunder without the prior written consent thereto of the other Party, which consent shall not be unreasonably withheld.  It is agreed, however, that the restrictions on assignment contained in this Section 10 shall not in any way prevent either Party to this Agreement from pledging or mortgaging its rights hereunder as security for its indebtedness.</w:t>
      </w:r>
    </w:p>
    <w:p>
      <w:pPr>
        <w:pStyle w:val="Footer"/>
        <w:tabs>
          <w:tab w:val="clear" w:pos="4320"/>
          <w:tab w:val="clear" w:pos="8640"/>
        </w:tabs>
        <w:rPr/>
      </w:pPr>
      <w:r>
        <w:rPr/>
      </w:r>
    </w:p>
    <w:p>
      <w:pPr>
        <w:pStyle w:val="Normal"/>
        <w:numPr>
          <w:ilvl w:val="0"/>
          <w:numId w:val="4"/>
        </w:numPr>
        <w:rPr>
          <w:b/>
          <w:bCs/>
        </w:rPr>
      </w:pPr>
      <w:r>
        <w:rPr>
          <w:b/>
          <w:bCs/>
          <w:u w:val="single"/>
        </w:rPr>
        <w:t>Arbitration</w:t>
      </w:r>
      <w:r>
        <w:rPr>
          <w:b/>
          <w:bCs/>
        </w:rPr>
        <w:t>.</w:t>
      </w:r>
    </w:p>
    <w:p>
      <w:pPr>
        <w:pStyle w:val="Normal"/>
        <w:rPr>
          <w:b/>
          <w:bCs/>
        </w:rPr>
      </w:pPr>
      <w:r>
        <w:rPr>
          <w:b/>
          <w:bCs/>
        </w:rPr>
      </w:r>
    </w:p>
    <w:p>
      <w:pPr>
        <w:pStyle w:val="Normal"/>
        <w:ind w:firstLine="720" w:end="0"/>
        <w:rPr/>
      </w:pPr>
      <w:r>
        <w:rPr>
          <w:b/>
          <w:bCs/>
        </w:rPr>
        <w:t>(A)</w:t>
      </w:r>
      <w:r>
        <w:rPr/>
        <w:t xml:space="preserve">      </w:t>
      </w:r>
      <w:r>
        <w:rPr>
          <w:u w:val="single"/>
        </w:rPr>
        <w:t>Baseball Arbitration</w:t>
      </w:r>
      <w:r>
        <w:rPr/>
        <w:t>.  Any issue, dispute or claim arising out of or related to the validity, administration, breach, termination, interpretation or performance of this Agreement not resolved by negotiation between the Parties shall be exclusively and finally resolved by arbitration pursuant to this Section 11.  The arbitration proceedings shall be conducted in accordance with the Commercial Arbitration Rules of the American Arbitration Association as in effect on the date hereof and as modified by this Section 11.  Either Party may invoke arbitration under this Section 11 at any time by notice to the other Party to that effect.  The Party requesting arbitration shall set forth in such Notice in reasonable detail the issues to be arbitrated, and within ten (10) days from the receipt of such Notice, the other Party may set forth in a Notice to the first Party in reasonable detail additional related issues to be arbitrated.  Within ten (10) days after the giving of such latter Notice, each Party shall furnish to the other Party a notice (“Decision Notice”) setting forth the decision (on a word-for-word basis) that such Party wishes the arbitrator to make with respect to the issues to be arbitrated.  Within ten (10) days after the giving of the latter of the Decision Notices, the Parties shall attend a meeting (“Meeting”) at a mutually acceptable time and place to discuss fully the content of such Decision Notices and based thereon determine whether either of the Parties wishes to modify its Decision Notice in any way.  Any such modifications shall be discussed with each Party so that when each Party finalizes its Decision Notice, it shall do so with full knowledge of the content of the other Party’s final Decision Notice.  The finalization of such Decision Notices and the delivery of same by each Party to the other Party shall occur at the Meeting unless by mutual agreement they agree to have one or more additional Meetings for such purpose.  If arbitration is invoked by either Party pursuant to this Section 11(A), the decision of the arbitrator(s) shall be final and binding upon all, and no Party shall seek to have such issues litigated rather than arbitrated (except as may be otherwise required by law).</w:t>
      </w:r>
    </w:p>
    <w:p>
      <w:pPr>
        <w:pStyle w:val="Normal"/>
        <w:ind w:firstLine="720" w:end="0"/>
        <w:rPr/>
      </w:pPr>
      <w:r>
        <w:rPr/>
      </w:r>
    </w:p>
    <w:p>
      <w:pPr>
        <w:pStyle w:val="Normal"/>
        <w:ind w:firstLine="720" w:end="0"/>
        <w:rPr/>
      </w:pPr>
      <w:r>
        <w:rPr>
          <w:b/>
          <w:bCs/>
        </w:rPr>
        <w:t>(B)</w:t>
      </w:r>
      <w:r>
        <w:rPr/>
        <w:t xml:space="preserve">      </w:t>
      </w:r>
      <w:r>
        <w:rPr>
          <w:u w:val="single"/>
        </w:rPr>
        <w:t>Arbitrator(s)</w:t>
      </w:r>
      <w:r>
        <w:rPr/>
        <w:t>.  Such binding arbitration shall be conducted by an impartial person who has no official, financial, or personal conflict of interest with respect to the issues in controversy, and, who, to the extent practicable, is knowledgeable and experienced in the type of matter that is the subject of the dispute.  An impartial person who has a conflict of interest may still serve as an arbitrator if the interest is fully disclosed in writing to each Party and each Party thereafter accepts the person.  In the event that the Parties are unable to agree upon such person at the first Meeting held pursuant to Section 11(A), then within ten (10) days after such first Meeting each Party shall select a person that it believes has the qualifications set forth above as its designated arbitrator (which selection shall be accomplished by notifying the other Party of the identity of such person), and such arbitrators so designated shall mutually agree upon a similarly qualified third person to complete the arbitration panel;  provided, however, that in the event that the arbitrators selected by the Parties are unable to agree upon a third member of the panel within ten (10) days after the selection of the latter of the two arbitrators, such arbitrator(s) shall be designated by the New York City office of the American Arbitration Association.  Upon final selection of the entire panel, such panel shall, as expeditiously as possible (and if possible, within forty-five (45) after the selection of the last arbitrator), render a decision by majority vote on the matter submitted for arbitration.  Such panel shall be required to adopt either one of the Decision Notices and shall have no power whatsoever to reach any other result.  Such panel shall adopt the Decision Notice that in its judgment is in conformity with this Agreement.  The arbitration shall be conducted in New York, New York.</w:t>
      </w:r>
    </w:p>
    <w:p>
      <w:pPr>
        <w:pStyle w:val="Normal"/>
        <w:ind w:firstLine="720" w:end="0"/>
        <w:rPr/>
      </w:pPr>
      <w:r>
        <w:rPr/>
      </w:r>
    </w:p>
    <w:p>
      <w:pPr>
        <w:pStyle w:val="Normal"/>
        <w:ind w:firstLine="720" w:end="0"/>
        <w:rPr/>
      </w:pPr>
      <w:r>
        <w:rPr>
          <w:b/>
          <w:bCs/>
        </w:rPr>
        <w:t>(C)</w:t>
      </w:r>
      <w:r>
        <w:rPr/>
        <w:t xml:space="preserve">      </w:t>
      </w:r>
      <w:r>
        <w:rPr>
          <w:u w:val="single"/>
        </w:rPr>
        <w:t>Costs of Arbitration</w:t>
      </w:r>
      <w:r>
        <w:rPr/>
        <w:t xml:space="preserve">.  Upon the determination of any such dispute, the arbitrators shall bill the costs (excluding legal fees) attributable to such binding arbitration to the losing Party; provided, however, that the arbitrators shall be empowered to apportion such costs between the Parties if they deem it appropriate.  </w:t>
      </w:r>
    </w:p>
    <w:p>
      <w:pPr>
        <w:pStyle w:val="Normal"/>
        <w:ind w:firstLine="720" w:end="0"/>
        <w:rPr/>
      </w:pPr>
      <w:r>
        <w:rPr/>
      </w:r>
    </w:p>
    <w:p>
      <w:pPr>
        <w:pStyle w:val="Normal"/>
        <w:ind w:firstLine="720" w:end="0"/>
        <w:rPr/>
      </w:pPr>
      <w:r>
        <w:rPr>
          <w:b/>
          <w:bCs/>
        </w:rPr>
        <w:t>(D)</w:t>
      </w:r>
      <w:r>
        <w:rPr/>
        <w:t xml:space="preserve">      </w:t>
      </w:r>
      <w:r>
        <w:rPr>
          <w:u w:val="single"/>
        </w:rPr>
        <w:t>Binding Arbitration</w:t>
      </w:r>
      <w:r>
        <w:rPr/>
        <w:t>.  It is the intent of the Parties that, once arbitration is invoked by either Party pursuant to the provisions of Section 11(A), the matters set for arbitration shall be decided as set forth herein, and they shall not seek to have this Section 11 rendered unenforceable or to have such matter decided in any other way, provided, however, that nothing herein shall prevent the Parties from negotiating a settlement of any issue at any time.  Judgment upon any arbitral award may be entered and execution had in any court having jurisdiction over the person or assets of the Party owing the judgment, or application may be made to such court for a judicial acceptance of the award and an order of enforcement, as the case may be.</w:t>
      </w:r>
    </w:p>
    <w:p>
      <w:pPr>
        <w:pStyle w:val="Normal"/>
        <w:ind w:firstLine="720" w:end="0"/>
        <w:rPr/>
      </w:pPr>
      <w:r>
        <w:rPr/>
      </w:r>
    </w:p>
    <w:p>
      <w:pPr>
        <w:pStyle w:val="Normal"/>
        <w:ind w:firstLine="720" w:end="0"/>
        <w:rPr/>
      </w:pPr>
      <w:r>
        <w:rPr>
          <w:b/>
          <w:bCs/>
        </w:rPr>
        <w:t>(E)</w:t>
      </w:r>
      <w:r>
        <w:rPr/>
        <w:t xml:space="preserve">      </w:t>
      </w:r>
      <w:r>
        <w:rPr>
          <w:u w:val="single"/>
        </w:rPr>
        <w:t>Survival</w:t>
      </w:r>
      <w:r>
        <w:rPr/>
        <w:t xml:space="preserve">.  This Section 11 shall survive the termination or expiration of this Agreement.   </w:t>
      </w:r>
    </w:p>
    <w:p>
      <w:pPr>
        <w:pStyle w:val="Normal"/>
        <w:rPr>
          <w:b/>
          <w:bCs/>
          <w:u w:val="single"/>
        </w:rPr>
      </w:pPr>
      <w:r>
        <w:rPr>
          <w:b/>
          <w:bCs/>
          <w:u w:val="single"/>
        </w:rPr>
      </w:r>
    </w:p>
    <w:p>
      <w:pPr>
        <w:pStyle w:val="Normal"/>
        <w:rPr/>
      </w:pPr>
      <w:r>
        <w:rPr/>
        <w:tab/>
      </w:r>
      <w:r>
        <w:rPr>
          <w:b/>
        </w:rPr>
        <w:t>12.</w:t>
        <w:tab/>
      </w:r>
      <w:r>
        <w:rPr>
          <w:b/>
          <w:u w:val="single"/>
        </w:rPr>
        <w:t xml:space="preserve">Modification of Agreement/Waiver.    </w:t>
      </w:r>
    </w:p>
    <w:p>
      <w:pPr>
        <w:pStyle w:val="Footer"/>
        <w:tabs>
          <w:tab w:val="clear" w:pos="4320"/>
          <w:tab w:val="clear" w:pos="8640"/>
        </w:tabs>
        <w:rPr/>
      </w:pPr>
      <w:r>
        <w:rPr/>
      </w:r>
    </w:p>
    <w:p>
      <w:pPr>
        <w:pStyle w:val="Normal"/>
        <w:rPr/>
      </w:pPr>
      <w:r>
        <w:rPr/>
        <w:tab/>
        <w:t>No modification of the terms and provisions of this Agreement shall be made except by the execution of a written amendment signed by an authorized representative of each Party.  No waiver of any right under this Agreement shall be effective unless in writing and signed by an authorized representative of the Party granting such waiver and such waiver shall be effective only with respect to the particular event expressly referred to in such signed writing.</w:t>
      </w:r>
    </w:p>
    <w:p>
      <w:pPr>
        <w:pStyle w:val="Normal"/>
        <w:rPr/>
      </w:pPr>
      <w:r>
        <w:rPr/>
      </w:r>
    </w:p>
    <w:p>
      <w:pPr>
        <w:pStyle w:val="Normal"/>
        <w:rPr/>
      </w:pPr>
      <w:r>
        <w:rPr/>
        <w:tab/>
      </w:r>
      <w:r>
        <w:rPr>
          <w:b/>
        </w:rPr>
        <w:t>13.</w:t>
        <w:tab/>
      </w:r>
      <w:r>
        <w:rPr>
          <w:b/>
          <w:u w:val="single"/>
        </w:rPr>
        <w:t>Notices.</w:t>
      </w:r>
    </w:p>
    <w:p>
      <w:pPr>
        <w:pStyle w:val="Footer"/>
        <w:tabs>
          <w:tab w:val="clear" w:pos="4320"/>
          <w:tab w:val="clear" w:pos="8640"/>
        </w:tabs>
        <w:rPr/>
      </w:pPr>
      <w:r>
        <w:rPr/>
      </w:r>
    </w:p>
    <w:p>
      <w:pPr>
        <w:pStyle w:val="Normal"/>
        <w:rPr/>
      </w:pPr>
      <w:r>
        <w:rPr/>
        <w:tab/>
        <w:t>All notices given under this Agreement shall be in writing and shall be delivered by registered mail or sent by overnight courier to the Parties at the following addresses:</w:t>
      </w:r>
    </w:p>
    <w:p>
      <w:pPr>
        <w:pStyle w:val="Normal"/>
        <w:rPr/>
      </w:pPr>
      <w:r>
        <w:rPr/>
      </w:r>
    </w:p>
    <w:p>
      <w:pPr>
        <w:pStyle w:val="Normal"/>
        <w:rPr/>
      </w:pPr>
      <w:r>
        <w:rPr/>
        <w:tab/>
        <w:t>To Con Edison:</w:t>
      </w:r>
    </w:p>
    <w:p>
      <w:pPr>
        <w:pStyle w:val="Normal"/>
        <w:rPr/>
      </w:pPr>
      <w:r>
        <w:rPr/>
      </w:r>
    </w:p>
    <w:p>
      <w:pPr>
        <w:pStyle w:val="Normal"/>
        <w:rPr/>
      </w:pPr>
      <w:r>
        <w:rPr/>
      </w:r>
    </w:p>
    <w:p>
      <w:pPr>
        <w:pStyle w:val="Normal"/>
        <w:rPr/>
      </w:pPr>
      <w:r>
        <w:rPr/>
      </w:r>
    </w:p>
    <w:p>
      <w:pPr>
        <w:pStyle w:val="Normal"/>
        <w:rPr/>
      </w:pPr>
      <w:r>
        <w:rPr/>
      </w:r>
    </w:p>
    <w:p>
      <w:pPr>
        <w:pStyle w:val="Normal"/>
        <w:rPr/>
      </w:pPr>
      <w:r>
        <w:rPr/>
        <w:tab/>
        <w:t>To Generator:</w:t>
      </w:r>
    </w:p>
    <w:p>
      <w:pPr>
        <w:pStyle w:val="Normal"/>
        <w:rPr/>
      </w:pPr>
      <w:r>
        <w:rPr/>
      </w:r>
    </w:p>
    <w:p>
      <w:pPr>
        <w:pStyle w:val="Normal"/>
        <w:rPr/>
      </w:pPr>
      <w:r>
        <w:rPr/>
      </w:r>
    </w:p>
    <w:p>
      <w:pPr>
        <w:pStyle w:val="Normal"/>
        <w:rPr/>
      </w:pPr>
      <w:r>
        <w:rPr/>
      </w:r>
    </w:p>
    <w:p>
      <w:pPr>
        <w:pStyle w:val="Normal"/>
        <w:rPr/>
      </w:pPr>
      <w:r>
        <w:rPr/>
        <w:t>Either Party may change its address by written notice to that effect to the other Party.  Notices given hereunder shall be deemed to have been effectively given upon the third day following the day when the notice properly addressed and postpaid has been placed in the mail, or upon delivery by an overnight courier or Federal Express.  It is expressly understood and agreed, however, that any notices referred to herein shall first be delivered by facsimile or other similar means, in accordance with the dates and time provided herein, and shall be mailed as soon as practicable thereafter.</w:t>
      </w:r>
    </w:p>
    <w:p>
      <w:pPr>
        <w:pStyle w:val="Normal"/>
        <w:rPr/>
      </w:pPr>
      <w:r>
        <w:rPr/>
      </w:r>
    </w:p>
    <w:p>
      <w:pPr>
        <w:pStyle w:val="Normal"/>
        <w:rPr/>
      </w:pPr>
      <w:r>
        <w:rPr/>
        <w:tab/>
      </w:r>
      <w:r>
        <w:rPr>
          <w:b/>
        </w:rPr>
        <w:t>14.</w:t>
        <w:tab/>
      </w:r>
      <w:r>
        <w:rPr>
          <w:b/>
          <w:u w:val="single"/>
        </w:rPr>
        <w:t xml:space="preserve">Liability.      </w:t>
      </w:r>
    </w:p>
    <w:p>
      <w:pPr>
        <w:pStyle w:val="Normal"/>
        <w:rPr>
          <w:b/>
          <w:u w:val="single"/>
        </w:rPr>
      </w:pPr>
      <w:r>
        <w:rPr>
          <w:b/>
          <w:u w:val="single"/>
        </w:rPr>
      </w:r>
    </w:p>
    <w:p>
      <w:pPr>
        <w:pStyle w:val="Normal"/>
        <w:rPr/>
      </w:pPr>
      <w:r>
        <w:rPr/>
        <w:tab/>
        <w:t>Neither Party hereto shall be liable to the other Party for any consequential, incidental or punitive damages arising out of, or related to, a breach of this Agreement or any delays in performance of obligations hereunder.</w:t>
      </w:r>
    </w:p>
    <w:p>
      <w:pPr>
        <w:pStyle w:val="Normal"/>
        <w:rPr/>
      </w:pPr>
      <w:r>
        <w:rPr/>
      </w:r>
    </w:p>
    <w:p>
      <w:pPr>
        <w:pStyle w:val="Normal"/>
        <w:rPr/>
      </w:pPr>
      <w:r>
        <w:rPr/>
        <w:tab/>
      </w:r>
      <w:r>
        <w:rPr>
          <w:b/>
        </w:rPr>
        <w:t>15.</w:t>
        <w:tab/>
      </w:r>
      <w:r>
        <w:rPr>
          <w:b/>
          <w:u w:val="single"/>
        </w:rPr>
        <w:t>Financial Security.</w:t>
      </w:r>
      <w:r>
        <w:rPr/>
        <w:t xml:space="preserve">  </w:t>
      </w:r>
    </w:p>
    <w:p>
      <w:pPr>
        <w:pStyle w:val="Normal"/>
        <w:rPr/>
      </w:pPr>
      <w:r>
        <w:rPr/>
      </w:r>
    </w:p>
    <w:p>
      <w:pPr>
        <w:pStyle w:val="Normal"/>
        <w:rPr/>
      </w:pPr>
      <w:r>
        <w:rPr/>
        <w:tab/>
        <w:t>In order to secure performance of Generator’s financial obligations under this Agreement, Generator shall provide Con Edison, by the date specified in Attachment __, with a letter of credit for the amount of Generator’s payment commitments pursuant to Section 7 herein.  The amount of the letter of credit shall be adjusted at the time of (i) FERC’s approval of the NYISO’s Cost Allocation Methodology and (ii) Generator’s periodic payment commitment to reflect all of Generator’s commitments and prior payments.</w:t>
      </w:r>
    </w:p>
    <w:p>
      <w:pPr>
        <w:pStyle w:val="Normal"/>
        <w:rPr/>
      </w:pPr>
      <w:r>
        <w:rPr/>
      </w:r>
    </w:p>
    <w:p>
      <w:pPr>
        <w:pStyle w:val="Normal"/>
        <w:numPr>
          <w:ilvl w:val="0"/>
          <w:numId w:val="2"/>
        </w:numPr>
        <w:rPr>
          <w:b/>
          <w:bCs/>
          <w:u w:val="single"/>
        </w:rPr>
      </w:pPr>
      <w:r>
        <w:rPr>
          <w:b/>
          <w:bCs/>
          <w:u w:val="single"/>
        </w:rPr>
        <w:t>Confidentiality.</w:t>
      </w:r>
    </w:p>
    <w:p>
      <w:pPr>
        <w:pStyle w:val="Normal"/>
        <w:rPr>
          <w:b/>
          <w:bCs/>
          <w:u w:val="single"/>
        </w:rPr>
      </w:pPr>
      <w:r>
        <w:rPr>
          <w:b/>
          <w:bCs/>
          <w:u w:val="single"/>
        </w:rPr>
      </w:r>
    </w:p>
    <w:p>
      <w:pPr>
        <w:pStyle w:val="BodyTextIndent"/>
        <w:rPr/>
      </w:pPr>
      <w:r>
        <w:rPr/>
        <w:t xml:space="preserve">Specifications, drawings, technical information and reports furnished by Con Edison in connection with this Agreement that are labeled “CONFIDENTIAL” are intended for the sole use of Generator in determining the completeness of the work performed [and for use in the continued operation and/or maintenance of Generator’s Facility].  Disclosure by Generator of such documents to third parties is prohibited without the prior written consent of Con Edison.  Specifications, drawings, technical information and reports furnished by Generator in connection with this Agreement that are labeled “CONFIDENTIAL” are intended for the sole use of Con Edison in connection with such Agreement.  Disclosure by Con Edison of such documents to third parties is prohibited without the prior written consent of Generator.  Generator and Con Edison shall also exercise due care to prevent any inadvertent disclosure of such CONFIDENTIAL materials to any unauthorized personnel.  Upon the termination of this Agreement, Generator and Con Edison shall destroy or return any CONFIDENTIAL materials received from the other Party at said Party’s direction. </w:t>
      </w:r>
    </w:p>
    <w:p>
      <w:pPr>
        <w:pStyle w:val="BodyTextIndent"/>
        <w:rPr/>
      </w:pPr>
      <w:r>
        <w:rPr/>
      </w:r>
    </w:p>
    <w:p>
      <w:pPr>
        <w:pStyle w:val="BodyTextIndent"/>
        <w:rPr/>
      </w:pPr>
      <w:r>
        <w:rPr>
          <w:b/>
          <w:bCs/>
        </w:rPr>
        <w:t>18.</w:t>
        <w:tab/>
      </w:r>
      <w:r>
        <w:rPr>
          <w:b/>
          <w:bCs/>
          <w:u w:val="single"/>
        </w:rPr>
        <w:t xml:space="preserve">Taxes. </w:t>
      </w:r>
    </w:p>
    <w:p>
      <w:pPr>
        <w:pStyle w:val="BodyTextIndent"/>
        <w:rPr>
          <w:b/>
          <w:bCs/>
          <w:u w:val="single"/>
        </w:rPr>
      </w:pPr>
      <w:r>
        <w:rPr>
          <w:b/>
          <w:bCs/>
          <w:u w:val="single"/>
        </w:rPr>
      </w:r>
    </w:p>
    <w:p>
      <w:pPr>
        <w:pStyle w:val="BodyTextIndent"/>
        <w:rPr>
          <w:b/>
          <w:bCs/>
          <w:u w:val="single"/>
        </w:rPr>
      </w:pPr>
      <w:r>
        <w:rPr>
          <w:b/>
          <w:bCs/>
          <w:u w:val="single"/>
        </w:rPr>
        <w:t xml:space="preserve">[To be inserted.]  </w:t>
      </w:r>
    </w:p>
    <w:p>
      <w:pPr>
        <w:pStyle w:val="BodyTextIndent"/>
        <w:rPr>
          <w:b/>
          <w:bCs/>
          <w:u w:val="single"/>
        </w:rPr>
      </w:pPr>
      <w:r>
        <w:rPr>
          <w:b/>
          <w:bCs/>
          <w:u w:val="single"/>
        </w:rPr>
      </w:r>
    </w:p>
    <w:p>
      <w:pPr>
        <w:pStyle w:val="BodyTextIndent"/>
        <w:numPr>
          <w:ilvl w:val="0"/>
          <w:numId w:val="2"/>
        </w:numPr>
        <w:rPr>
          <w:b/>
          <w:bCs/>
          <w:u w:val="single"/>
        </w:rPr>
      </w:pPr>
      <w:r>
        <w:rPr>
          <w:b/>
          <w:bCs/>
          <w:u w:val="single"/>
        </w:rPr>
        <w:t>Entire Agreement.</w:t>
      </w:r>
    </w:p>
    <w:p>
      <w:pPr>
        <w:pStyle w:val="BodyTextIndent"/>
        <w:rPr>
          <w:b/>
          <w:bCs/>
          <w:u w:val="single"/>
        </w:rPr>
      </w:pPr>
      <w:r>
        <w:rPr>
          <w:b/>
          <w:bCs/>
          <w:u w:val="single"/>
        </w:rPr>
      </w:r>
    </w:p>
    <w:p>
      <w:pPr>
        <w:pStyle w:val="BodyTextIndent"/>
        <w:rPr/>
      </w:pPr>
      <w:r>
        <w:rPr/>
        <w:t>This Agreement contains the entire agreement between the Parties relating to the subject matter thereof, and any prior or contemporaneous oral or written understandings relating to the subject matter of this Agreement are merged herein.  If any section or provision of this Agreement is or becomes legally invalid or unenforceable, the remainder of the section and the Agreement shall not be affected thereby.</w:t>
      </w:r>
    </w:p>
    <w:p>
      <w:pPr>
        <w:pStyle w:val="BodyTextIndent"/>
        <w:rPr/>
      </w:pPr>
      <w:r>
        <w:rPr/>
      </w:r>
    </w:p>
    <w:p>
      <w:pPr>
        <w:pStyle w:val="BodyTextIndent"/>
        <w:numPr>
          <w:ilvl w:val="0"/>
          <w:numId w:val="2"/>
        </w:numPr>
        <w:rPr>
          <w:b/>
          <w:bCs/>
          <w:u w:val="single"/>
        </w:rPr>
      </w:pPr>
      <w:r>
        <w:rPr>
          <w:b/>
          <w:bCs/>
          <w:u w:val="single"/>
        </w:rPr>
        <w:t>Governing Law.</w:t>
      </w:r>
    </w:p>
    <w:p>
      <w:pPr>
        <w:pStyle w:val="BodyTextIndent"/>
        <w:rPr>
          <w:b/>
          <w:bCs/>
          <w:u w:val="single"/>
        </w:rPr>
      </w:pPr>
      <w:r>
        <w:rPr>
          <w:b/>
          <w:bCs/>
          <w:u w:val="single"/>
        </w:rPr>
      </w:r>
    </w:p>
    <w:p>
      <w:pPr>
        <w:pStyle w:val="BodyTextIndent"/>
        <w:rPr/>
      </w:pPr>
      <w:r>
        <w:rPr/>
        <w:t xml:space="preserve">This Agreement shall be interpreted and the rights and liabilities of the Parties hereunder shall be determined in accordance with the laws of the state of New York, without regard to such state’s conflicts of laws rules.   </w:t>
      </w:r>
      <w:r>
        <w:rPr>
          <w:b/>
          <w:bCs/>
        </w:rPr>
        <w:t xml:space="preserve">     </w:t>
      </w:r>
    </w:p>
    <w:p>
      <w:pPr>
        <w:pStyle w:val="BodyTextIndent"/>
        <w:rPr>
          <w:b/>
          <w:bCs/>
        </w:rPr>
      </w:pPr>
      <w:r>
        <w:rPr>
          <w:b/>
          <w:bCs/>
        </w:rPr>
      </w:r>
    </w:p>
    <w:p>
      <w:pPr>
        <w:pStyle w:val="Normal"/>
        <w:rPr/>
      </w:pPr>
      <w:r>
        <w:rPr/>
        <w:tab/>
      </w:r>
      <w:r>
        <w:rPr>
          <w:b/>
        </w:rPr>
        <w:t>IN WITNESS WHEREOF,</w:t>
      </w:r>
      <w:r>
        <w:rPr/>
        <w:t xml:space="preserve"> the Parties hereto have caused this Precedent and Cost Reimbursement Agreement to be duly executed by their duly authorized officers as of the first date written above.</w:t>
      </w:r>
    </w:p>
    <w:p>
      <w:pPr>
        <w:pStyle w:val="Normal"/>
        <w:rPr/>
      </w:pPr>
      <w:r>
        <w:rPr/>
      </w:r>
    </w:p>
    <w:p>
      <w:pPr>
        <w:pStyle w:val="Normal"/>
        <w:rPr/>
      </w:pPr>
      <w:r>
        <w:rPr/>
      </w:r>
    </w:p>
    <w:p>
      <w:pPr>
        <w:pStyle w:val="Normal"/>
        <w:rPr/>
      </w:pPr>
      <w:r>
        <w:rPr/>
      </w:r>
    </w:p>
    <w:p>
      <w:pPr>
        <w:pStyle w:val="Normal"/>
        <w:rPr>
          <w:b/>
        </w:rPr>
      </w:pPr>
      <w:r>
        <w:rPr>
          <w:b/>
        </w:rPr>
        <w:t>[insert Generator’s name]</w:t>
        <w:tab/>
        <w:tab/>
        <w:tab/>
        <w:t xml:space="preserve">CONSOLIDATED EDISON COMPANY </w:t>
      </w:r>
    </w:p>
    <w:p>
      <w:pPr>
        <w:pStyle w:val="Normal"/>
        <w:rPr>
          <w:b/>
        </w:rPr>
      </w:pPr>
      <w:r>
        <w:rPr>
          <w:b/>
        </w:rPr>
        <w:tab/>
        <w:tab/>
        <w:tab/>
        <w:tab/>
        <w:tab/>
        <w:tab/>
        <w:t>OF NEW YORK, INC.</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t>By:__________________</w:t>
        <w:tab/>
        <w:tab/>
        <w:tab/>
        <w:t>By:_____________________________</w:t>
      </w:r>
    </w:p>
    <w:p>
      <w:pPr>
        <w:pStyle w:val="Normal"/>
        <w:rPr/>
      </w:pPr>
      <w:r>
        <w:rPr/>
      </w:r>
    </w:p>
    <w:p>
      <w:pPr>
        <w:pStyle w:val="Normal"/>
        <w:rPr/>
      </w:pPr>
      <w:r>
        <w:rPr/>
        <w:t>Name:</w:t>
        <w:tab/>
        <w:tab/>
        <w:tab/>
        <w:tab/>
        <w:tab/>
        <w:tab/>
        <w:t>Name:</w:t>
      </w:r>
    </w:p>
    <w:p>
      <w:pPr>
        <w:pStyle w:val="Normal"/>
        <w:rPr/>
      </w:pPr>
      <w:r>
        <w:rPr/>
      </w:r>
    </w:p>
    <w:p>
      <w:pPr>
        <w:pStyle w:val="Normal"/>
        <w:rPr/>
      </w:pPr>
      <w:r>
        <w:rPr/>
        <w:t>Title:</w:t>
        <w:tab/>
        <w:tab/>
        <w:tab/>
        <w:tab/>
        <w:tab/>
        <w:tab/>
        <w:t>Title:</w:t>
      </w:r>
    </w:p>
    <w:p>
      <w:pPr>
        <w:pStyle w:val="Normal"/>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decimal"/>
      <w:lvlText w:val="%1."/>
      <w:lvlJc w:val="start"/>
      <w:pPr>
        <w:tabs>
          <w:tab w:val="num" w:pos="1440"/>
        </w:tabs>
        <w:ind w:start="1440" w:hanging="720"/>
      </w:pPr>
      <w:rPr>
        <w:u w:val="none"/>
      </w:rPr>
    </w:lvl>
  </w:abstractNum>
  <w:abstractNum w:abstractNumId="3">
    <w:lvl w:ilvl="0">
      <w:start w:val="1"/>
      <w:numFmt w:val="upperLetter"/>
      <w:lvlText w:val="(%1)"/>
      <w:lvlJc w:val="start"/>
      <w:pPr>
        <w:tabs>
          <w:tab w:val="num" w:pos="1560"/>
        </w:tabs>
        <w:ind w:start="1560" w:hanging="840"/>
      </w:pPr>
      <w:rPr>
        <w:b/>
      </w:rPr>
    </w:lvl>
  </w:abstractNum>
  <w:abstractNum w:abstractNumId="4">
    <w:lvl w:ilvl="0">
      <w:start w:val="11"/>
      <w:numFmt w:val="decimal"/>
      <w:lvlText w:val="%1."/>
      <w:lvlJc w:val="start"/>
      <w:pPr>
        <w:tabs>
          <w:tab w:val="num" w:pos="1440"/>
        </w:tabs>
        <w:ind w:start="1440" w:hanging="720"/>
      </w:pPr>
      <w:rPr/>
    </w:lvl>
  </w:abstractNum>
  <w:abstractNum w:abstractNumId="5">
    <w:lvl w:ilvl="0">
      <w:start w:val="3"/>
      <w:numFmt w:val="decimal"/>
      <w:lvlText w:val="%1."/>
      <w:lvlJc w:val="start"/>
      <w:pPr>
        <w:tabs>
          <w:tab w:val="num" w:pos="1440"/>
        </w:tabs>
        <w:ind w:start="1440" w:hanging="720"/>
      </w:pPr>
      <w:rPr>
        <w:u w:val="none"/>
      </w:rPr>
    </w:lvl>
  </w:abstractNum>
  <w:abstractNum w:abstractNumId="6">
    <w:lvl w:ilvl="0">
      <w:start w:val="6"/>
      <w:numFmt w:val="decimal"/>
      <w:lvlText w:val="%1."/>
      <w:lvlJc w:val="start"/>
      <w:pPr>
        <w:tabs>
          <w:tab w:val="num" w:pos="1440"/>
        </w:tabs>
        <w:ind w:start="1440" w:hanging="7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2160" w:end="0"/>
      <w:outlineLvl w:val="1"/>
    </w:pPr>
    <w:rPr>
      <w:b/>
      <w:bCs/>
    </w:rPr>
  </w:style>
  <w:style w:type="character" w:styleId="WW8Num1z0">
    <w:name w:val="WW8Num1z0"/>
    <w:qFormat/>
    <w:rPr>
      <w:u w:val="none"/>
    </w:rPr>
  </w:style>
  <w:style w:type="character" w:styleId="WW8Num2z0">
    <w:name w:val="WW8Num2z0"/>
    <w:qFormat/>
    <w:rPr>
      <w:b/>
    </w:rPr>
  </w:style>
  <w:style w:type="character" w:styleId="WW8Num3z0">
    <w:name w:val="WW8Num3z0"/>
    <w:qFormat/>
    <w:rPr/>
  </w:style>
  <w:style w:type="character" w:styleId="WW8Num4z0">
    <w:name w:val="WW8Num4z0"/>
    <w:qFormat/>
    <w:rPr>
      <w:u w:val="none"/>
    </w:rPr>
  </w:style>
  <w:style w:type="character" w:styleId="WW8Num5z0">
    <w:name w:val="WW8Num5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2001-04-19T09:07:00Z</dcterms:created>
  <dc:creator>wus</dc:creator>
  <dc:description/>
  <dc:language>en-CA</dc:language>
  <cp:lastModifiedBy>ChanP</cp:lastModifiedBy>
  <cp:lastPrinted>2001-02-26T16:06:00Z</cp:lastPrinted>
  <dcterms:modified xsi:type="dcterms:W3CDTF">2001-04-19T09:07:00Z</dcterms:modified>
  <cp:revision>2</cp:revision>
  <dc:subject/>
  <dc:title/>
</cp:coreProperties>
</file>