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 COMPRESSION SERVICES COMPANY</w:t>
      </w:r>
    </w:p>
    <w:p>
      <w:pPr>
        <w:pStyle w:val="Normal"/>
        <w:jc w:val="both"/>
        <w:rPr>
          <w:b/>
          <w:sz w:val="22"/>
        </w:rPr>
      </w:pPr>
      <w:r>
        <w:rPr>
          <w:b/>
          <w:sz w:val="22"/>
        </w:rPr>
      </w:r>
    </w:p>
    <w:p>
      <w:pPr>
        <w:pStyle w:val="Normal"/>
        <w:jc w:val="both"/>
        <w:rPr>
          <w:b/>
          <w:sz w:val="22"/>
        </w:rPr>
      </w:pPr>
      <w:r>
        <w:rPr>
          <w:b/>
          <w:sz w:val="22"/>
        </w:rPr>
      </w:r>
    </w:p>
    <w:p>
      <w:pPr>
        <w:pStyle w:val="BodyText"/>
        <w:rPr/>
      </w:pPr>
      <w:r>
        <w:rPr/>
        <w:t>THIS AGREEMENT, dated as of the _____ day of ___________ 2000, by and between CONTINENTAL DIVIDE ELECTRIC COOPERATIVE, INC. (“Seller”), a cooperative corporation organized and existing under the New Mexico Rural Electric Cooperative Act, and ENRON COMPRESSION SERVICES COMPANY (“Consumer”), a corporation organized and existing under the laws of the State of Delaware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sz w:val="22"/>
        </w:rPr>
      </w:pPr>
      <w:r>
        <w:rPr>
          <w:sz w:val="22"/>
        </w:rPr>
        <w:t>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Plains has conditioned its service to the Seller upon certain terms, conditions and requirements.  Plains has proposed to merge into Tri-State Generation and Transmission Cooperative, Inc. (the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r>
        <w:rPr/>
        <w:t>DESIGN, CONSTRUCTION, AND EXPENSE OF FACILITIES</w:t>
      </w:r>
    </w:p>
    <w:p>
      <w:pPr>
        <w:pStyle w:val="Normal"/>
        <w:jc w:val="both"/>
        <w:rPr>
          <w:sz w:val="22"/>
        </w:rPr>
      </w:pPr>
      <w:r>
        <w:rPr>
          <w:sz w:val="22"/>
        </w:rPr>
      </w:r>
    </w:p>
    <w:p>
      <w:pPr>
        <w:pStyle w:val="Normal"/>
        <w:ind w:hanging="720" w:start="720" w:end="0"/>
        <w:jc w:val="both"/>
        <w:rPr>
          <w:sz w:val="22"/>
        </w:rPr>
      </w:pPr>
      <w:r>
        <w:rPr>
          <w:sz w:val="22"/>
        </w:rPr>
        <w:t>1.0</w:t>
        <w:tab/>
        <w:t>Consumer shall design, construct, and install at its cost and expense the following:</w:t>
      </w:r>
    </w:p>
    <w:p>
      <w:pPr>
        <w:pStyle w:val="Normal"/>
        <w:ind w:hanging="720" w:start="720" w:end="0"/>
        <w:jc w:val="both"/>
        <w:rPr>
          <w:sz w:val="22"/>
        </w:rPr>
      </w:pPr>
      <w:r>
        <w:rPr>
          <w:sz w:val="22"/>
        </w:rPr>
      </w:r>
    </w:p>
    <w:p>
      <w:pPr>
        <w:pStyle w:val="Normal"/>
        <w:ind w:hanging="720" w:start="1440" w:end="0"/>
        <w:jc w:val="both"/>
        <w:rPr/>
      </w:pPr>
      <w:r>
        <w:rPr>
          <w:sz w:val="22"/>
        </w:rPr>
        <w:t>1.0.1</w:t>
        <w:tab/>
      </w:r>
      <w:r>
        <w:rPr>
          <w:sz w:val="22"/>
          <w:u w:val="single"/>
        </w:rPr>
        <w:t>Transmission</w:t>
      </w:r>
      <w:r>
        <w:rPr>
          <w:sz w:val="22"/>
        </w:rPr>
        <w:t>.  A ______ kV transmission line and related facilities required to deliver electrical power from the Seller's system to the Point of Delivery (“Transmission Line”).  The rights-of-way(s) supporting the siting, operation, and maintenance of the Transmission Line shall be in a form acceptable to Plains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Service.</w:t>
      </w:r>
    </w:p>
    <w:p>
      <w:pPr>
        <w:pStyle w:val="Normal"/>
        <w:ind w:hanging="720" w:start="1440" w:end="0"/>
        <w:jc w:val="both"/>
        <w:rPr>
          <w:sz w:val="22"/>
          <w:u w:val="single"/>
        </w:rPr>
      </w:pPr>
      <w:r>
        <w:rPr>
          <w:sz w:val="22"/>
          <w:u w:val="single"/>
        </w:rPr>
      </w:r>
    </w:p>
    <w:p>
      <w:pPr>
        <w:pStyle w:val="Normal"/>
        <w:ind w:hanging="720" w:start="1440" w:end="0"/>
        <w:jc w:val="both"/>
        <w:rPr/>
      </w:pPr>
      <w:r>
        <w:rPr>
          <w:sz w:val="22"/>
        </w:rPr>
        <w:t>1.0.2</w:t>
        <w:tab/>
      </w:r>
      <w:r>
        <w:rPr>
          <w:sz w:val="22"/>
          <w:u w:val="single"/>
        </w:rPr>
        <w:t>Substation</w:t>
      </w:r>
      <w:r>
        <w:rPr>
          <w:sz w:val="22"/>
        </w:rPr>
        <w:t>.  A 115kV step-down substation and other facilities required for receiving electric power and energy beyond the Point of Delivery (hereafter defined) (the “Substation”).</w:t>
      </w:r>
    </w:p>
    <w:p>
      <w:pPr>
        <w:pStyle w:val="Normal"/>
        <w:ind w:hanging="720" w:start="1440" w:end="0"/>
        <w:jc w:val="both"/>
        <w:rPr>
          <w:sz w:val="22"/>
          <w:u w:val="single"/>
        </w:rPr>
      </w:pPr>
      <w:r>
        <w:rPr>
          <w:sz w:val="22"/>
          <w:u w:val="single"/>
        </w:rPr>
      </w:r>
    </w:p>
    <w:p>
      <w:pPr>
        <w:pStyle w:val="Normal"/>
        <w:ind w:hanging="720" w:start="1440" w:end="0"/>
        <w:jc w:val="both"/>
        <w:rPr/>
      </w:pPr>
      <w:r>
        <w:rPr>
          <w:sz w:val="22"/>
        </w:rPr>
        <w:t>1.0.3</w:t>
        <w:tab/>
      </w:r>
      <w:r>
        <w:rPr>
          <w:sz w:val="22"/>
          <w:u w:val="single"/>
        </w:rPr>
        <w:t>Meter</w:t>
      </w:r>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p>
    <w:p>
      <w:pPr>
        <w:pStyle w:val="Normal"/>
        <w:ind w:hanging="720" w:start="1440" w:end="0"/>
        <w:jc w:val="both"/>
        <w:rPr>
          <w:sz w:val="22"/>
        </w:rPr>
      </w:pPr>
      <w:r>
        <w:rPr>
          <w:sz w:val="22"/>
        </w:rPr>
      </w:r>
    </w:p>
    <w:p>
      <w:pPr>
        <w:pStyle w:val="Normal"/>
        <w:ind w:start="720" w:end="0"/>
        <w:jc w:val="both"/>
        <w:rPr>
          <w:sz w:val="22"/>
        </w:rPr>
      </w:pPr>
      <w:r>
        <w:rPr>
          <w:sz w:val="22"/>
        </w:rPr>
        <w:t xml:space="preserve">The Transmission Line, Substation, and Meter shall be designed and constructed by Consumer in accordance with the specifications previously provided by Plains to Enron Engineering &amp; Construction Company. </w:t>
      </w:r>
    </w:p>
    <w:p>
      <w:pPr>
        <w:pStyle w:val="Normal"/>
        <w:jc w:val="both"/>
        <w:rPr>
          <w:sz w:val="22"/>
        </w:rPr>
      </w:pPr>
      <w:r>
        <w:rPr>
          <w:sz w:val="22"/>
        </w:rPr>
      </w:r>
    </w:p>
    <w:p>
      <w:pPr>
        <w:pStyle w:val="Normal"/>
        <w:ind w:hanging="720" w:start="720" w:end="0"/>
        <w:jc w:val="both"/>
        <w:rPr>
          <w:sz w:val="22"/>
        </w:rPr>
      </w:pPr>
      <w:r>
        <w:rPr>
          <w:sz w:val="22"/>
        </w:rPr>
        <w:t>1.1</w:t>
        <w:tab/>
        <w:t>All communications equipment required for Seller and Plains to provide the electric power service in accordance with this Agreement (the "Communication Equipment") shall be design, constructed, and installed by Plains.</w:t>
      </w:r>
    </w:p>
    <w:p>
      <w:pPr>
        <w:pStyle w:val="Normal"/>
        <w:ind w:hanging="720" w:start="720" w:end="0"/>
        <w:jc w:val="both"/>
        <w:rPr>
          <w:sz w:val="22"/>
        </w:rPr>
      </w:pPr>
      <w:r>
        <w:rPr>
          <w:sz w:val="22"/>
        </w:rPr>
      </w:r>
    </w:p>
    <w:p>
      <w:pPr>
        <w:pStyle w:val="Normal"/>
        <w:ind w:hanging="720" w:start="720" w:end="0"/>
        <w:jc w:val="both"/>
        <w:rPr>
          <w:sz w:val="22"/>
        </w:rPr>
      </w:pPr>
      <w:r>
        <w:rPr>
          <w:sz w:val="22"/>
        </w:rPr>
        <w:t>1.2</w:t>
        <w:tab/>
        <w:t>The "Point of Delivery" will be located at Consumer’s substation on the high side of the substation transformer situated within Section 8, township 15N, Range 17W, N.M.P.M., McKinley County, New Mexico, and is expected to be in service on or about May 1, 2000.</w:t>
      </w:r>
    </w:p>
    <w:p>
      <w:pPr>
        <w:pStyle w:val="Normal"/>
        <w:ind w:hanging="720" w:start="720" w:end="0"/>
        <w:jc w:val="both"/>
        <w:rPr>
          <w:sz w:val="22"/>
        </w:rPr>
      </w:pPr>
      <w:r>
        <w:rPr>
          <w:sz w:val="22"/>
        </w:rPr>
      </w:r>
    </w:p>
    <w:p>
      <w:pPr>
        <w:pStyle w:val="Normal"/>
        <w:ind w:hanging="720" w:start="720" w:end="0"/>
        <w:jc w:val="both"/>
        <w:rPr>
          <w:sz w:val="22"/>
        </w:rPr>
      </w:pPr>
      <w:r>
        <w:rPr>
          <w:sz w:val="22"/>
        </w:rPr>
        <w:t>1.3</w:t>
        <w:tab/>
        <w:t>With respect to the Transmission Line and the Meter,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p>
    <w:p>
      <w:pPr>
        <w:pStyle w:val="Normal"/>
        <w:ind w:hanging="720" w:start="720" w:end="0"/>
        <w:jc w:val="both"/>
        <w:rPr>
          <w:sz w:val="22"/>
        </w:rPr>
      </w:pPr>
      <w:r>
        <w:rPr>
          <w:sz w:val="22"/>
        </w:rPr>
      </w:r>
    </w:p>
    <w:p>
      <w:pPr>
        <w:pStyle w:val="Normal"/>
        <w:ind w:hanging="720" w:start="720" w:end="0"/>
        <w:jc w:val="both"/>
        <w:rPr>
          <w:sz w:val="22"/>
        </w:rPr>
      </w:pPr>
      <w:r>
        <w:rPr>
          <w:sz w:val="22"/>
        </w:rPr>
        <w:t>1.4</w:t>
        <w:tab/>
        <w:t xml:space="preserve">To provide Consumer with the opportunity to avoid Seller's and Tri-State's coincident peak in accordance with Section 6.7 of this Agreement, Seller shall work in good faith with Consumer with access or cause Tri-State to work in good faith with Consumer with access to Seller's and Tri-State's best available information concerning generation or transmission load projections during the month on Seller's or Tri-State's system as such information is available through the internet or other means.  Seller shall use due diligence to provide such access by the Date of Initial Service. </w:t>
      </w:r>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sz w:val="22"/>
          <w:u w:val="single"/>
        </w:rPr>
      </w:pPr>
      <w:r>
        <w:rPr>
          <w:sz w:val="22"/>
          <w:u w:val="single"/>
        </w:rPr>
        <w:t>OWNERSHIP, OPERATION AND MAINTENANCE OF FACILITIES</w:t>
      </w:r>
    </w:p>
    <w:p>
      <w:pPr>
        <w:pStyle w:val="Normal"/>
        <w:ind w:hanging="720" w:start="720" w:end="0"/>
        <w:jc w:val="both"/>
        <w:rPr>
          <w:sz w:val="22"/>
          <w:u w:val="single"/>
        </w:rPr>
      </w:pPr>
      <w:r>
        <w:rPr>
          <w:sz w:val="22"/>
          <w:u w:val="single"/>
        </w:rPr>
      </w:r>
    </w:p>
    <w:p>
      <w:pPr>
        <w:pStyle w:val="Normal"/>
        <w:ind w:hanging="720" w:start="720" w:end="0"/>
        <w:jc w:val="both"/>
        <w:rPr>
          <w:sz w:val="22"/>
        </w:rPr>
      </w:pPr>
      <w:r>
        <w:rPr>
          <w:sz w:val="22"/>
        </w:rPr>
        <w:t>2.0</w:t>
        <w:tab/>
        <w:t>Plains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p>
    <w:p>
      <w:pPr>
        <w:pStyle w:val="Normal"/>
        <w:ind w:hanging="720" w:start="720" w:end="0"/>
        <w:jc w:val="both"/>
        <w:rPr>
          <w:sz w:val="22"/>
        </w:rPr>
      </w:pPr>
      <w:r>
        <w:rPr>
          <w:sz w:val="22"/>
        </w:rPr>
      </w:r>
    </w:p>
    <w:p>
      <w:pPr>
        <w:pStyle w:val="Normal"/>
        <w:ind w:hanging="720" w:start="720" w:end="0"/>
        <w:jc w:val="both"/>
        <w:rPr>
          <w:sz w:val="22"/>
        </w:rPr>
      </w:pPr>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III</w:t>
      </w:r>
    </w:p>
    <w:p>
      <w:pPr>
        <w:pStyle w:val="Normal"/>
        <w:ind w:hanging="720" w:start="720" w:end="0"/>
        <w:jc w:val="center"/>
        <w:rPr>
          <w:sz w:val="22"/>
        </w:rPr>
      </w:pPr>
      <w:r>
        <w:rPr>
          <w:sz w:val="22"/>
        </w:rPr>
      </w:r>
    </w:p>
    <w:p>
      <w:pPr>
        <w:pStyle w:val="Heading2"/>
        <w:rPr/>
      </w:pPr>
      <w:r>
        <w:rPr/>
        <w:t>SERVICE TO BE PROVIDED</w:t>
      </w:r>
    </w:p>
    <w:p>
      <w:pPr>
        <w:pStyle w:val="Normal"/>
        <w:ind w:hanging="720" w:start="720" w:end="0"/>
        <w:jc w:val="both"/>
        <w:rPr>
          <w:sz w:val="22"/>
        </w:rPr>
      </w:pPr>
      <w:r>
        <w:rPr>
          <w:sz w:val="22"/>
        </w:rPr>
      </w:r>
    </w:p>
    <w:p>
      <w:pPr>
        <w:pStyle w:val="BodyTextIndent"/>
        <w:rPr/>
      </w:pPr>
      <w:r>
        <w:rPr/>
        <w:t>3.0</w:t>
        <w:tab/>
        <w:t xml:space="preserve">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compressor electric motor driver (the "Driver") </w:t>
      </w:r>
      <w:r>
        <w:rPr>
          <w:b/>
        </w:rPr>
        <w:t>[to the extent that Seller shall have such power and energy and facilities available] Where is this language in the tariffs?</w:t>
      </w:r>
    </w:p>
    <w:p>
      <w:pPr>
        <w:pStyle w:val="BodyTextIndent"/>
        <w:rPr>
          <w:b/>
        </w:rPr>
      </w:pPr>
      <w:r>
        <w:rPr>
          <w:b/>
        </w:rPr>
      </w:r>
    </w:p>
    <w:p>
      <w:pPr>
        <w:pStyle w:val="BodyTextIndent"/>
        <w:rPr/>
      </w:pPr>
      <w:r>
        <w:rPr/>
        <w:t>3.1</w:t>
        <w:tab/>
        <w:t>All electric power and energy supplied and service rendered to the Consumer by Seller shall be delivered, rendered in accordance with the (a) until the Merger is consummated, terms and conditions of this Agreement and Rate Schedule 19 (RS#19) annexed hereto and incorporated by reference in this Agreement and (b) following the Merger, the terms and conditions of this Agreement and Rate Schedule 21 (RS#21), both Rate Schedules (the “Rate Schedules”) being subject to Article XVI, and otherwise in accordance with this Article V.  For the purposes of this Agreement, the Merger shall be deemed to be consummated upon the execution of all material closing documents required for the Merger by Tri-State and _______________.</w:t>
      </w:r>
    </w:p>
    <w:p>
      <w:pPr>
        <w:pStyle w:val="BodyTextIndent"/>
        <w:rPr>
          <w:b/>
        </w:rPr>
      </w:pPr>
      <w:r>
        <w:rPr>
          <w:b/>
        </w:rPr>
      </w:r>
    </w:p>
    <w:p>
      <w:pPr>
        <w:pStyle w:val="Normal"/>
        <w:ind w:hanging="720" w:start="720" w:end="0"/>
        <w:jc w:val="both"/>
        <w:rPr>
          <w:sz w:val="22"/>
        </w:rPr>
      </w:pPr>
      <w:r>
        <w:rPr>
          <w:sz w:val="22"/>
        </w:rPr>
        <w:t>3.2</w:t>
        <w:tab/>
        <w:t>The "Date of Initial Service" under this Agreement shall be the commencement of the billing period immediately following approval of the Agreement pursuant to Section 16.1 and the written notification by Consumer to Seller 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sz w:val="22"/>
        </w:rPr>
      </w:pPr>
      <w:r>
        <w:rPr>
          <w:sz w:val="22"/>
        </w:rPr>
        <w:t>3.3</w:t>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ARTICLE IV</w:t>
      </w:r>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r>
        <w:rPr/>
        <w:t>4.0</w:t>
        <w:tab/>
        <w:t>This Agreement, and any amendments, shall become effective upon approvals pursuant to Article XVI and shall remain in full force and effect for a period of three (3) years from the Date of Initial Service referred to in Section 3.1 (the "Primary Term"),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Upon expiration of the Primary Term, at Consumer's sole option, this Agreement may be extended by year to year thereafter upon 30 days prior written notice by Consumer to Seller prior to the expiration of the Primary Term or any subsequent year  thereafter, up to a total Term of ten (10) years from the date of initial service.  Termination shall not affect Consumer’s obligation to pay the Minimum Monthly Bill provided for in Article VI during the period before which the notice becomes effective.  In the event of discontinuance of service by the Consumer within or outside of the Primary Term but without the required notice or a suspension of service or termination of the Agreement by the Seller pursuant to Article IX or Section 12.1,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V</w:t>
      </w:r>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ind w:hanging="0" w:end="0"/>
        <w:rPr/>
      </w:pPr>
      <w:r>
        <w:rPr/>
        <w:t>5.0</w:t>
        <w:tab/>
        <w:t xml:space="preserve">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available.  Seller acknowledges that the Consumer designed the Transmission Line, Substation, and the Meter in accordance with the specifications provided by Plains’ to Enron Engineering &amp; Construction Company and that agrees that such specifications meet all the requirements set forth in this Section 4.0.  Construction and installation will be verified by testing procedures prior to commercial operation of the Transmission Line, Substation and the Meter. </w:t>
      </w:r>
    </w:p>
    <w:p>
      <w:pPr>
        <w:pStyle w:val="Normal"/>
        <w:ind w:hanging="720" w:start="720" w:end="0"/>
        <w:jc w:val="both"/>
        <w:rPr>
          <w:sz w:val="22"/>
        </w:rPr>
      </w:pPr>
      <w:r>
        <w:rPr>
          <w:sz w:val="22"/>
        </w:rPr>
      </w:r>
    </w:p>
    <w:p>
      <w:pPr>
        <w:pStyle w:val="Normal"/>
        <w:ind w:hanging="720" w:start="720" w:end="0"/>
        <w:jc w:val="both"/>
        <w:rPr>
          <w:sz w:val="22"/>
        </w:rPr>
      </w:pPr>
      <w:r>
        <w:rPr>
          <w:sz w:val="22"/>
        </w:rPr>
        <w:t>5.1</w:t>
        <w:tab/>
        <w:t>Without prior consent of Plains and Seller,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sz w:val="22"/>
        </w:rPr>
      </w:pPr>
      <w:r>
        <w:rPr>
          <w:sz w:val="22"/>
        </w:rPr>
        <w:t>5.2</w:t>
        <w:tab/>
        <w:t>In accordance with the terms and conditions of this Agreement, Seller shall be Consumer’s sole source of electricity.</w:t>
      </w:r>
    </w:p>
    <w:p>
      <w:pPr>
        <w:pStyle w:val="Normal"/>
        <w:ind w:hanging="720" w:start="720" w:end="0"/>
        <w:jc w:val="both"/>
        <w:rPr>
          <w:sz w:val="22"/>
        </w:rPr>
      </w:pPr>
      <w:r>
        <w:rPr>
          <w:sz w:val="22"/>
        </w:rPr>
      </w:r>
    </w:p>
    <w:p>
      <w:pPr>
        <w:pStyle w:val="Normal"/>
        <w:ind w:hanging="720" w:start="720" w:end="0"/>
        <w:jc w:val="both"/>
        <w:rPr>
          <w:sz w:val="22"/>
        </w:rPr>
      </w:pPr>
      <w:r>
        <w:rPr>
          <w:sz w:val="22"/>
        </w:rPr>
        <w:t>5.3</w:t>
        <w:tab/>
        <w:t>The Consumer shall not resell or permit others to use the electric power 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VI</w:t>
      </w:r>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r>
        <w:rPr/>
        <w:t>6.0</w:t>
        <w:tab/>
        <w:t xml:space="preserve">All electric power and energy supplied and service rendered to the Consumer by Seller shall be delivered, rendered and paid for in accordance with the (a) until the Merger is consummated, Rate Schedule 19 (RS#19) annexed hereto and incorporated by reference in this Agreement and (b) following the Merger, Rate Schedule 21 (RS#21), both Rate Schedules (the “Rate Schedules”) being subject to Article XVI, and otherwise in accordance with this Article V.  </w:t>
      </w:r>
    </w:p>
    <w:p>
      <w:pPr>
        <w:pStyle w:val="Normal"/>
        <w:ind w:hanging="720" w:start="720" w:end="0"/>
        <w:jc w:val="both"/>
        <w:rPr>
          <w:sz w:val="22"/>
        </w:rPr>
      </w:pPr>
      <w:r>
        <w:rPr>
          <w:sz w:val="22"/>
        </w:rPr>
      </w:r>
    </w:p>
    <w:p>
      <w:pPr>
        <w:pStyle w:val="Normal"/>
        <w:ind w:hanging="720" w:start="720" w:end="0"/>
        <w:jc w:val="both"/>
        <w:rPr>
          <w:sz w:val="22"/>
        </w:rPr>
      </w:pPr>
      <w:r>
        <w:rPr>
          <w:sz w:val="22"/>
        </w:rPr>
        <w:t>6.1</w:t>
        <w:tab/>
        <w:t>From and after the Date of Initial Service, the "Contract Demand"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sz w:val="22"/>
        </w:rPr>
      </w:pPr>
      <w:r>
        <w:rPr>
          <w:sz w:val="22"/>
        </w:rPr>
        <w:t>6.2</w:t>
        <w:tab/>
        <w:t>The Minimum Monthly Billing Demand charges shall be the greater of the actual demand or the demand charges specified in the applicable Rate Schedule, as the same may be revised by the Parties or pursuant to this Article V and Article XVI.</w:t>
      </w:r>
    </w:p>
    <w:p>
      <w:pPr>
        <w:pStyle w:val="Normal"/>
        <w:ind w:hanging="720" w:start="720" w:end="0"/>
        <w:jc w:val="both"/>
        <w:rPr>
          <w:sz w:val="22"/>
        </w:rPr>
      </w:pPr>
      <w:r>
        <w:rPr>
          <w:sz w:val="22"/>
        </w:rPr>
      </w:r>
    </w:p>
    <w:p>
      <w:pPr>
        <w:pStyle w:val="Normal"/>
        <w:ind w:hanging="720" w:start="720" w:end="0"/>
        <w:jc w:val="both"/>
        <w:rPr>
          <w:sz w:val="22"/>
        </w:rPr>
      </w:pPr>
      <w:r>
        <w:rPr>
          <w:sz w:val="22"/>
        </w:rPr>
        <w:t>6.3</w:t>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 and Article XIV.</w:t>
      </w:r>
    </w:p>
    <w:p>
      <w:pPr>
        <w:pStyle w:val="Normal"/>
        <w:ind w:hanging="720" w:start="720" w:end="0"/>
        <w:jc w:val="both"/>
        <w:rPr>
          <w:sz w:val="22"/>
        </w:rPr>
      </w:pPr>
      <w:r>
        <w:rPr>
          <w:sz w:val="22"/>
        </w:rPr>
      </w:r>
    </w:p>
    <w:p>
      <w:pPr>
        <w:pStyle w:val="Normal"/>
        <w:ind w:hanging="720" w:start="720" w:end="0"/>
        <w:jc w:val="both"/>
        <w:rPr>
          <w:sz w:val="22"/>
        </w:rPr>
      </w:pPr>
      <w:r>
        <w:rPr>
          <w:sz w:val="22"/>
        </w:rPr>
        <w:t>6.4</w:t>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b/>
          <w:sz w:val="22"/>
        </w:rPr>
      </w:pPr>
      <w:r>
        <w:rPr>
          <w:sz w:val="22"/>
        </w:rPr>
        <w:t>6.5</w:t>
        <w:tab/>
        <w:t xml:space="preserve">Subject to the provisions of NMPRC Rule 540 as amended or supplemented from time to time, the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rates. </w:t>
      </w:r>
    </w:p>
    <w:p>
      <w:pPr>
        <w:pStyle w:val="Normal"/>
        <w:ind w:hanging="720" w:start="720" w:end="0"/>
        <w:jc w:val="both"/>
        <w:rPr>
          <w:b/>
          <w:sz w:val="22"/>
        </w:rPr>
      </w:pPr>
      <w:r>
        <w:rPr>
          <w:b/>
          <w:sz w:val="22"/>
        </w:rPr>
      </w:r>
    </w:p>
    <w:p>
      <w:pPr>
        <w:pStyle w:val="Normal"/>
        <w:ind w:hanging="720" w:start="720" w:end="0"/>
        <w:jc w:val="both"/>
        <w:rPr>
          <w:sz w:val="22"/>
        </w:rPr>
      </w:pPr>
      <w:r>
        <w:rPr>
          <w:sz w:val="22"/>
        </w:rPr>
        <w:t>6.6</w:t>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sz w:val="22"/>
        </w:rPr>
      </w:pPr>
      <w:r>
        <w:rPr>
          <w:sz w:val="22"/>
        </w:rPr>
        <w:t>6.7</w:t>
        <w:tab/>
        <w:t>Seller agrees that the Demand Charges as set forth in the Monthly Rate Section of Rate Schedule 21 (RS#21) are avoidable by Consumer, if Consumer operates the Driver such that the Driver does not consume electric power during the coincident peak for the month on the Seller's or Plains’ systems, as applicable.  If the Consumer does not consume electric power during Seller's or Plains’ coincident peak during any billing period, such Demand Charges shall not be billed to Consumer for such billing period, to the extent the Seller is not charged by its supplier with respect to such demand charges.</w:t>
      </w:r>
    </w:p>
    <w:p>
      <w:pPr>
        <w:pStyle w:val="Normal"/>
        <w:ind w:hanging="720" w:start="720" w:end="0"/>
        <w:jc w:val="both"/>
        <w:rPr>
          <w:sz w:val="22"/>
        </w:rPr>
      </w:pPr>
      <w:r>
        <w:rPr>
          <w:sz w:val="22"/>
        </w:rPr>
      </w:r>
    </w:p>
    <w:p>
      <w:pPr>
        <w:pStyle w:val="Normal"/>
        <w:ind w:hanging="720" w:start="720" w:end="0"/>
        <w:jc w:val="both"/>
        <w:rPr>
          <w:sz w:val="22"/>
        </w:rPr>
      </w:pPr>
      <w:r>
        <w:rPr>
          <w:sz w:val="22"/>
        </w:rPr>
        <w:t>6.8</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for the remainder of the term of this Agreement,so long as Seller’s $.002/kWh margin remains the same.  Such substitution shall be at no cost to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r>
        <w:rPr/>
        <w:t>7.0</w:t>
        <w:tab/>
        <w:t xml:space="preserve">The billing period for transactions hereunder shall be a calendar month unless the Parties shall specify a different period.  </w:t>
      </w:r>
    </w:p>
    <w:p>
      <w:pPr>
        <w:pStyle w:val="Normal"/>
        <w:ind w:hanging="720" w:start="720" w:end="0"/>
        <w:jc w:val="both"/>
        <w:rPr>
          <w:sz w:val="22"/>
        </w:rPr>
      </w:pPr>
      <w:r>
        <w:rPr>
          <w:sz w:val="22"/>
        </w:rPr>
      </w:r>
    </w:p>
    <w:p>
      <w:pPr>
        <w:pStyle w:val="Normal"/>
        <w:ind w:hanging="720" w:start="720" w:end="0"/>
        <w:jc w:val="both"/>
        <w:rPr>
          <w:sz w:val="22"/>
        </w:rPr>
      </w:pPr>
      <w:r>
        <w:rPr>
          <w:sz w:val="22"/>
        </w:rPr>
        <w:t>7.1</w:t>
        <w:tab/>
        <w:t>Bills for amounts payable for any billing period shall be rendered within fifteen (15) days after the end of the billing period and shall be paid within thirty (30) days after the end of such billing period.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PO Box 1087,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sz w:val="22"/>
        </w:rPr>
      </w:pPr>
      <w:r>
        <w:rPr>
          <w:sz w:val="22"/>
        </w:rPr>
        <w:t>7.2</w:t>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VIII</w:t>
      </w:r>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r>
        <w:rPr/>
        <w:t>8.0</w:t>
        <w:tab/>
        <w:t>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Seller or Plains shall provide Consumer with at least twenty-four (24) hours advance notice of such official inspections and tests.   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in the next monthly bill rendered and such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IX</w:t>
      </w:r>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pPr>
      <w:r>
        <w:rPr/>
        <w:t>9.0</w:t>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 until that default is remedied.  Seller shall provide Consumer written notice of such suspension as soon as is reasonably practical.</w:t>
      </w:r>
    </w:p>
    <w:p>
      <w:pPr>
        <w:pStyle w:val="Normal"/>
        <w:ind w:hanging="720" w:start="720" w:end="0"/>
        <w:jc w:val="both"/>
        <w:rPr>
          <w:sz w:val="22"/>
        </w:rPr>
      </w:pPr>
      <w:r>
        <w:rPr>
          <w:sz w:val="22"/>
        </w:rPr>
        <w:t xml:space="preserve"> </w:t>
      </w:r>
    </w:p>
    <w:p>
      <w:pPr>
        <w:pStyle w:val="Normal"/>
        <w:ind w:hanging="720" w:start="720" w:end="0"/>
        <w:jc w:val="both"/>
        <w:rPr>
          <w:sz w:val="22"/>
        </w:rPr>
      </w:pPr>
      <w:r>
        <w:rPr>
          <w:sz w:val="22"/>
        </w:rPr>
        <w:t>9.1</w:t>
        <w:tab/>
        <w:t>Should the Consumer at any time be in default in the payment of sums due or in the performance of any of its other obligations under this Agreement and should such default continue for thirty (30)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rPr>
      </w:pPr>
      <w:r>
        <w:rPr>
          <w:sz w:val="22"/>
        </w:rPr>
        <w:t>9.2</w:t>
        <w:tab/>
        <w:t>Should the Seller at any time be in default in the performance of any of its obligations under this Agreement and should such default continue for ten (10) days after written notice from the Seller specifying the default and demanding that the same be remedied, then the Consumer may, at its election, (i) notwithstanding Section 5.2 of this Agreement, arrange for any alternative means of electric power service available to Consumer under</w:t>
      </w:r>
      <w:r>
        <w:rPr>
          <w:sz w:val="24"/>
        </w:rPr>
        <w:t xml:space="preserve"> </w:t>
      </w:r>
      <w:r>
        <w:rPr>
          <w:sz w:val="22"/>
        </w:rPr>
        <w:t>the then existing electrical industry standards and regulatory structure and Seller shall cooperate with Consumer in such arrangement of alternative service, (ii) elect rights of continuation in accordance with RS#19, and/or (iii) terminate this Agreement.</w:t>
      </w:r>
    </w:p>
    <w:p>
      <w:pPr>
        <w:pStyle w:val="Normal"/>
        <w:ind w:hanging="720" w:start="720" w:end="0"/>
        <w:jc w:val="both"/>
        <w:rPr>
          <w:b/>
          <w:sz w:val="22"/>
        </w:rPr>
      </w:pPr>
      <w:r>
        <w:rPr>
          <w:b/>
          <w:sz w:val="22"/>
        </w:rPr>
      </w:r>
    </w:p>
    <w:p>
      <w:pPr>
        <w:pStyle w:val="Normal"/>
        <w:ind w:hanging="720" w:start="720" w:end="0"/>
        <w:jc w:val="both"/>
        <w:rPr>
          <w:sz w:val="22"/>
        </w:rPr>
      </w:pPr>
      <w:r>
        <w:rPr>
          <w:sz w:val="22"/>
        </w:rPr>
        <w:t>9.3</w:t>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sz w:val="22"/>
        </w:rPr>
      </w:pPr>
      <w:r>
        <w:rPr>
          <w:sz w:val="22"/>
        </w:rPr>
        <w:t>ARTICLE X</w:t>
      </w:r>
    </w:p>
    <w:p>
      <w:pPr>
        <w:pStyle w:val="Normal"/>
        <w:ind w:hanging="720" w:start="720" w:end="0"/>
        <w:jc w:val="center"/>
        <w:rPr>
          <w:sz w:val="22"/>
        </w:rPr>
      </w:pPr>
      <w:r>
        <w:rPr>
          <w:sz w:val="22"/>
        </w:rPr>
      </w:r>
    </w:p>
    <w:p>
      <w:pPr>
        <w:pStyle w:val="Heading2"/>
        <w:rPr/>
      </w:pPr>
      <w:r>
        <w:rPr/>
        <w:t>CURTAILMENT OF SERVICE</w:t>
      </w:r>
      <w:r>
        <w:rPr>
          <w:u w:val="none"/>
        </w:rPr>
        <w:t xml:space="preserve"> </w:t>
      </w:r>
    </w:p>
    <w:p>
      <w:pPr>
        <w:pStyle w:val="Normal"/>
        <w:ind w:hanging="720" w:start="720" w:end="0"/>
        <w:jc w:val="both"/>
        <w:rPr>
          <w:sz w:val="22"/>
          <w:u w:val="none"/>
        </w:rPr>
      </w:pPr>
      <w:r>
        <w:rPr>
          <w:sz w:val="22"/>
          <w:u w:val="none"/>
        </w:rPr>
      </w:r>
    </w:p>
    <w:p>
      <w:pPr>
        <w:pStyle w:val="Normal"/>
        <w:ind w:hanging="720" w:start="720" w:end="0"/>
        <w:jc w:val="both"/>
        <w:rPr>
          <w:sz w:val="22"/>
        </w:rPr>
      </w:pPr>
      <w:r>
        <w:rPr>
          <w:sz w:val="22"/>
        </w:rPr>
        <w:t>10.0</w:t>
        <w:tab/>
        <w:t xml:space="preserve">With respect to electric power service to Consumer under RS#19, in the event of mechanical failure, fuel shortage, labor shortage or other conditions which would reduce Seller’s or Plains’ capability to provide the full needs of all their respective consumers, the Seller may request the Consumer to restrict the use of electricity.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p>
    <w:p>
      <w:pPr>
        <w:pStyle w:val="Normal"/>
        <w:ind w:hanging="720" w:start="720" w:end="0"/>
        <w:jc w:val="both"/>
        <w:rPr>
          <w:sz w:val="22"/>
        </w:rPr>
      </w:pPr>
      <w:r>
        <w:rPr>
          <w:sz w:val="22"/>
        </w:rPr>
      </w:r>
    </w:p>
    <w:p>
      <w:pPr>
        <w:pStyle w:val="Normal"/>
        <w:ind w:hanging="720" w:start="720" w:end="0"/>
        <w:jc w:val="both"/>
        <w:rPr>
          <w:sz w:val="22"/>
        </w:rPr>
      </w:pPr>
      <w:r>
        <w:rPr>
          <w:sz w:val="22"/>
        </w:rPr>
        <w:t>10.1</w:t>
        <w:tab/>
        <w:t xml:space="preserve">The Seller reserves the right to curtail service,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Curtailments"), to the extent such information in reasonably available from Seller’s wholesale supplier.  Upon receipt and review of the semi-annual report by Consumer, Consumer shall promptly provide Seller with notice of whether it agrees or disagrees with the same.  Thereafter, the Parties shall endeavor in good faith to coordinate the timing of such Scheduled Curtailments in an effort to avoid unduly interfering with the business operations of either Party, to the extent Seller can control such timing. </w:t>
      </w:r>
    </w:p>
    <w:p>
      <w:pPr>
        <w:pStyle w:val="Normal"/>
        <w:ind w:hanging="720" w:start="720" w:end="0"/>
        <w:jc w:val="both"/>
        <w:rPr>
          <w:sz w:val="22"/>
        </w:rPr>
      </w:pPr>
      <w:r>
        <w:rPr>
          <w:sz w:val="22"/>
        </w:rPr>
      </w:r>
    </w:p>
    <w:p>
      <w:pPr>
        <w:pStyle w:val="Normal"/>
        <w:ind w:hanging="720" w:start="720" w:end="0"/>
        <w:jc w:val="both"/>
        <w:rPr>
          <w:sz w:val="22"/>
        </w:rPr>
      </w:pPr>
      <w:r>
        <w:rPr>
          <w:sz w:val="22"/>
        </w:rPr>
        <w:t>10.2</w:t>
        <w:tab/>
        <w: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 provided that, such load management plans and techniques shall not interfere with the business operations of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p>
    <w:p>
      <w:pPr>
        <w:pStyle w:val="Normal"/>
        <w:rPr>
          <w:sz w:val="22"/>
        </w:rPr>
      </w:pPr>
      <w:r>
        <w:rPr>
          <w:sz w:val="22"/>
        </w:rPr>
      </w:r>
    </w:p>
    <w:p>
      <w:pPr>
        <w:pStyle w:val="Heading2"/>
        <w:rPr/>
      </w:pPr>
      <w:r>
        <w:rPr/>
        <w:t>INTERRUPTION OF SERVICE</w:t>
      </w:r>
    </w:p>
    <w:p>
      <w:pPr>
        <w:pStyle w:val="Normal"/>
        <w:ind w:hanging="720" w:start="720" w:end="0"/>
        <w:jc w:val="both"/>
        <w:rPr>
          <w:sz w:val="22"/>
        </w:rPr>
      </w:pPr>
      <w:r>
        <w:rPr>
          <w:sz w:val="22"/>
        </w:rPr>
      </w:r>
    </w:p>
    <w:p>
      <w:pPr>
        <w:pStyle w:val="BodyTextIndent"/>
        <w:rPr>
          <w:b/>
        </w:rPr>
      </w:pPr>
      <w:r>
        <w:rPr/>
        <w:t>11.0</w:t>
        <w:tab/>
        <w:t>Service rendered by Seller to Consumer pursuant to RS#19 shall be interruptible, not firm, pursuant to RS#19.  Without liability to consumer, Seller may interrupt service at any and all times for any and all reason including without limitation, as Seller may chose from time to time, at its sole judgement.  Such interruptions shall be performed in accordance with the terms and conditions of RS#19.</w:t>
      </w:r>
    </w:p>
    <w:p>
      <w:pPr>
        <w:pStyle w:val="BodyTextIndent"/>
        <w:rPr>
          <w:b/>
        </w:rPr>
      </w:pPr>
      <w:r>
        <w:rPr>
          <w:b/>
        </w:rPr>
      </w:r>
    </w:p>
    <w:p>
      <w:pPr>
        <w:pStyle w:val="BodyTextIndent"/>
        <w:rPr/>
      </w:pPr>
      <w:r>
        <w:rPr/>
        <w:t>11.1</w:t>
        <w:tab/>
        <w:t>Interruption of service due to breakdown, weather or other conditions should be reported promptly by the Consumer to the Seller.  The Seller will endeavor to restore firm service within a reasonable time.</w:t>
      </w:r>
    </w:p>
    <w:p>
      <w:pPr>
        <w:pStyle w:val="BodyTextIndent"/>
        <w:rPr/>
      </w:pPr>
      <w:r>
        <w:rPr/>
      </w:r>
    </w:p>
    <w:p>
      <w:pPr>
        <w:pStyle w:val="Normal"/>
        <w:ind w:hanging="720" w:start="720" w:end="0"/>
        <w:jc w:val="both"/>
        <w:rPr>
          <w:sz w:val="22"/>
        </w:rPr>
      </w:pPr>
      <w:r>
        <w:rPr>
          <w:sz w:val="22"/>
        </w:rPr>
        <w:t>11.2</w:t>
        <w:tab/>
        <w:t xml:space="preserve">The Seller reserves the right to interrupt service under RS#19 or RS#21,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t>
      </w:r>
    </w:p>
    <w:p>
      <w:pPr>
        <w:pStyle w:val="Normal"/>
        <w:ind w:hanging="720" w:start="720" w:end="0"/>
        <w:jc w:val="both"/>
        <w:rPr>
          <w:sz w:val="22"/>
        </w:rPr>
      </w:pPr>
      <w:r>
        <w:rPr>
          <w:sz w:val="22"/>
        </w:rPr>
      </w:r>
    </w:p>
    <w:p>
      <w:pPr>
        <w:pStyle w:val="Normal"/>
        <w:ind w:hanging="720" w:start="720" w:end="0"/>
        <w:jc w:val="both"/>
        <w:rPr>
          <w:sz w:val="22"/>
        </w:rPr>
      </w:pPr>
      <w:r>
        <w:rPr>
          <w:sz w:val="22"/>
        </w:rPr>
        <w:t>11.2</w:t>
        <w:tab/>
        <w:t>Subject to the other provisions of this Agreement, the Seller shall provide a regular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XII</w:t>
      </w:r>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Normal"/>
        <w:ind w:hanging="720" w:start="720" w:end="0"/>
        <w:jc w:val="both"/>
        <w:rPr>
          <w:sz w:val="22"/>
        </w:rPr>
      </w:pPr>
      <w:r>
        <w:rPr>
          <w:sz w:val="22"/>
        </w:rPr>
        <w:t>12.0</w:t>
        <w:tab/>
        <w:t xml:space="preserve">The Consumer shall furnish prior to the Date of Initial Service and shall maintain at all times during the Term and thereafter until all amounts due the Seller are paid, a guaranty from Consumer's parent corporation capped at an amount no less than an amount which equals the two times the greater of either (a) the Minimum Monthly bill designated under Section 5.3 or (b) an amount derived for a billing period by application of the currently applicable rates under Article V to putative purchases in a quantity as if the purchases equaled the factor and a 730 hour month, plus taxes and fees pursuant to Section 6.6. </w:t>
      </w:r>
    </w:p>
    <w:p>
      <w:pPr>
        <w:pStyle w:val="Normal"/>
        <w:ind w:hanging="720" w:start="720" w:end="0"/>
        <w:jc w:val="both"/>
        <w:rPr>
          <w:sz w:val="22"/>
        </w:rPr>
      </w:pPr>
      <w:r>
        <w:rPr>
          <w:sz w:val="22"/>
        </w:rPr>
      </w:r>
    </w:p>
    <w:p>
      <w:pPr>
        <w:pStyle w:val="Normal"/>
        <w:ind w:hanging="720" w:start="720" w:end="0"/>
        <w:jc w:val="both"/>
        <w:rPr>
          <w:sz w:val="22"/>
        </w:rPr>
      </w:pPr>
      <w:r>
        <w:rPr>
          <w:sz w:val="22"/>
        </w:rPr>
        <w:t>12.1</w:t>
        <w:tab/>
        <w:t>The Consumer agrees to install and maintain in a thoroughly safe and efficient manner, and in accordance with good electrical practice and all applicable regulations, all of its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parts shall be put back in safe condition, or shall have been replaced or disconnected.  The Seller shall give Consumer thirty (30) days prior written notice of its intention to discontinue service to Consumer on account of any such claimed interference and where practical, suitable time for repair or replacement of such interfering part.  Suspension shall not relieve the Consumer of its other obligations hereunder.  Seller does not assume the duty of inspecting Consumer’s lines, wiring, apparatus, machinery or appliances, or any part thereof, and shall not be responsible to consumer therefor. The Seller agrees to install and maintain in a thoroughly safe and efficient manner, and in accordance with good electrical practice and all applicable regulations, all of its lines, wiring, apparatus, machinery and appliances connected to Consumer's facilities.</w:t>
      </w:r>
    </w:p>
    <w:p>
      <w:pPr>
        <w:pStyle w:val="Normal"/>
        <w:ind w:hanging="720" w:start="720" w:end="0"/>
        <w:jc w:val="both"/>
        <w:rPr>
          <w:sz w:val="22"/>
        </w:rPr>
      </w:pPr>
      <w:r>
        <w:rPr>
          <w:sz w:val="22"/>
        </w:rPr>
      </w:r>
    </w:p>
    <w:p>
      <w:pPr>
        <w:pStyle w:val="Normal"/>
        <w:ind w:hanging="720" w:start="720" w:end="0"/>
        <w:jc w:val="both"/>
        <w:rPr>
          <w:sz w:val="22"/>
        </w:rPr>
      </w:pPr>
      <w:r>
        <w:rPr>
          <w:sz w:val="22"/>
        </w:rPr>
        <w:t>12.2</w:t>
        <w:tab/>
        <w:t xml:space="preserve">The Consumer assumes all responsibility for the electric power and energy delivered hereunder after it leaves the Seller's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Seller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 </w:t>
      </w:r>
    </w:p>
    <w:p>
      <w:pPr>
        <w:pStyle w:val="Normal"/>
        <w:ind w:hanging="720" w:start="720" w:end="0"/>
        <w:jc w:val="both"/>
        <w:rPr>
          <w:sz w:val="22"/>
        </w:rPr>
      </w:pPr>
      <w:r>
        <w:rPr>
          <w:sz w:val="22"/>
        </w:rPr>
      </w:r>
    </w:p>
    <w:p>
      <w:pPr>
        <w:pStyle w:val="Normal"/>
        <w:ind w:hanging="720" w:start="720" w:end="0"/>
        <w:jc w:val="both"/>
        <w:rPr>
          <w:sz w:val="22"/>
        </w:rPr>
      </w:pPr>
      <w:r>
        <w:rPr>
          <w:sz w:val="22"/>
        </w:rPr>
        <w:t>12.3</w:t>
        <w:tab/>
        <w:t>The Seller assumes all responsibility for the electric power and energy delivered hereunder before it leaves the Seller's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XIII</w:t>
      </w:r>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sz w:val="22"/>
        </w:rPr>
      </w:pPr>
      <w:r>
        <w:rPr>
          <w:sz w:val="22"/>
        </w:rPr>
        <w:t>13.0</w:t>
        <w:tab/>
        <w:t>Neither Party herein shall be considered to be in default in respect to any obligation hereunder, other than the obligations of the Consumer to make payments of amounts due Seller under this Agreement, if failure of performance shall be due to uncontrollable forces, the term “uncontrollable forces”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In the event of occurrence of Uncontrollable Forces, the Party affect shall give the other Party notice and full particulars of such Uncontrollable Forces event as soon as reasonably possible.  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or Tri-State to render wholesale electric and transmission service or to operate and maintain the facilities described in Article I or to obtain siting therefore shall be deemed to be within the meaning of “uncontrollable forces” for the purpose of this Agreement. Notwithstanding anything to the contrary contained herein, the failure of Tri-State to render wholesale electric and transmission service due to pricing considerations shall not be deemed to be within the meaning of “uncontrollable forces” for the purpose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13.1</w:t>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r>
        <w:rPr/>
        <w:t>13.1.0</w:t>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sz w:val="22"/>
        </w:rPr>
      </w:pPr>
      <w:r>
        <w:rPr>
          <w:sz w:val="22"/>
        </w:rPr>
        <w:t>13.1.1</w:t>
        <w:tab/>
        <w:t>the Seller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w:t>
      </w:r>
    </w:p>
    <w:p>
      <w:pPr>
        <w:pStyle w:val="Normal"/>
        <w:ind w:hanging="720" w:start="1440" w:end="0"/>
        <w:jc w:val="both"/>
        <w:rPr>
          <w:sz w:val="22"/>
        </w:rPr>
      </w:pPr>
      <w:r>
        <w:rPr>
          <w:sz w:val="22"/>
        </w:rPr>
      </w:r>
    </w:p>
    <w:p>
      <w:pPr>
        <w:pStyle w:val="Normal"/>
        <w:ind w:hanging="720" w:start="1440" w:end="0"/>
        <w:jc w:val="both"/>
        <w:rPr>
          <w:sz w:val="22"/>
        </w:rPr>
      </w:pPr>
      <w:r>
        <w:rPr>
          <w:sz w:val="22"/>
        </w:rPr>
        <w:t>13.1.2</w:t>
        <w:tab/>
        <w:t>the Consumer shall not be liable for any loss of earnings, revenues, indirect or consequential damages or injury which may occur to the Seller for any cause whatsoever, including without limitation, negligence of the Consumer or Consumer's failure to operate of the Substation and the Driver in accordance with Article V of this Agreement; and</w:t>
      </w:r>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rPr>
      </w:pPr>
      <w:r>
        <w:rPr>
          <w:sz w:val="22"/>
        </w:rPr>
        <w:t>ARBITRATION</w:t>
      </w:r>
    </w:p>
    <w:p>
      <w:pPr>
        <w:pStyle w:val="Normal"/>
        <w:keepNext w:val="true"/>
        <w:jc w:val="both"/>
        <w:rPr>
          <w:sz w:val="22"/>
        </w:rPr>
      </w:pPr>
      <w:r>
        <w:rPr>
          <w:sz w:val="22"/>
        </w:rPr>
      </w:r>
    </w:p>
    <w:p>
      <w:pPr>
        <w:pStyle w:val="Normal"/>
        <w:keepNext w:val="true"/>
        <w:ind w:hanging="720" w:start="720" w:end="0"/>
        <w:jc w:val="both"/>
        <w:rPr/>
      </w:pPr>
      <w:r>
        <w:rPr>
          <w:sz w:val="22"/>
        </w:rPr>
        <w:t xml:space="preserve">14.0 </w:t>
        <w:tab/>
      </w:r>
      <w:r>
        <w:rPr>
          <w:sz w:val="22"/>
          <w:u w:val="single"/>
        </w:rPr>
        <w:t>Agreement to Arbitrate</w:t>
      </w:r>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u w:val="single"/>
        </w:rPr>
      </w:pPr>
      <w:r>
        <w:rPr>
          <w:sz w:val="22"/>
          <w:u w:val="single"/>
        </w:rPr>
      </w:r>
    </w:p>
    <w:p>
      <w:pPr>
        <w:pStyle w:val="Normal"/>
        <w:ind w:hanging="720" w:start="720" w:end="0"/>
        <w:jc w:val="both"/>
        <w:rPr/>
      </w:pPr>
      <w:r>
        <w:rPr>
          <w:sz w:val="22"/>
        </w:rPr>
        <w:t xml:space="preserve">14.1  </w:t>
        <w:tab/>
      </w:r>
      <w:r>
        <w:rPr>
          <w:sz w:val="22"/>
          <w:u w:val="single"/>
        </w:rPr>
        <w:t>Conduct of the Arbitration, Authority of the Arbitrators, and Choice of Law</w:t>
      </w:r>
      <w:r>
        <w:rPr>
          <w:sz w:val="22"/>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2"/>
          <w:u w:val="single"/>
        </w:rPr>
      </w:pPr>
      <w:r>
        <w:rPr>
          <w:sz w:val="22"/>
          <w:u w:val="single"/>
        </w:rPr>
      </w:r>
    </w:p>
    <w:p>
      <w:pPr>
        <w:pStyle w:val="Normal"/>
        <w:ind w:hanging="720" w:start="720" w:end="0"/>
        <w:jc w:val="both"/>
        <w:rPr/>
      </w:pPr>
      <w:r>
        <w:rPr>
          <w:sz w:val="22"/>
        </w:rPr>
        <w:t xml:space="preserve">14.2  </w:t>
        <w:tab/>
      </w:r>
      <w:r>
        <w:rPr>
          <w:sz w:val="22"/>
          <w:u w:val="single"/>
        </w:rPr>
        <w:t>Forum for the Arbitration and Selection of Arbitrators</w:t>
      </w:r>
      <w:r>
        <w:rPr>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u w:val="single"/>
        </w:rPr>
      </w:pPr>
      <w:r>
        <w:rPr>
          <w:sz w:val="22"/>
          <w:u w:val="single"/>
        </w:rPr>
      </w:r>
    </w:p>
    <w:p>
      <w:pPr>
        <w:pStyle w:val="Normal"/>
        <w:ind w:hanging="720" w:start="720" w:end="0"/>
        <w:jc w:val="both"/>
        <w:rPr/>
      </w:pPr>
      <w:r>
        <w:rPr>
          <w:sz w:val="22"/>
        </w:rPr>
        <w:t xml:space="preserve">14.3 </w:t>
        <w:tab/>
      </w:r>
      <w:r>
        <w:rPr>
          <w:sz w:val="22"/>
          <w:u w:val="single"/>
        </w:rPr>
        <w:t>Confidentiality</w:t>
      </w:r>
      <w:r>
        <w:rPr>
          <w:sz w:val="22"/>
        </w:rPr>
        <w:t>.  To the fullest extent permitted by law, any arbitration proceeding and the arbitrators award shall be maintained in confidence by the Parties.</w:t>
      </w:r>
    </w:p>
    <w:p>
      <w:pPr>
        <w:pStyle w:val="Normal"/>
        <w:ind w:hanging="720" w:start="720" w:end="0"/>
        <w:jc w:val="both"/>
        <w:rPr>
          <w:sz w:val="22"/>
        </w:rPr>
      </w:pPr>
      <w:r>
        <w:rPr>
          <w:sz w:val="22"/>
        </w:rPr>
      </w:r>
    </w:p>
    <w:p>
      <w:pPr>
        <w:pStyle w:val="Normal"/>
        <w:ind w:hanging="720" w:start="720" w:end="0"/>
        <w:jc w:val="center"/>
        <w:rPr>
          <w:sz w:val="22"/>
        </w:rPr>
      </w:pPr>
      <w:r>
        <w:rPr>
          <w:sz w:val="22"/>
        </w:rPr>
        <w:t>ARTICLE XV</w:t>
      </w:r>
    </w:p>
    <w:p>
      <w:pPr>
        <w:pStyle w:val="Normal"/>
        <w:ind w:hanging="720" w:start="720" w:end="0"/>
        <w:jc w:val="center"/>
        <w:rPr>
          <w:sz w:val="22"/>
        </w:rPr>
      </w:pPr>
      <w:r>
        <w:rPr>
          <w:sz w:val="22"/>
        </w:rPr>
      </w:r>
    </w:p>
    <w:p>
      <w:pPr>
        <w:pStyle w:val="Heading2"/>
        <w:rPr/>
      </w:pPr>
      <w:r>
        <w:rPr/>
        <w:t>GENERAL</w:t>
      </w:r>
    </w:p>
    <w:p>
      <w:pPr>
        <w:pStyle w:val="Normal"/>
        <w:ind w:hanging="720" w:start="720" w:end="0"/>
        <w:jc w:val="both"/>
        <w:rPr>
          <w:sz w:val="22"/>
        </w:rPr>
      </w:pPr>
      <w:r>
        <w:rPr>
          <w:sz w:val="22"/>
        </w:rPr>
      </w:r>
    </w:p>
    <w:p>
      <w:pPr>
        <w:pStyle w:val="BodyTextIndent"/>
        <w:rPr/>
      </w:pPr>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p>
    <w:p>
      <w:pPr>
        <w:pStyle w:val="Normal"/>
        <w:ind w:hanging="720" w:start="720" w:end="0"/>
        <w:jc w:val="both"/>
        <w:rPr>
          <w:sz w:val="22"/>
        </w:rPr>
      </w:pPr>
      <w:r>
        <w:rPr>
          <w:sz w:val="22"/>
        </w:rPr>
      </w:r>
    </w:p>
    <w:p>
      <w:pPr>
        <w:pStyle w:val="Normal"/>
        <w:ind w:hanging="720" w:start="720" w:end="0"/>
        <w:jc w:val="both"/>
        <w:rPr>
          <w:sz w:val="22"/>
        </w:rPr>
      </w:pPr>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p>
    <w:p>
      <w:pPr>
        <w:pStyle w:val="Normal"/>
        <w:ind w:hanging="720" w:start="720" w:end="0"/>
        <w:jc w:val="both"/>
        <w:rPr>
          <w:sz w:val="22"/>
        </w:rPr>
      </w:pPr>
      <w:r>
        <w:rPr>
          <w:sz w:val="22"/>
        </w:rPr>
      </w:r>
    </w:p>
    <w:p>
      <w:pPr>
        <w:pStyle w:val="Normal"/>
        <w:ind w:hanging="720" w:start="720" w:end="0"/>
        <w:jc w:val="both"/>
        <w:rPr>
          <w:sz w:val="22"/>
        </w:rPr>
      </w:pPr>
      <w:r>
        <w:rPr>
          <w:sz w:val="22"/>
        </w:rPr>
        <w:tab/>
        <w:t>To or Upon Seller</w:t>
        <w:tab/>
        <w:tab/>
        <w:tab/>
        <w:t>Manager of the Cooperative</w:t>
      </w:r>
    </w:p>
    <w:p>
      <w:pPr>
        <w:pStyle w:val="Normal"/>
        <w:ind w:hanging="720" w:start="720" w:end="0"/>
        <w:jc w:val="both"/>
        <w:rPr>
          <w:sz w:val="22"/>
        </w:rPr>
      </w:pPr>
      <w:r>
        <w:rPr>
          <w:sz w:val="22"/>
        </w:rPr>
        <w:tab/>
        <w:tab/>
        <w:tab/>
        <w:tab/>
        <w:tab/>
        <w:tab/>
        <w:t>Continental Divide Electric Cooperative, Inc.</w:t>
      </w:r>
    </w:p>
    <w:p>
      <w:pPr>
        <w:pStyle w:val="Normal"/>
        <w:ind w:hanging="720" w:start="720" w:end="0"/>
        <w:jc w:val="both"/>
        <w:rPr>
          <w:sz w:val="22"/>
        </w:rPr>
      </w:pPr>
      <w:r>
        <w:rPr>
          <w:sz w:val="22"/>
        </w:rPr>
        <w:tab/>
        <w:tab/>
        <w:tab/>
        <w:tab/>
        <w:tab/>
        <w:tab/>
        <w:t>PO Box 1087</w:t>
      </w:r>
    </w:p>
    <w:p>
      <w:pPr>
        <w:pStyle w:val="Normal"/>
        <w:ind w:hanging="720" w:start="720" w:end="0"/>
        <w:jc w:val="both"/>
        <w:rPr>
          <w:sz w:val="22"/>
        </w:rPr>
      </w:pPr>
      <w:r>
        <w:rPr>
          <w:sz w:val="22"/>
        </w:rPr>
        <w:tab/>
        <w:tab/>
        <w:tab/>
        <w:tab/>
        <w:tab/>
        <w:tab/>
        <w:t>Grants, New Mexico  87020</w:t>
      </w:r>
    </w:p>
    <w:p>
      <w:pPr>
        <w:pStyle w:val="Normal"/>
        <w:ind w:hanging="720" w:start="720" w:end="0"/>
        <w:jc w:val="both"/>
        <w:rPr>
          <w:sz w:val="22"/>
        </w:rPr>
      </w:pPr>
      <w:r>
        <w:rPr>
          <w:sz w:val="22"/>
        </w:rPr>
      </w:r>
    </w:p>
    <w:p>
      <w:pPr>
        <w:pStyle w:val="Normal"/>
        <w:ind w:hanging="720" w:start="720" w:end="0"/>
        <w:jc w:val="both"/>
        <w:rPr>
          <w:sz w:val="22"/>
        </w:rPr>
      </w:pPr>
      <w:r>
        <w:rPr>
          <w:sz w:val="22"/>
        </w:rPr>
        <w:tab/>
        <w:t>To or Upon Consumer:</w:t>
        <w:tab/>
        <w:tab/>
        <w:tab/>
        <w:t>Director-Compression Services</w:t>
      </w:r>
    </w:p>
    <w:p>
      <w:pPr>
        <w:pStyle w:val="Normal"/>
        <w:ind w:hanging="720" w:start="720" w:end="0"/>
        <w:jc w:val="both"/>
        <w:rPr>
          <w:sz w:val="22"/>
        </w:rPr>
      </w:pPr>
      <w:r>
        <w:rPr>
          <w:sz w:val="22"/>
        </w:rPr>
        <w:tab/>
        <w:tab/>
        <w:tab/>
        <w:tab/>
        <w:tab/>
        <w:tab/>
        <w:t>Enron Compression Services Company</w:t>
      </w:r>
    </w:p>
    <w:p>
      <w:pPr>
        <w:pStyle w:val="Normal"/>
        <w:ind w:hanging="720" w:start="720" w:end="0"/>
        <w:jc w:val="both"/>
        <w:rPr>
          <w:sz w:val="22"/>
        </w:rPr>
      </w:pPr>
      <w:r>
        <w:rPr>
          <w:sz w:val="22"/>
        </w:rPr>
        <w:tab/>
        <w:tab/>
        <w:tab/>
        <w:tab/>
        <w:tab/>
        <w:tab/>
        <w:t>1400 Smith Street</w:t>
      </w:r>
    </w:p>
    <w:p>
      <w:pPr>
        <w:pStyle w:val="Normal"/>
        <w:ind w:hanging="720" w:start="720" w:end="0"/>
        <w:jc w:val="both"/>
        <w:rPr>
          <w:sz w:val="22"/>
        </w:rPr>
      </w:pPr>
      <w:r>
        <w:rPr>
          <w:sz w:val="22"/>
        </w:rPr>
        <w:tab/>
        <w:tab/>
        <w:tab/>
        <w:tab/>
        <w:tab/>
        <w:tab/>
        <w:t>Houston, Texas  77002-7361</w:t>
      </w:r>
    </w:p>
    <w:p>
      <w:pPr>
        <w:pStyle w:val="Normal"/>
        <w:ind w:hanging="720" w:start="720" w:end="0"/>
        <w:jc w:val="both"/>
        <w:rPr>
          <w:sz w:val="22"/>
        </w:rPr>
      </w:pPr>
      <w:r>
        <w:rPr>
          <w:sz w:val="22"/>
        </w:rPr>
      </w:r>
    </w:p>
    <w:p>
      <w:pPr>
        <w:pStyle w:val="Normal"/>
        <w:ind w:start="720" w:end="0"/>
        <w:jc w:val="both"/>
        <w:rPr>
          <w:sz w:val="22"/>
        </w:rPr>
      </w:pPr>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p>
    <w:p>
      <w:pPr>
        <w:pStyle w:val="Normal"/>
        <w:jc w:val="both"/>
        <w:rPr>
          <w:sz w:val="22"/>
        </w:rPr>
      </w:pPr>
      <w:r>
        <w:rPr>
          <w:sz w:val="22"/>
        </w:rPr>
      </w:r>
    </w:p>
    <w:p>
      <w:pPr>
        <w:pStyle w:val="Normal"/>
        <w:ind w:hanging="720" w:start="720" w:end="0"/>
        <w:jc w:val="both"/>
        <w:rPr/>
      </w:pPr>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2"/>
        </w:rPr>
        <w:t xml:space="preserve">provided, however, </w:t>
      </w:r>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ind w:hanging="720" w:start="720" w:end="0"/>
        <w:jc w:val="both"/>
        <w:rPr>
          <w:sz w:val="22"/>
        </w:rPr>
      </w:pPr>
      <w:r>
        <w:rPr>
          <w:sz w:val="22"/>
        </w:rPr>
      </w:r>
    </w:p>
    <w:p>
      <w:pPr>
        <w:pStyle w:val="Normal"/>
        <w:ind w:hanging="720" w:start="720" w:end="0"/>
        <w:jc w:val="both"/>
        <w:rPr>
          <w:sz w:val="22"/>
        </w:rPr>
      </w:pPr>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p>
    <w:p>
      <w:pPr>
        <w:pStyle w:val="Normal"/>
        <w:ind w:hanging="720" w:start="720" w:end="0"/>
        <w:jc w:val="both"/>
        <w:rPr>
          <w:sz w:val="22"/>
        </w:rPr>
      </w:pPr>
      <w:r>
        <w:rPr>
          <w:sz w:val="22"/>
        </w:rPr>
      </w:r>
    </w:p>
    <w:p>
      <w:pPr>
        <w:pStyle w:val="Normal"/>
        <w:ind w:hanging="720" w:start="720" w:end="0"/>
        <w:jc w:val="both"/>
        <w:rPr>
          <w:sz w:val="22"/>
        </w:rPr>
      </w:pPr>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p>
    <w:p>
      <w:pPr>
        <w:pStyle w:val="Normal"/>
        <w:ind w:hanging="720" w:start="720" w:end="0"/>
        <w:jc w:val="both"/>
        <w:rPr>
          <w:sz w:val="22"/>
        </w:rPr>
      </w:pPr>
      <w:r>
        <w:rPr>
          <w:sz w:val="22"/>
        </w:rPr>
      </w:r>
    </w:p>
    <w:p>
      <w:pPr>
        <w:pStyle w:val="Normal"/>
        <w:ind w:hanging="720" w:start="720" w:end="0"/>
        <w:jc w:val="center"/>
        <w:rPr>
          <w:sz w:val="22"/>
        </w:rPr>
      </w:pPr>
      <w:r>
        <w:rPr>
          <w:sz w:val="22"/>
        </w:rPr>
        <w:t>ARTICLE XVI</w:t>
      </w:r>
    </w:p>
    <w:p>
      <w:pPr>
        <w:pStyle w:val="Normal"/>
        <w:ind w:hanging="720" w:start="720" w:end="0"/>
        <w:jc w:val="center"/>
        <w:rPr>
          <w:sz w:val="22"/>
        </w:rPr>
      </w:pPr>
      <w:r>
        <w:rPr>
          <w:sz w:val="22"/>
        </w:rPr>
      </w:r>
    </w:p>
    <w:p>
      <w:pPr>
        <w:pStyle w:val="Heading2"/>
        <w:rPr/>
      </w:pPr>
      <w:r>
        <w:rPr/>
        <w:t>REGULATORY AUTHORITIES AND MODIFICATIONS</w:t>
      </w:r>
    </w:p>
    <w:p>
      <w:pPr>
        <w:pStyle w:val="Normal"/>
        <w:ind w:hanging="720" w:start="720" w:end="0"/>
        <w:jc w:val="both"/>
        <w:rPr>
          <w:sz w:val="22"/>
        </w:rPr>
      </w:pPr>
      <w:r>
        <w:rPr>
          <w:sz w:val="22"/>
        </w:rPr>
      </w:r>
    </w:p>
    <w:p>
      <w:pPr>
        <w:pStyle w:val="BodyTextIndent"/>
        <w:rPr>
          <w:b/>
        </w:rPr>
      </w:pPr>
      <w:r>
        <w:rPr/>
        <w:t>16.0</w:t>
        <w:tab/>
        <w:t xml:space="preserve">This Agreement, including any amendments hereto and the attached rate schedule, shall at all times be subject to change or modification by order of the NMPRC.  Consumer will receive notice in accordance with the NMPRC’s requirements when Seller is requesting the NMPRC to take action, which could cause a change in the terms of this Agreement. </w:t>
      </w:r>
    </w:p>
    <w:p>
      <w:pPr>
        <w:pStyle w:val="Normal"/>
        <w:ind w:hanging="720" w:start="720" w:end="0"/>
        <w:jc w:val="both"/>
        <w:rPr>
          <w:b/>
          <w:sz w:val="22"/>
        </w:rPr>
      </w:pPr>
      <w:r>
        <w:rPr>
          <w:b/>
          <w:sz w:val="22"/>
        </w:rPr>
      </w:r>
    </w:p>
    <w:p>
      <w:pPr>
        <w:pStyle w:val="Normal"/>
        <w:ind w:hanging="720" w:start="720" w:end="0"/>
        <w:jc w:val="both"/>
        <w:rPr>
          <w:sz w:val="22"/>
        </w:rPr>
      </w:pPr>
      <w:r>
        <w:rPr>
          <w:sz w:val="22"/>
        </w:rPr>
        <w:t>16.1</w:t>
        <w:tab/>
        <w:t>This Agreement and all amendments hereto including all amendments and tariffs hereto shall not be binding upon the Parties hereto until the same are approved, if required, by the NMPRC, RUS, or as may be then required by law or mortgage.</w:t>
      </w:r>
    </w:p>
    <w:p>
      <w:pPr>
        <w:pStyle w:val="Normal"/>
        <w:ind w:hanging="720" w:start="720" w:end="0"/>
        <w:jc w:val="both"/>
        <w:rPr>
          <w:sz w:val="22"/>
        </w:rPr>
      </w:pPr>
      <w:r>
        <w:rPr>
          <w:sz w:val="22"/>
        </w:rPr>
      </w:r>
    </w:p>
    <w:p>
      <w:pPr>
        <w:pStyle w:val="Normal"/>
        <w:ind w:hanging="720" w:start="720" w:end="0"/>
        <w:jc w:val="both"/>
        <w:rPr>
          <w:sz w:val="22"/>
        </w:rPr>
      </w:pPr>
      <w:r>
        <w:rPr>
          <w:sz w:val="22"/>
        </w:rPr>
        <w:t>16.2</w:t>
        <w:tab/>
      </w:r>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end"/>
        <w:rPr>
          <w:sz w:val="22"/>
        </w:rPr>
      </w:pPr>
      <w:r>
        <w:rPr>
          <w:sz w:val="22"/>
        </w:rPr>
        <w:t>ENRON COMPRESSION SERVICES COMPANY</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t>+</w:t>
      </w:r>
    </w:p>
    <w:p>
      <w:pPr>
        <w:pStyle w:val="Normal"/>
        <w:jc w:val="both"/>
        <w:rPr>
          <w:sz w:val="22"/>
        </w:rPr>
      </w:pPr>
      <w:r>
        <w:rPr>
          <w:sz w:val="22"/>
        </w:rPr>
        <w:tab/>
        <w:tab/>
        <w:tab/>
        <w:tab/>
        <w:tab/>
        <w:tab/>
        <w:tab/>
        <w:tab/>
        <w:tab/>
        <w:t>Consumer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Electric_Service_Agreement_ECS_Modifications.doc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2000-03-07T15:56:00Z</dcterms:created>
  <dc:creator>Pat Radford</dc:creator>
  <dc:description/>
  <dc:language>en-CA</dc:language>
  <cp:lastModifiedBy>gnemec</cp:lastModifiedBy>
  <cp:lastPrinted>2000-03-03T08:36:00Z</cp:lastPrinted>
  <dcterms:modified xsi:type="dcterms:W3CDTF">2000-03-07T18:24:00Z</dcterms:modified>
  <cp:revision>17</cp:revision>
  <dc:subject/>
  <dc:title>ELECTRIC SERVICE AGREEMENT</dc:title>
</cp:coreProperties>
</file>