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
        </w:numPr>
        <w:rPr/>
      </w:pPr>
      <w:r>
        <w:rPr/>
        <w:t>Donald Anderson</w:t>
      </w:r>
      <w:r>
        <mc:AlternateContent>
          <mc:Choice Requires="wps">
            <w:drawing>
              <wp:anchor behindDoc="0" distT="0" distB="0" distL="114935" distR="114935" simplePos="0" locked="0" layoutInCell="1" allowOverlap="1" relativeHeight="2">
                <wp:simplePos x="0" y="0"/>
                <wp:positionH relativeFrom="column">
                  <wp:posOffset>3200400</wp:posOffset>
                </wp:positionH>
                <wp:positionV relativeFrom="paragraph">
                  <wp:posOffset>-114300</wp:posOffset>
                </wp:positionV>
                <wp:extent cx="2171700" cy="571500"/>
                <wp:effectExtent l="0" t="0" r="0" b="0"/>
                <wp:wrapNone/>
                <wp:docPr id="1" name="Frame1"/>
                <a:graphic xmlns:a="http://schemas.openxmlformats.org/drawingml/2006/main">
                  <a:graphicData uri="http://schemas.microsoft.com/office/word/2010/wordprocessingShape">
                    <wps:wsp>
                      <wps:cNvSpPr txBox="1"/>
                      <wps:spPr>
                        <a:xfrm>
                          <a:off x="0" y="0"/>
                          <a:ext cx="2171700" cy="571500"/>
                        </a:xfrm>
                        <a:prstGeom prst="rect"/>
                        <a:solidFill>
                          <a:srgbClr val="FFFFFF"/>
                        </a:solidFill>
                        <a:ln>
                          <a:solidFill>
                            <a:srgbClr val="FFFFFF"/>
                          </a:solidFill>
                        </a:ln>
                      </wps:spPr>
                      <wps:txbx>
                        <w:txbxContent>
                          <w:p>
                            <w:pPr>
                              <w:pStyle w:val="Normal"/>
                              <w:jc w:val="end"/>
                              <w:rPr/>
                            </w:pPr>
                            <w:r>
                              <w:rPr/>
                              <w:t>Revised 4/4/01</w:t>
                            </w:r>
                          </w:p>
                        </w:txbxContent>
                      </wps:txbx>
                      <wps:bodyPr anchor="t" lIns="91440" tIns="45720" rIns="91440" bIns="45720">
                        <a:noAutofit/>
                      </wps:bodyPr>
                    </wps:wsp>
                  </a:graphicData>
                </a:graphic>
              </wp:anchor>
            </w:drawing>
          </mc:Choice>
          <mc:Fallback>
            <w:pict>
              <v:rect fillcolor="#FFFFFF" strokecolor="#FFFFFF" strokeweight="0pt" style="position:absolute;rotation:-0;width:171pt;height:45pt;mso-wrap-distance-left:9.05pt;mso-wrap-distance-right:9.05pt;mso-wrap-distance-top:0pt;mso-wrap-distance-bottom:0pt;margin-top:-9pt;mso-position-vertical-relative:text;margin-left:252pt;mso-position-horizontal-relative:text">
                <v:textbox>
                  <w:txbxContent>
                    <w:p>
                      <w:pPr>
                        <w:pStyle w:val="Normal"/>
                        <w:jc w:val="end"/>
                        <w:rPr/>
                      </w:pPr>
                      <w:r>
                        <w:rPr/>
                        <w:t>Revised 4/4/01</w:t>
                      </w:r>
                    </w:p>
                  </w:txbxContent>
                </v:textbox>
                <w10:wrap type="none"/>
              </v:rect>
            </w:pict>
          </mc:Fallback>
        </mc:AlternateContent>
      </w:r>
    </w:p>
    <w:p>
      <w:pPr>
        <w:pStyle w:val="Normal"/>
        <w:ind w:start="360" w:end="0"/>
        <w:rPr/>
      </w:pPr>
      <w:r>
        <w:rPr/>
        <w:t>792 Tioga Drive</w:t>
      </w:r>
    </w:p>
    <w:p>
      <w:pPr>
        <w:pStyle w:val="Normal"/>
        <w:ind w:start="360" w:end="0"/>
        <w:rPr/>
      </w:pPr>
      <w:r>
        <w:rPr/>
        <w:t>Ventura CA 93001-2000</w:t>
      </w:r>
    </w:p>
    <w:p>
      <w:pPr>
        <w:pStyle w:val="Normal"/>
        <w:ind w:start="360" w:end="0"/>
        <w:rPr/>
      </w:pPr>
      <w:r>
        <w:rPr/>
        <w:t>(805) 641-3454</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spacing w:lineRule="auto" w:line="360"/>
        <w:ind w:start="360" w:end="0"/>
        <w:jc w:val="center"/>
        <w:rPr>
          <w:b/>
          <w:bCs/>
        </w:rPr>
      </w:pPr>
      <w:r>
        <w:rPr>
          <w:b/>
          <w:bCs/>
        </w:rPr>
        <w:t>WORKING TO KEEP ‘TRUTH’ OFF THE CASUALTY LIST</w:t>
      </w:r>
    </w:p>
    <w:p>
      <w:pPr>
        <w:pStyle w:val="Normal"/>
        <w:spacing w:lineRule="auto" w:line="360"/>
        <w:ind w:start="360" w:end="0"/>
        <w:jc w:val="center"/>
        <w:rPr>
          <w:b/>
          <w:bCs/>
        </w:rPr>
      </w:pPr>
      <w:r>
        <w:rPr>
          <w:b/>
          <w:bCs/>
        </w:rPr>
        <w:t>Enron Campaign Team Fights Multi-State Battle to Keep California</w:t>
      </w:r>
    </w:p>
    <w:p>
      <w:pPr>
        <w:pStyle w:val="Heading3"/>
        <w:rPr/>
      </w:pPr>
      <w:r>
        <w:rPr/>
        <w:t>Energy Crisis from Spreading . . . and Poisoning the Debate Elsewhere</w:t>
      </w:r>
    </w:p>
    <w:p>
      <w:pPr>
        <w:pStyle w:val="Normal"/>
        <w:spacing w:lineRule="auto" w:line="360"/>
        <w:ind w:start="360" w:end="0"/>
        <w:rPr/>
      </w:pPr>
      <w:r>
        <w:rPr/>
      </w:r>
    </w:p>
    <w:p>
      <w:pPr>
        <w:pStyle w:val="Normal"/>
        <w:spacing w:lineRule="auto" w:line="360"/>
        <w:ind w:start="360" w:end="0"/>
        <w:rPr/>
      </w:pPr>
      <w:r>
        <w:rPr/>
        <w:tab/>
        <w:t xml:space="preserve">In crisis and war, they say, truth is often the first casualty. The cascading electric power crisis that struck California early this year has spawned an epidemic of charges and counter-charges, misinformation and scapegoating in which truth, while perhaps not dead, is certainly missing in action. </w:t>
      </w:r>
    </w:p>
    <w:p>
      <w:pPr>
        <w:pStyle w:val="Normal"/>
        <w:spacing w:lineRule="auto" w:line="360"/>
        <w:ind w:start="360" w:end="0"/>
        <w:rPr/>
      </w:pPr>
      <w:r>
        <w:rPr/>
        <w:tab/>
        <w:t>Along with other companies that entered the California energy market following the state’s regulatory “reform” in 1997, Enron has a major stake in seeing that regulators and legislators there find workable solutions to the current crisis. But many public officials, fearful of a voter backlash and radical ballot propositions by militant reformers, have embraced policies that can only deepen and prolong the shortages. If this approach continues, California could become a no-man’s land for power producers, lenders and businesses who depend on reliable electricity.</w:t>
      </w:r>
    </w:p>
    <w:p>
      <w:pPr>
        <w:pStyle w:val="Normal"/>
        <w:spacing w:lineRule="auto" w:line="360"/>
        <w:ind w:start="360" w:end="0"/>
        <w:rPr/>
      </w:pPr>
      <w:r>
        <w:rPr/>
        <w:tab/>
        <w:t>To counter the charges and raise the “truth quotient” of the current debate – in California as well as other states facing possible power crises – Enron has formed a National Campaign Team headed by Rick Shapiro, managing director of Government Affairs. With separate teams assigned to California, the other Western states, New York and Washington D.C., Shapiro’s group faces formidable challenges in getting the Enron message heard over the cacophony that now fills the media and legislation.</w:t>
      </w:r>
    </w:p>
    <w:p>
      <w:pPr>
        <w:pStyle w:val="Normal"/>
        <w:spacing w:lineRule="auto" w:line="360"/>
        <w:ind w:start="360" w:end="0"/>
        <w:rPr/>
      </w:pPr>
      <w:r>
        <w:rPr/>
      </w:r>
    </w:p>
    <w:p>
      <w:pPr>
        <w:pStyle w:val="Heading1"/>
        <w:rPr/>
      </w:pPr>
      <w:r>
        <w:rPr/>
        <w:t>Being Right Is No Defense</w:t>
      </w:r>
    </w:p>
    <w:p>
      <w:pPr>
        <w:pStyle w:val="Normal"/>
        <w:spacing w:lineRule="auto" w:line="360"/>
        <w:ind w:start="360" w:end="0"/>
        <w:rPr/>
      </w:pPr>
      <w:r>
        <w:rPr/>
        <w:tab/>
        <w:t>“In a way, Enron and other industry players are being blamed for being right,” says Rick. “When California began its regulatory reform, we were among many in the business who warned they were going about it in the wrong way, that they weren’t paying enough attention to the demand side of the equation. The fact that events bore us out didn’t protect us from the blame-seekers. In fact, it may have hurt.”</w:t>
      </w:r>
    </w:p>
    <w:p>
      <w:pPr>
        <w:pStyle w:val="Normal"/>
        <w:spacing w:lineRule="auto" w:line="360"/>
        <w:ind w:start="360" w:end="0"/>
        <w:rPr/>
      </w:pPr>
      <w:r>
        <w:rPr/>
        <w:tab/>
        <w:t>Today California stands as a cautionary tale for the rest of the nation, Rick believes. While no other state may duplicate the series of miscalculations, bad luck and bad timing that led to the current mess (Rick calls it the energy equivalent of “the perfect storm”) no region of the nation is immune to similar problems. On the other hand, he asks, why did several states in the Midwest experience sharp power price spikes in recent years without the traumatic effect now seen in California?  The answer: no price caps and access to alternate sources of power such as peaking plants.</w:t>
      </w:r>
    </w:p>
    <w:p>
      <w:pPr>
        <w:pStyle w:val="Normal"/>
        <w:spacing w:lineRule="auto" w:line="360"/>
        <w:ind w:firstLine="360" w:start="360" w:end="0"/>
        <w:rPr/>
      </w:pPr>
      <w:r>
        <w:rPr/>
        <w:t>In effect, Rick says, California has two power crises. The first is financial, brought on by a regulatory reform that did not provide enough income from rate payers to meet the huge costs of writing down so-called “stranded” assets of the utility companies. The second crisis is structural – a failure to anticipate the rapid run-up in electricity demand (25 percent over the last two years), a long-standing resistance to building new generating capacity and a weather-induced shortfall in hydroelectric power from the Pacific Northwest.</w:t>
      </w:r>
    </w:p>
    <w:p>
      <w:pPr>
        <w:pStyle w:val="Normal"/>
        <w:spacing w:lineRule="auto" w:line="360"/>
        <w:ind w:firstLine="360" w:end="0"/>
        <w:rPr/>
      </w:pPr>
      <w:r>
        <w:rPr/>
      </w:r>
    </w:p>
    <w:p>
      <w:pPr>
        <w:pStyle w:val="Heading2"/>
        <w:rPr/>
      </w:pPr>
      <w:r>
        <w:rPr/>
        <w:t>Inaction Leads to Deeper Problems</w:t>
      </w:r>
    </w:p>
    <w:p>
      <w:pPr>
        <w:pStyle w:val="Normal"/>
        <w:spacing w:lineRule="auto" w:line="360"/>
        <w:ind w:firstLine="360" w:start="360" w:end="0"/>
        <w:rPr/>
      </w:pPr>
      <w:r>
        <w:rPr/>
        <w:t xml:space="preserve">Starting in January, these factors led to a series of rolling blackouts and power alerts never before seen in California. If officials had acted decisively when the crisis was taking shape, says Rick, most of the problems the state now faces – from escalating electric bills to jeopardizing its credit rating – could have been managed, if not avoided. Such actions would have included streamlining the permitting process for new power generation, instituting “real-time” pricing, reducing dependence on the spot market and creating demand-side incentives for conservation.  </w:t>
      </w:r>
    </w:p>
    <w:p>
      <w:pPr>
        <w:pStyle w:val="Normal"/>
        <w:spacing w:lineRule="auto" w:line="360"/>
        <w:ind w:firstLine="360" w:start="360" w:end="0"/>
        <w:rPr/>
      </w:pPr>
      <w:r>
        <w:rPr/>
        <w:t>Instead, many public officials chose to find culprits rather than solutions. And when the Governor flatly ruled out any rate increases (electric bills in the state had been essentially flat for the last five years), he blocked the only way to a lasting solution. He and state legislature cobbled up a hodge-podge of measures (including using state revenue bonds to pay electric bills) that only drew the state deeper into the crisis and put billions of taxpayer dollars at risk.</w:t>
      </w:r>
    </w:p>
    <w:p>
      <w:pPr>
        <w:pStyle w:val="Normal"/>
        <w:spacing w:lineRule="auto" w:line="360"/>
        <w:ind w:start="360" w:end="0"/>
        <w:rPr/>
      </w:pPr>
      <w:r>
        <w:rPr/>
        <w:tab/>
        <w:t>Last month, the chairperson of the Public Utilities Commission (the Governor’s appointee) may have broken the log jam when she and the Commission approved a 46 percent increase in electricity rates. This, along with a 9 percent increase already in the pipeline, should provide enough revenue to see the state’s utilities through the long summer ahead. Significantly, the Governor has refused to endorse the action.</w:t>
      </w:r>
    </w:p>
    <w:p>
      <w:pPr>
        <w:pStyle w:val="Normal"/>
        <w:spacing w:lineRule="auto" w:line="360"/>
        <w:ind w:start="360" w:end="0"/>
        <w:rPr/>
      </w:pPr>
      <w:r>
        <w:rPr/>
        <w:tab/>
        <w:t>“Getting our message across to public officials and the media in California during this period has been very difficult,” says Jeff Dasovich, senior director of government/regulatory affairs, based in San Francisco and a co-leader of Shapiro’s California team. “But in neighboring states, where they’ve been watching California with growing concern, there’s a lot more receptivity.”</w:t>
      </w:r>
    </w:p>
    <w:p>
      <w:pPr>
        <w:pStyle w:val="Normal"/>
        <w:spacing w:lineRule="auto" w:line="360"/>
        <w:ind w:start="360" w:end="0"/>
        <w:rPr/>
      </w:pPr>
      <w:r>
        <w:rPr/>
      </w:r>
    </w:p>
    <w:p>
      <w:pPr>
        <w:pStyle w:val="Heading1"/>
        <w:rPr/>
      </w:pPr>
      <w:r>
        <w:rPr/>
        <w:t>Getting Out the Message</w:t>
      </w:r>
    </w:p>
    <w:p>
      <w:pPr>
        <w:pStyle w:val="Normal"/>
        <w:spacing w:lineRule="auto" w:line="360"/>
        <w:ind w:start="360" w:end="0"/>
        <w:rPr/>
      </w:pPr>
      <w:r>
        <w:rPr/>
        <w:tab/>
        <w:t>Paul Kaufman, based in Portland and leader of the Western States team, says his group hopes to keep California’s neighbors from taking actions to safeguard their own power supplies at the cost of a region-wide solution. “Our message has been: cut demand, streamline your approval processes to get more production on line and avoid rate surprises,” he says. He praised Portland General Electric, Oregon’s largest utility, for weathering the crisis through sensible risk management and planning.</w:t>
      </w:r>
    </w:p>
    <w:p>
      <w:pPr>
        <w:pStyle w:val="Normal"/>
        <w:spacing w:lineRule="auto" w:line="360"/>
        <w:ind w:start="360" w:end="0"/>
        <w:rPr/>
      </w:pPr>
      <w:r>
        <w:rPr/>
        <w:tab/>
        <w:t>“A few years ago California’s situation would have been pretty much a local crisis, with little or no effect on other states or region,” Rick explains. “Today the ripple effects reach clear across the country and involve not just state and local jurisdictions, but the federal government and regional power authorities.”</w:t>
      </w:r>
    </w:p>
    <w:p>
      <w:pPr>
        <w:pStyle w:val="Normal"/>
        <w:spacing w:lineRule="auto" w:line="360"/>
        <w:ind w:start="360" w:end="0"/>
        <w:rPr/>
      </w:pPr>
      <w:r>
        <w:rPr/>
        <w:tab/>
        <w:t>He says it would be disastrous for government authorities to begin pulling away from their commitment to deregulation and open electric power markets. “We are seeing in California how fragile the political balance is when crunch time comes. No politician wants to be seen as the Grinch who raised electric bills, but neither are they ready to deal with the results of poor planning or bad weather.”</w:t>
      </w:r>
    </w:p>
    <w:p>
      <w:pPr>
        <w:pStyle w:val="Normal"/>
        <w:spacing w:lineRule="auto" w:line="360"/>
        <w:ind w:start="360" w:end="0"/>
        <w:rPr/>
      </w:pPr>
      <w:r>
        <w:rPr/>
      </w:r>
    </w:p>
    <w:p>
      <w:pPr>
        <w:pStyle w:val="Heading1"/>
        <w:rPr/>
      </w:pPr>
      <w:r>
        <w:rPr/>
        <w:t>Watching the New York Situation Closely</w:t>
      </w:r>
    </w:p>
    <w:p>
      <w:pPr>
        <w:pStyle w:val="Normal"/>
        <w:spacing w:lineRule="auto" w:line="360"/>
        <w:ind w:start="360" w:end="0"/>
        <w:rPr/>
      </w:pPr>
      <w:r>
        <w:rPr/>
        <w:tab/>
        <w:t>The next major test of power readiness, Rick believes, may come in New York, where a long, hot summer could push the area to the edge of shortages. The state now has an 18 percent supply cushion, however, and officials there have been responsive in developing conservation strategies. Nevertheless, one of Rick’s key teams is busy with officials in Albany and New York City to lend counsel and assistance. “A long, hot summer on the East Coast could make for problems,” Rick says. “We want to make sure they don’t fall into the same traps California did.”</w:t>
      </w:r>
    </w:p>
    <w:p>
      <w:pPr>
        <w:pStyle w:val="Normal"/>
        <w:spacing w:lineRule="auto" w:line="360"/>
        <w:ind w:start="360" w:end="0"/>
        <w:rPr/>
      </w:pPr>
      <w:r>
        <w:rPr/>
        <w:tab/>
        <w:t>In Washington, DC, the Federal Energy Regulatory Commission could be a major presence in whatever solutions are worked out – in California and elsewhere. So far, under President Bush, FERC has avoided getting deeply involved in the California situation, preferring to leave crisis management to state and local officials. But that could change.</w:t>
      </w:r>
    </w:p>
    <w:p>
      <w:pPr>
        <w:pStyle w:val="Normal"/>
        <w:spacing w:lineRule="auto" w:line="360"/>
        <w:ind w:start="360" w:end="0"/>
        <w:rPr/>
      </w:pPr>
      <w:r>
        <w:rPr/>
        <w:tab/>
        <w:t>“We’re pleased that FERC has not be interventionist, and that this administration seems totally committed to a free marketplace for energy,” says Rick. “So our team effort in Washington will continue to be supportive of those policies and to work hard to sell those ideas to the remaining skeptics in Congress.”</w:t>
      </w:r>
    </w:p>
    <w:p>
      <w:pPr>
        <w:pStyle w:val="Normal"/>
        <w:spacing w:lineRule="auto" w:line="360"/>
        <w:ind w:start="360" w:end="0"/>
        <w:rPr/>
      </w:pPr>
      <w:r>
        <w:rPr/>
        <w:tab/>
        <w:t>Meanwhile, the team continues to do what it can to get truth off the casualty list.</w:t>
      </w:r>
    </w:p>
    <w:p>
      <w:pPr>
        <w:pStyle w:val="Normal"/>
        <w:spacing w:lineRule="auto" w:line="360"/>
        <w:ind w:start="360" w:end="0"/>
        <w:rPr/>
      </w:pPr>
      <w:r>
        <w:rPr/>
      </w:r>
    </w:p>
    <w:p>
      <w:pPr>
        <w:pStyle w:val="Normal"/>
        <w:spacing w:lineRule="auto" w:line="360"/>
        <w:ind w:start="360" w:end="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ind w:hanging="0" w:start="360" w:end="0"/>
      <w:outlineLvl w:val="0"/>
    </w:pPr>
    <w:rPr>
      <w:b/>
      <w:bCs/>
    </w:rPr>
  </w:style>
  <w:style w:type="paragraph" w:styleId="Heading2">
    <w:name w:val="heading 2"/>
    <w:basedOn w:val="Normal"/>
    <w:next w:val="Normal"/>
    <w:qFormat/>
    <w:pPr>
      <w:keepNext w:val="true"/>
      <w:numPr>
        <w:ilvl w:val="1"/>
        <w:numId w:val="1"/>
      </w:numPr>
      <w:spacing w:lineRule="auto" w:line="360"/>
      <w:ind w:firstLine="360" w:start="0" w:end="0"/>
      <w:outlineLvl w:val="1"/>
    </w:pPr>
    <w:rPr>
      <w:b/>
      <w:bCs/>
    </w:rPr>
  </w:style>
  <w:style w:type="paragraph" w:styleId="Heading3">
    <w:name w:val="heading 3"/>
    <w:basedOn w:val="Normal"/>
    <w:next w:val="Normal"/>
    <w:qFormat/>
    <w:pPr>
      <w:keepNext w:val="true"/>
      <w:numPr>
        <w:ilvl w:val="2"/>
        <w:numId w:val="1"/>
      </w:numPr>
      <w:spacing w:lineRule="auto" w:line="360"/>
      <w:ind w:hanging="0" w:start="360" w:end="0"/>
      <w:jc w:val="center"/>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2001-03-28T17:32:00Z</dcterms:created>
  <dc:creator>A. Donald Anderson</dc:creator>
  <dc:description/>
  <dc:language>en-CA</dc:language>
  <cp:lastModifiedBy>mclark1</cp:lastModifiedBy>
  <cp:lastPrinted>2001-04-05T08:34:00Z</cp:lastPrinted>
  <dcterms:modified xsi:type="dcterms:W3CDTF">2001-04-05T13:37:00Z</dcterms:modified>
  <cp:revision>38</cp:revision>
  <dc:subject/>
  <dc:title>A</dc:title>
</cp:coreProperties>
</file>