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snapToGrid w:val="false"/>
              <w:rPr>
                <w:sz w:val="16"/>
              </w:rPr>
            </w:pPr>
            <w:r>
              <w:rPr>
                <w:sz w:val="16"/>
              </w:rPr>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snapToGrid w:val="false"/>
              <w:rPr>
                <w:sz w:val="16"/>
              </w:rPr>
            </w:pPr>
            <w:r>
              <w:rPr>
                <w:sz w:val="16"/>
              </w:rPr>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Enron Research</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Elba Island Regas Facility Option Pricing</w:t>
              <w:br/>
              <w:t>– DRAFT FOR DISCUSSION ONLY</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Heading1"/>
        <w:ind w:hanging="0" w:start="0"/>
        <w:rPr/>
      </w:pPr>
      <w:r>
        <w:rPr/>
        <w:t>Outline</w:t>
      </w:r>
    </w:p>
    <w:p>
      <w:pPr>
        <w:pStyle w:val="Body"/>
        <w:jc w:val="both"/>
        <w:rPr>
          <w:sz w:val="24"/>
        </w:rPr>
      </w:pPr>
      <w:r>
        <w:rPr>
          <w:sz w:val="24"/>
        </w:rPr>
      </w:r>
    </w:p>
    <w:p>
      <w:pPr>
        <w:pStyle w:val="Body"/>
        <w:jc w:val="both"/>
        <w:rPr>
          <w:sz w:val="24"/>
        </w:rPr>
      </w:pPr>
      <w:r>
        <w:rPr>
          <w:sz w:val="24"/>
        </w:rPr>
        <w:t>Enron Global Markets has entered into a 17 year contract (with an option to extend for 5 years) for the use of the Regasification facility at Elba Island in Georgia.  The capacity contracted is 58 bcf/yr. and the annual charge is ~$12 MM/yr (the actual capacity will depend on the capacity of the re-activated terminal).  Additionally, EGM has the option to put gas to El Paso for delivery into the Elba Island Regas facility at (NYMEX + 2) cents/MMBtu.  Competing Regas terminals include (i) Everett (Boston), (j) Cove Point (North Carolina), and (k) Lake Charles (Louisiana).  Due to market specs, only Trinidad LNG can be brought into the Elba Island terminal initially.  Since Trinidad’s LNG is currently coming into the US only through the Everett terminal, that will be the initial competition for Elba Island.  By 2005, since new sources will come on line, Elba will be able to deliver gas from several sources, and will therefore be competing against the least favorable basis regas terminal – Lake Charles, since the more favorably placed LNG terminals would already be full at that time.  (This assumes that all terminals will be used to full capacity, including the one with the least favorable basis).</w:t>
      </w:r>
    </w:p>
    <w:p>
      <w:pPr>
        <w:pStyle w:val="Body"/>
        <w:jc w:val="both"/>
        <w:rPr>
          <w:sz w:val="24"/>
        </w:rPr>
      </w:pPr>
      <w:r>
        <w:rPr>
          <w:sz w:val="24"/>
        </w:rPr>
      </w:r>
    </w:p>
    <w:p>
      <w:pPr>
        <w:pStyle w:val="Body"/>
        <w:jc w:val="both"/>
        <w:rPr>
          <w:sz w:val="24"/>
        </w:rPr>
      </w:pPr>
      <w:r>
        <w:rPr>
          <w:sz w:val="24"/>
        </w:rPr>
        <w:t xml:space="preserve">It is assumed that the competition (other LNG receiving terminals) will be serving the following markets in the US: (a) Transco Z5, (b) Transco Z6, (c) TETCO M3, (d) CGT Appalachia, and (e) Trunkline WLA.  These are all names for pipelines that have their own basis.  Pipelines (a) through (d) will be the likely markets in years 2001 through 2006, while (e) will likely be the market from 2006 onwards. The market price for LNG is determined using the current competition’s market clearing price. </w:t>
      </w:r>
    </w:p>
    <w:p>
      <w:pPr>
        <w:pStyle w:val="Body"/>
        <w:jc w:val="both"/>
        <w:rPr>
          <w:sz w:val="24"/>
        </w:rPr>
      </w:pPr>
      <w:r>
        <w:rPr>
          <w:sz w:val="24"/>
        </w:rPr>
      </w:r>
    </w:p>
    <w:p>
      <w:pPr>
        <w:pStyle w:val="Body"/>
        <w:jc w:val="both"/>
        <w:rPr>
          <w:sz w:val="24"/>
        </w:rPr>
      </w:pPr>
      <w:r>
        <w:rPr>
          <w:sz w:val="24"/>
        </w:rPr>
        <w:t xml:space="preserve">The EGM option to offload gas at Elba, is in the money when the (NYMEX + 2) cents/MMBtu price is higher than the weighted average price to offload gas into the same markets from the other LNG terminals.  At other times, EGM can on its own, can offload the gas into the markets where it is competitive, provided it gets access to supply and shipping at the appropriate (assumed) price. </w:t>
      </w:r>
    </w:p>
    <w:p>
      <w:pPr>
        <w:pStyle w:val="Heading1"/>
        <w:ind w:hanging="0" w:start="0"/>
        <w:rPr/>
      </w:pPr>
      <w:r>
        <w:rPr/>
        <w:t>Approach</w:t>
      </w:r>
    </w:p>
    <w:p>
      <w:pPr>
        <w:pStyle w:val="Body"/>
        <w:jc w:val="both"/>
        <w:rPr>
          <w:sz w:val="24"/>
        </w:rPr>
      </w:pPr>
      <w:r>
        <w:rPr>
          <w:sz w:val="24"/>
        </w:rPr>
      </w:r>
    </w:p>
    <w:p>
      <w:pPr>
        <w:pStyle w:val="Body"/>
        <w:jc w:val="both"/>
        <w:rPr>
          <w:sz w:val="24"/>
        </w:rPr>
      </w:pPr>
      <w:r>
        <w:rPr>
          <w:sz w:val="24"/>
        </w:rPr>
        <w:t xml:space="preserve">The Research Group was asked to review the model developed by EGM and comment on two aspects: (1) the volatility curve used, and (2) the correlations employed.  A general review of the model to see if the values are properly computed, was also done.  Based on the review, please find below our comments on valuation of the option.  </w:t>
      </w:r>
    </w:p>
    <w:p>
      <w:pPr>
        <w:pStyle w:val="Body"/>
        <w:jc w:val="both"/>
        <w:rPr>
          <w:sz w:val="24"/>
        </w:rPr>
      </w:pPr>
      <w:r>
        <w:rPr>
          <w:sz w:val="24"/>
        </w:rPr>
      </w:r>
    </w:p>
    <w:p>
      <w:pPr>
        <w:pStyle w:val="Body"/>
        <w:numPr>
          <w:ilvl w:val="0"/>
          <w:numId w:val="3"/>
        </w:numPr>
        <w:jc w:val="both"/>
        <w:rPr>
          <w:sz w:val="24"/>
        </w:rPr>
      </w:pPr>
      <w:r>
        <w:rPr>
          <w:b/>
          <w:bCs/>
          <w:sz w:val="24"/>
        </w:rPr>
        <w:t>Volatility of Nymex and The Floating Market Basis</w:t>
      </w:r>
      <w:r>
        <w:rPr>
          <w:sz w:val="24"/>
        </w:rPr>
        <w:br/>
        <w:br/>
        <w:t xml:space="preserve">The Research Group does not take ownership of the volatility curve/s, and these must have the approval of the Trader/s in-charge.  However, the general trend of the curve, which shows a lower volatility for outer years is what is expected.  EGM has chosen to have the same volatility curve for Nymex and the Floating Market Basis (FMB). </w:t>
        <w:br/>
        <w:br/>
        <w:t>If the volatility is lowered to zero for the model yields an intrinsic option value of about $150 MM and a MTM of $8.5 MM.  This value increases only marginally if the volatility curve input by EGM is used.  Hence, most of the value for the option is intrinsic value, and not time value.  This means that this value is coming from the spreads between Nymex and FMB.  On an average, over the modeled period (till 2018), the FMB is 11 cents/MMBtu below the Nymex price.  This is what contributed to the value of the “option.”  Given that this is the case, EGM needs to be in a position to defend the spreads, especially those in the outer years (since reliability of the curves decreases as we go out in time).  This is even more important given the inability to hedge these positions and book the value in the spreads.</w:t>
        <w:br/>
        <w:br/>
        <w:t xml:space="preserve">Additionally, if we take the period from 2001 through 2005, we find that the average spread is reversed in direction (i.e. FMB is higher than Nymex) and has a value of 57 cents/MMBtu.  Hence the option has no value during the initial period of some 4 years when we maybe a little more certain about the Nymex and FMB curves. </w:t>
        <w:br/>
      </w:r>
    </w:p>
    <w:p>
      <w:pPr>
        <w:pStyle w:val="Body"/>
        <w:numPr>
          <w:ilvl w:val="0"/>
          <w:numId w:val="3"/>
        </w:numPr>
        <w:jc w:val="both"/>
        <w:rPr>
          <w:sz w:val="24"/>
        </w:rPr>
      </w:pPr>
      <w:r>
        <w:rPr>
          <w:b/>
          <w:bCs/>
          <w:sz w:val="24"/>
        </w:rPr>
        <w:t>Correlations</w:t>
      </w:r>
      <w:r>
        <w:rPr>
          <w:sz w:val="24"/>
        </w:rPr>
        <w:br/>
        <w:br/>
        <w:t>The correlation between the Nymex and the FMB curve is very important in assigning a value to the “option.”  We find that since this is a 17 year contract, a change of even 0.9% in the value of the correlation, changes the option value by over $ 19 MM.  Hence, a lot of the value in the model may simply be created by using a particular correlation number.  We believe that in this is something that has to be carefully considered.</w:t>
        <w:br/>
        <w:br/>
        <w:t>Our recommendation is that for 1 year out (say till 2002 end), the Trader may have a correlation less than 100% if there is a view he takes on why FMB moves differently from Nymex (some pipeline capacity constraints etc.).  However, beyond that period, the correlation should be 100%.  We believe this to be the case, since that far out in time, there cannot be a different view on price movements for Nymex and the FMB curve.  Hence for 2001 and 2002, EGM could rely on correlations given by the Trader, though these would have to be fairly high, and there should be a reasonable view for having these deviate from 100%.  For years beyond 2002, however, we feel that there cannot be a justifiable reason for lowering the correlation below 100%, given the sensitivity of the model to this number, and the unlikelihood of anyone having a view of different price movements for FMB as opposed to Nymex that far out in time.</w:t>
        <w:br/>
      </w:r>
    </w:p>
    <w:p>
      <w:pPr>
        <w:pStyle w:val="Body"/>
        <w:numPr>
          <w:ilvl w:val="0"/>
          <w:numId w:val="3"/>
        </w:numPr>
        <w:jc w:val="both"/>
        <w:rPr>
          <w:sz w:val="24"/>
        </w:rPr>
      </w:pPr>
      <w:r>
        <w:rPr>
          <w:b/>
          <w:bCs/>
          <w:sz w:val="24"/>
        </w:rPr>
        <w:t>Other Issues</w:t>
      </w:r>
      <w:r>
        <w:rPr>
          <w:sz w:val="24"/>
        </w:rPr>
        <w:br/>
        <w:br/>
        <w:t xml:space="preserve">Another issue of consequence is the “premium” under column Q of the spreadsheet.  This relates to the regas charge, which is a fixed annual charge.  Over the period of the contract (till 2018) this translates to a negative cashflow of nearly $142 MM.  This is a known and real cash outflow.  </w:t>
        <w:br/>
        <w:br/>
        <w:t xml:space="preserve">As against this, the “option” value generated is in the range of $150 MM.  This is an estimate based on the spread assumptions made between Nymex and FMB going out 17 years.  There is no way to hedge our position that far out in time, nor is there great certainity that those spreads will indeed be achieved.  </w:t>
        <w:br/>
        <w:br/>
        <w:t>Hence, we are achieving a MTM income of roughly $8.5 MM on the basis of incurring an actual cash outflow of $142 MM – a return of less than 6%.  Furthermore, this return will occur only after 2005, since till that period our spreads are reversed, and hence the option is not exercised.</w:t>
        <w:br/>
        <w:br/>
        <w:t>Additionally, the MTM income figure is arrived at using discounting at the interest rate curve, and making the assumption of a risk free world.  In reality, the discounting should account for the actual business risks involved, which include volume risk, international risks, shipping and even operational risks.  This would further reduce our MTM, since we would have to provision for those risks.</w:t>
        <w:br/>
      </w:r>
    </w:p>
    <w:p>
      <w:pPr>
        <w:pStyle w:val="Body"/>
        <w:jc w:val="both"/>
        <w:rPr/>
      </w:pPr>
      <w:r>
        <w:rPr>
          <w:b/>
          <w:bCs/>
          <w:sz w:val="24"/>
        </w:rPr>
        <w:t>Specific Recommendations</w:t>
      </w:r>
      <w:r>
        <w:rPr>
          <w:sz w:val="24"/>
        </w:rPr>
        <w:br/>
        <w:br/>
        <w:t>Given the points above, the Research Group makes the following recommendations:</w:t>
      </w:r>
    </w:p>
    <w:p>
      <w:pPr>
        <w:pStyle w:val="Body"/>
        <w:numPr>
          <w:ilvl w:val="0"/>
          <w:numId w:val="2"/>
        </w:numPr>
        <w:jc w:val="both"/>
        <w:rPr>
          <w:sz w:val="24"/>
        </w:rPr>
      </w:pPr>
      <w:r>
        <w:rPr>
          <w:sz w:val="24"/>
        </w:rPr>
        <w:t xml:space="preserve">The volatility curve used should should have the Trader’s sign-off. It is our understanding that the curve currently in the EGM model is coming from the Trader, and seems to be OK. </w:t>
      </w:r>
    </w:p>
    <w:p>
      <w:pPr>
        <w:pStyle w:val="Body"/>
        <w:numPr>
          <w:ilvl w:val="0"/>
          <w:numId w:val="2"/>
        </w:numPr>
        <w:jc w:val="both"/>
        <w:rPr>
          <w:sz w:val="24"/>
        </w:rPr>
      </w:pPr>
      <w:r>
        <w:rPr>
          <w:sz w:val="24"/>
        </w:rPr>
        <w:t>The correlations used should be 100% from the year 2003 onwards.  Prior to that year, if the Trader has slightly lower correlations, EGM may use these provided it has the Trader’s sign-off, and there is a reasonable basis for a lower correlation.</w:t>
      </w:r>
    </w:p>
    <w:p>
      <w:pPr>
        <w:pStyle w:val="Body"/>
        <w:numPr>
          <w:ilvl w:val="0"/>
          <w:numId w:val="2"/>
        </w:numPr>
        <w:jc w:val="both"/>
        <w:rPr>
          <w:sz w:val="24"/>
        </w:rPr>
      </w:pPr>
      <w:r>
        <w:rPr>
          <w:sz w:val="24"/>
        </w:rPr>
        <w:t>Since most of the value in the “option” is intrinsic, it is more like a swap than an option, and since this value is mostly in the outer years, there is less certainity about the spreads that create this value.</w:t>
      </w:r>
    </w:p>
    <w:p>
      <w:pPr>
        <w:pStyle w:val="Body"/>
        <w:numPr>
          <w:ilvl w:val="0"/>
          <w:numId w:val="2"/>
        </w:numPr>
        <w:jc w:val="both"/>
        <w:rPr>
          <w:sz w:val="24"/>
        </w:rPr>
      </w:pPr>
      <w:r>
        <w:rPr>
          <w:sz w:val="24"/>
        </w:rPr>
        <w:t>Given the large capital outflow in the form of regas charges ($142 MM over 17 years), EGM should reconsider renegotiating our way out of the Regasification contract, since the risk adjusted return on this investment is likely less than 5%.  If assumptions on spreads are incorrect, this number could very quickly become negative.</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92"/>
        </w:tabs>
        <w:ind w:start="792" w:hanging="360"/>
      </w:pPr>
    </w:lvl>
  </w:abstractNum>
  <w:abstractNum w:abstractNumId="3">
    <w:lvl w:ilvl="0">
      <w:start w:val="1"/>
      <w:numFmt w:val="decimal"/>
      <w:lvlText w:val="(%1)"/>
      <w:lvlJc w:val="start"/>
      <w:pPr>
        <w:tabs>
          <w:tab w:val="num" w:pos="432"/>
        </w:tabs>
        <w:ind w:start="432"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3">
    <w:name w:val="heading 3"/>
    <w:basedOn w:val="Normal"/>
    <w:next w:val="NormalIndent"/>
    <w:qFormat/>
    <w:pPr>
      <w:numPr>
        <w:ilvl w:val="2"/>
        <w:numId w:val="1"/>
      </w:numPr>
      <w:ind w:hanging="0" w:start="360" w:end="0"/>
      <w:outlineLvl w:val="2"/>
    </w:pPr>
    <w:rPr>
      <w:rFonts w:ascii="CG Times;Times New Roman" w:hAnsi="CG Times;Times New Roman" w:cs="CG Times;Times New Roman"/>
      <w:b/>
    </w:rPr>
  </w:style>
  <w:style w:type="character" w:styleId="WW8Num1z0">
    <w:name w:val="WW8Num1z0"/>
    <w:qFormat/>
    <w:rPr>
      <w:rFonts w:ascii="Symbol" w:hAnsi="Symbol" w:cs="Symbol"/>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133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2001-10-30T16:53:00Z</dcterms:created>
  <dc:creator>bmehenda</dc:creator>
  <dc:description/>
  <dc:language>en-CA</dc:language>
  <cp:lastModifiedBy>skohli2</cp:lastModifiedBy>
  <cp:lastPrinted>2001-08-02T09:58:00Z</cp:lastPrinted>
  <dcterms:modified xsi:type="dcterms:W3CDTF">2001-10-30T19:05:00Z</dcterms:modified>
  <cp:revision>6</cp:revision>
  <dc:subject/>
  <dc:title>Better, Faster, Simpler Memo </dc:title>
</cp:coreProperties>
</file>