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6120" w:leader="none"/>
          <w:tab w:val="right" w:pos="9360" w:leader="none"/>
        </w:tabs>
        <w:rPr>
          <w:sz w:val="22"/>
          <w:szCs w:val="22"/>
        </w:rPr>
      </w:pPr>
      <w:r>
        <w:rPr/>
        <w:drawing>
          <wp:inline distT="0" distB="0" distL="0" distR="0">
            <wp:extent cx="72580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2580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TRANSPORTATION SERVICES</w:t>
      </w:r>
    </w:p>
    <w:p>
      <w:pPr>
        <w:pStyle w:val="Normal"/>
        <w:rPr>
          <w:b/>
          <w:bCs/>
          <w:sz w:val="22"/>
          <w:szCs w:val="22"/>
        </w:rPr>
      </w:pPr>
      <w:r>
        <w:rPr>
          <w:b/>
          <w:bCs/>
          <w:sz w:val="22"/>
          <w:szCs w:val="22"/>
        </w:rPr>
      </w:r>
    </w:p>
    <w:p>
      <w:pPr>
        <w:pStyle w:val="Normal"/>
        <w:jc w:val="center"/>
        <w:rPr>
          <w:b/>
          <w:bCs/>
          <w:sz w:val="24"/>
          <w:szCs w:val="24"/>
        </w:rPr>
      </w:pPr>
      <w:r>
        <w:rPr>
          <w:b/>
          <w:bCs/>
          <w:sz w:val="24"/>
          <w:szCs w:val="24"/>
        </w:rPr>
      </w:r>
    </w:p>
    <w:tbl>
      <w:tblPr>
        <w:tblW w:w="9324" w:type="dxa"/>
        <w:jc w:val="start"/>
        <w:tblInd w:w="108" w:type="dxa"/>
        <w:tblLayout w:type="fixed"/>
        <w:tblCellMar>
          <w:top w:w="0" w:type="dxa"/>
          <w:start w:w="108" w:type="dxa"/>
          <w:bottom w:w="0" w:type="dxa"/>
          <w:end w:w="108" w:type="dxa"/>
        </w:tblCellMar>
      </w:tblPr>
      <w:tblGrid>
        <w:gridCol w:w="1440"/>
        <w:gridCol w:w="3744"/>
        <w:gridCol w:w="1232"/>
        <w:gridCol w:w="307"/>
        <w:gridCol w:w="514"/>
        <w:gridCol w:w="2087"/>
      </w:tblGrid>
      <w:tr>
        <w:trPr>
          <w:trHeight w:val="320" w:hRule="atLeas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To:</w:t>
            </w:r>
          </w:p>
        </w:tc>
        <w:tc>
          <w:tcPr>
            <w:tcW w:w="3744" w:type="dxa"/>
            <w:tcBorders/>
          </w:tcPr>
          <w:p>
            <w:pPr>
              <w:pStyle w:val="To"/>
              <w:rPr>
                <w:rFonts w:ascii="Times New Roman" w:hAnsi="Times New Roman" w:eastAsia="Times New Roman" w:cs="Times New Roman"/>
                <w:sz w:val="22"/>
                <w:szCs w:val="22"/>
              </w:rPr>
            </w:pPr>
            <w:r>
              <w:rPr>
                <w:rFonts w:eastAsia="Times New Roman" w:cs="Times New Roman" w:ascii="Times New Roman" w:hAnsi="Times New Roman"/>
                <w:sz w:val="22"/>
                <w:szCs w:val="22"/>
              </w:rPr>
              <w:t>Distribution</w:t>
            </w:r>
          </w:p>
        </w:tc>
        <w:tc>
          <w:tcPr>
            <w:tcW w:w="2053" w:type="dxa"/>
            <w:gridSpan w:val="3"/>
            <w:tcBorders/>
          </w:tcPr>
          <w:p>
            <w:pPr>
              <w:pStyle w:val="Normal"/>
              <w:snapToGrid w:val="false"/>
              <w:ind w:start="72" w:end="0"/>
              <w:rPr>
                <w:rFonts w:ascii="Times New Roman" w:hAnsi="Times New Roman" w:eastAsia="Times New Roman" w:cs="Times New Roman"/>
                <w:sz w:val="22"/>
                <w:szCs w:val="22"/>
              </w:rPr>
            </w:pPr>
            <w:r>
              <w:rPr>
                <w:rFonts w:eastAsia="Times New Roman" w:cs="Times New Roman"/>
                <w:sz w:val="22"/>
                <w:szCs w:val="22"/>
              </w:rPr>
            </w:r>
          </w:p>
        </w:tc>
        <w:tc>
          <w:tcPr>
            <w:tcW w:w="2087"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269" w:hRule="exact"/>
        </w:trPr>
        <w:tc>
          <w:tcPr>
            <w:tcW w:w="1440" w:type="dxa"/>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3744"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cPr>
          <w:p>
            <w:pPr>
              <w:pStyle w:val="Normal"/>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300" w:hRule="exac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From:</w:t>
            </w:r>
          </w:p>
        </w:tc>
        <w:tc>
          <w:tcPr>
            <w:tcW w:w="3744" w:type="dxa"/>
            <w:tcBorders/>
          </w:tcPr>
          <w:p>
            <w:pPr>
              <w:pStyle w:val="From"/>
              <w:rPr>
                <w:rFonts w:ascii="Times New Roman" w:hAnsi="Times New Roman" w:eastAsia="Times New Roman" w:cs="Times New Roman"/>
                <w:sz w:val="22"/>
                <w:szCs w:val="22"/>
              </w:rPr>
            </w:pPr>
            <w:r>
              <w:rPr>
                <w:rFonts w:eastAsia="Times New Roman" w:cs="Times New Roman" w:ascii="Times New Roman" w:hAnsi="Times New Roman"/>
                <w:sz w:val="22"/>
                <w:szCs w:val="22"/>
              </w:rPr>
              <w:t>Jan Butler</w:t>
            </w:r>
          </w:p>
        </w:tc>
        <w:tc>
          <w:tcPr>
            <w:tcW w:w="1539" w:type="dxa"/>
            <w:gridSpan w:val="2"/>
            <w:tcBorders/>
          </w:tcPr>
          <w:p>
            <w:pPr>
              <w:pStyle w:val="Normal"/>
              <w:snapToGrid w:val="false"/>
              <w:ind w:start="-180" w:end="0"/>
              <w:jc w:val="end"/>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601" w:type="dxa"/>
            <w:gridSpan w:val="2"/>
            <w:tcBorders/>
          </w:tcPr>
          <w:p>
            <w:pPr>
              <w:pStyle w:val="Department"/>
              <w:snapToGrid w:val="false"/>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bookmarkStart w:id="0" w:name="From"/>
            <w:bookmarkStart w:id="1" w:name="From"/>
            <w:bookmarkEnd w:id="1"/>
          </w:p>
        </w:tc>
      </w:tr>
      <w:tr>
        <w:trPr>
          <w:trHeight w:val="216" w:hRule="exact"/>
        </w:trPr>
        <w:tc>
          <w:tcPr>
            <w:tcW w:w="1440" w:type="dxa"/>
            <w:tcBorders/>
          </w:tcPr>
          <w:p>
            <w:pPr>
              <w:pStyle w:val="Normal"/>
              <w:snapToGrid w:val="false"/>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3744"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53" w:type="dxa"/>
            <w:gridSpan w:val="3"/>
            <w:tcBorders/>
          </w:tcPr>
          <w:p>
            <w:pPr>
              <w:pStyle w:val="Normal"/>
              <w:tabs>
                <w:tab w:val="clear" w:pos="720"/>
                <w:tab w:val="left" w:pos="-108" w:leader="none"/>
              </w:tabs>
              <w:snapToGrid w:val="false"/>
              <w:ind w:start="-180"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c>
          <w:tcPr>
            <w:tcW w:w="2087" w:type="dxa"/>
            <w:tcBorders/>
          </w:tcPr>
          <w:p>
            <w:pPr>
              <w:pStyle w:val="Normal"/>
              <w:snapToGrid w:val="false"/>
              <w:rPr>
                <w:rFonts w:ascii="Antique Olv (W1)" w:hAnsi="Antique Olv (W1)" w:eastAsia="Antique Olv (W1)" w:cs="Antique Olv (W1)"/>
                <w:b/>
                <w:bCs/>
                <w:sz w:val="22"/>
                <w:szCs w:val="22"/>
              </w:rPr>
            </w:pPr>
            <w:r>
              <w:rPr>
                <w:rFonts w:eastAsia="Antique Olv (W1)" w:cs="Antique Olv (W1)" w:ascii="Antique Olv (W1)" w:hAnsi="Antique Olv (W1)"/>
                <w:b/>
                <w:bCs/>
                <w:sz w:val="22"/>
                <w:szCs w:val="22"/>
              </w:rPr>
            </w:r>
          </w:p>
        </w:tc>
      </w:tr>
      <w:tr>
        <w:trPr>
          <w:trHeight w:val="641" w:hRule="exact"/>
        </w:trPr>
        <w:tc>
          <w:tcPr>
            <w:tcW w:w="1440" w:type="dxa"/>
            <w:tcBorders/>
          </w:tcPr>
          <w:p>
            <w:pPr>
              <w:pStyle w:val="Normal"/>
              <w:ind w:start="-108"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Subject:</w:t>
            </w:r>
          </w:p>
        </w:tc>
        <w:tc>
          <w:tcPr>
            <w:tcW w:w="3744" w:type="dxa"/>
            <w:tcBorders/>
          </w:tcPr>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t xml:space="preserve">Summary of El Paso Complaint Order, </w:t>
            </w:r>
          </w:p>
          <w:p>
            <w:pPr>
              <w:pStyle w:val="Subject"/>
              <w:rPr>
                <w:rFonts w:ascii="Times New Roman" w:hAnsi="Times New Roman" w:eastAsia="Times New Roman" w:cs="Times New Roman"/>
                <w:sz w:val="22"/>
                <w:szCs w:val="22"/>
              </w:rPr>
            </w:pPr>
            <w:r>
              <w:rPr>
                <w:rFonts w:eastAsia="Times New Roman" w:cs="Times New Roman" w:ascii="Times New Roman" w:hAnsi="Times New Roman"/>
                <w:sz w:val="22"/>
                <w:szCs w:val="22"/>
              </w:rPr>
              <w:t>RP99-507 and RP00-139</w:t>
            </w:r>
          </w:p>
        </w:tc>
        <w:tc>
          <w:tcPr>
            <w:tcW w:w="1232" w:type="dxa"/>
            <w:tcBorders/>
          </w:tcPr>
          <w:p>
            <w:pPr>
              <w:pStyle w:val="Normal"/>
              <w:ind w:start="44" w:end="0"/>
              <w:rPr>
                <w:rFonts w:ascii="Antique Olv (W1)" w:hAnsi="Antique Olv (W1)" w:eastAsia="Antique Olv (W1)" w:cs="Antique Olv (W1)"/>
                <w:b/>
                <w:bCs/>
                <w:sz w:val="22"/>
                <w:szCs w:val="22"/>
              </w:rPr>
            </w:pPr>
            <w:r>
              <w:rPr>
                <w:rFonts w:eastAsia="Antique Olv (W1)" w:cs="Antique Olv (W1)" w:ascii="Antique Olv (W1)" w:hAnsi="Antique Olv (W1)"/>
                <w:b/>
                <w:bCs/>
                <w:sz w:val="22"/>
                <w:szCs w:val="22"/>
              </w:rPr>
              <w:t>Date:</w:t>
            </w:r>
          </w:p>
        </w:tc>
        <w:tc>
          <w:tcPr>
            <w:tcW w:w="2908" w:type="dxa"/>
            <w:gridSpan w:val="3"/>
            <w:tcBorders/>
          </w:tcPr>
          <w:p>
            <w:pPr>
              <w:pStyle w:val="Date"/>
              <w:rPr>
                <w:rFonts w:ascii="Times New Roman" w:hAnsi="Times New Roman" w:eastAsia="Times New Roman" w:cs="Times New Roman"/>
                <w:sz w:val="22"/>
                <w:szCs w:val="22"/>
              </w:rPr>
            </w:pPr>
            <w:r>
              <w:rPr>
                <w:rFonts w:eastAsia="Times New Roman" w:cs="Times New Roman" w:ascii="Times New Roman" w:hAnsi="Times New Roman"/>
                <w:sz w:val="22"/>
                <w:szCs w:val="22"/>
              </w:rPr>
              <w:t>October 25, 2000</w:t>
            </w:r>
          </w:p>
        </w:tc>
      </w:tr>
    </w:tbl>
    <w:p>
      <w:pPr>
        <w:pStyle w:val="Normal"/>
        <w:pBdr>
          <w:bottom w:val="single" w:sz="12" w:space="1" w:color="000000"/>
        </w:pBdr>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This order addresses two complaints against El Paso in consolidated filings by Amoco Energy Trading, Amoco Production and Burlington Resources Oil &amp; Gas and by KN Marketing.</w:t>
      </w:r>
    </w:p>
    <w:p>
      <w:pPr>
        <w:pStyle w:val="Normal"/>
        <w:rPr>
          <w:sz w:val="22"/>
          <w:szCs w:val="22"/>
        </w:rPr>
      </w:pPr>
      <w:r>
        <w:rPr>
          <w:sz w:val="22"/>
          <w:szCs w:val="22"/>
        </w:rPr>
      </w:r>
    </w:p>
    <w:p>
      <w:pPr>
        <w:pStyle w:val="Normal"/>
        <w:rPr>
          <w:b/>
          <w:bCs/>
          <w:sz w:val="22"/>
          <w:szCs w:val="22"/>
        </w:rPr>
      </w:pPr>
      <w:r>
        <w:rPr>
          <w:b/>
          <w:bCs/>
          <w:sz w:val="22"/>
          <w:szCs w:val="22"/>
        </w:rPr>
        <w:t>Amoco Energy Trading, Amoco Production, Burlington Resources, RP99-507</w:t>
      </w:r>
    </w:p>
    <w:p>
      <w:pPr>
        <w:pStyle w:val="Normal"/>
        <w:rPr/>
      </w:pPr>
      <w:r>
        <w:rPr>
          <w:sz w:val="22"/>
          <w:szCs w:val="22"/>
        </w:rPr>
        <w:t xml:space="preserve">Today's order finds that El Paso's method of allocating delivery point capacity at Topock </w:t>
      </w:r>
      <w:r>
        <w:rPr>
          <w:b/>
          <w:bCs/>
          <w:sz w:val="22"/>
          <w:szCs w:val="22"/>
        </w:rPr>
        <w:t>is unjust</w:t>
      </w:r>
      <w:r>
        <w:rPr>
          <w:sz w:val="22"/>
          <w:szCs w:val="22"/>
        </w:rPr>
        <w:t xml:space="preserve"> and unreasonable and directs El Paso to file a revised allocation method within 15 days.  FERC creates an allocation method for El Paso shippers that provides certainty that nominations at primary firm delivery points under their contracts will be honored.  </w:t>
      </w:r>
    </w:p>
    <w:p>
      <w:pPr>
        <w:pStyle w:val="Normal"/>
        <w:rPr>
          <w:sz w:val="22"/>
          <w:szCs w:val="22"/>
        </w:rPr>
      </w:pPr>
      <w:r>
        <w:rPr>
          <w:sz w:val="22"/>
          <w:szCs w:val="22"/>
        </w:rPr>
      </w:r>
    </w:p>
    <w:p>
      <w:pPr>
        <w:pStyle w:val="Normal"/>
        <w:ind w:start="360" w:end="0"/>
        <w:rPr>
          <w:sz w:val="22"/>
          <w:szCs w:val="22"/>
          <w:u w:val="single"/>
        </w:rPr>
      </w:pPr>
      <w:r>
        <w:rPr>
          <w:sz w:val="22"/>
          <w:szCs w:val="22"/>
          <w:u w:val="single"/>
        </w:rPr>
        <w:t>Issue</w:t>
      </w:r>
    </w:p>
    <w:p>
      <w:pPr>
        <w:pStyle w:val="Normal"/>
        <w:ind w:start="360" w:end="0"/>
        <w:rPr/>
      </w:pPr>
      <w:r>
        <w:rPr>
          <w:sz w:val="22"/>
          <w:szCs w:val="22"/>
        </w:rPr>
        <w:t xml:space="preserve">Allegations against El Paso are that El Paso is over-nominating at Topock delivery points and reducing parties' firm nominations on a </w:t>
      </w:r>
      <w:r>
        <w:rPr>
          <w:sz w:val="22"/>
          <w:szCs w:val="22"/>
          <w:u w:val="single"/>
        </w:rPr>
        <w:t>pro</w:t>
      </w:r>
      <w:r>
        <w:rPr>
          <w:sz w:val="22"/>
          <w:szCs w:val="22"/>
        </w:rPr>
        <w:t xml:space="preserve"> </w:t>
      </w:r>
      <w:r>
        <w:rPr>
          <w:sz w:val="22"/>
          <w:szCs w:val="22"/>
          <w:u w:val="single"/>
        </w:rPr>
        <w:t>rata</w:t>
      </w:r>
      <w:r>
        <w:rPr>
          <w:sz w:val="22"/>
          <w:szCs w:val="22"/>
        </w:rPr>
        <w:t xml:space="preserve"> basis daily up to as much as 75%.  In its complaint, Amoco and Burlington requested FERC to delay El Paso's open season until January 1, 2000.</w:t>
      </w:r>
    </w:p>
    <w:p>
      <w:pPr>
        <w:pStyle w:val="Normal"/>
        <w:rPr>
          <w:sz w:val="22"/>
          <w:szCs w:val="22"/>
        </w:rPr>
      </w:pPr>
      <w:r>
        <w:rPr>
          <w:sz w:val="22"/>
          <w:szCs w:val="22"/>
        </w:rPr>
      </w:r>
    </w:p>
    <w:p>
      <w:pPr>
        <w:pStyle w:val="Normal"/>
        <w:ind w:start="360" w:end="0"/>
        <w:rPr>
          <w:sz w:val="22"/>
          <w:szCs w:val="22"/>
          <w:u w:val="single"/>
        </w:rPr>
      </w:pPr>
      <w:r>
        <w:rPr>
          <w:sz w:val="22"/>
          <w:szCs w:val="22"/>
          <w:u w:val="single"/>
        </w:rPr>
        <w:t>Timeline</w:t>
      </w:r>
    </w:p>
    <w:p>
      <w:pPr>
        <w:pStyle w:val="Normal"/>
        <w:tabs>
          <w:tab w:val="clear" w:pos="720"/>
          <w:tab w:val="left" w:pos="1260" w:leader="none"/>
        </w:tabs>
        <w:ind w:hanging="900" w:start="1260" w:end="0"/>
        <w:rPr>
          <w:sz w:val="22"/>
          <w:szCs w:val="22"/>
        </w:rPr>
      </w:pPr>
      <w:r>
        <w:rPr>
          <w:sz w:val="22"/>
          <w:szCs w:val="22"/>
        </w:rPr>
        <w:t>9/21/99</w:t>
        <w:tab/>
        <w:t>Amoco and Burlington file complaint alleging unjust allocation methodology on El Paso's system.</w:t>
      </w:r>
    </w:p>
    <w:p>
      <w:pPr>
        <w:pStyle w:val="Normal"/>
        <w:tabs>
          <w:tab w:val="clear" w:pos="720"/>
          <w:tab w:val="left" w:pos="1260" w:leader="none"/>
        </w:tabs>
        <w:ind w:hanging="900" w:start="1260" w:end="0"/>
        <w:rPr>
          <w:sz w:val="22"/>
          <w:szCs w:val="22"/>
        </w:rPr>
      </w:pPr>
      <w:r>
        <w:rPr>
          <w:sz w:val="22"/>
          <w:szCs w:val="22"/>
        </w:rPr>
        <w:t xml:space="preserve">9/28/99 </w:t>
        <w:tab/>
        <w:t xml:space="preserve">FERC order denies Amoco and Burlington's request to delay the open season.  </w:t>
      </w:r>
    </w:p>
    <w:p>
      <w:pPr>
        <w:pStyle w:val="Normal"/>
        <w:tabs>
          <w:tab w:val="clear" w:pos="720"/>
          <w:tab w:val="left" w:pos="1260" w:leader="none"/>
        </w:tabs>
        <w:ind w:hanging="900" w:start="1260" w:end="0"/>
        <w:rPr>
          <w:sz w:val="22"/>
          <w:szCs w:val="22"/>
        </w:rPr>
      </w:pPr>
      <w:r>
        <w:rPr>
          <w:sz w:val="22"/>
          <w:szCs w:val="22"/>
        </w:rPr>
        <w:t>11/10/99</w:t>
        <w:tab/>
        <w:t xml:space="preserve">FERC order establishes procedures and acknowledges El Paso's allocation method may be unjust.  Expands the scope of the proceeding to include El Paso's receipt point allocation methods for entire system. Directs El Paso to change its current capacity allocation methods.  </w:t>
      </w:r>
    </w:p>
    <w:p>
      <w:pPr>
        <w:pStyle w:val="Normal"/>
        <w:tabs>
          <w:tab w:val="clear" w:pos="720"/>
          <w:tab w:val="left" w:pos="1260" w:leader="none"/>
        </w:tabs>
        <w:ind w:hanging="900" w:start="1260" w:end="0"/>
        <w:rPr>
          <w:sz w:val="22"/>
          <w:szCs w:val="22"/>
        </w:rPr>
      </w:pPr>
      <w:r>
        <w:rPr>
          <w:sz w:val="22"/>
          <w:szCs w:val="22"/>
        </w:rPr>
        <w:t>12/16/99</w:t>
        <w:tab/>
        <w:t>KN Marketing files complaint in Docket No. RP00-139 requesting FERC look into El Paso's allocation method at the East End of its system at San Juan Basin.  KN's nominations have been cut as much as 46%.</w:t>
      </w:r>
    </w:p>
    <w:p>
      <w:pPr>
        <w:pStyle w:val="Normal"/>
        <w:tabs>
          <w:tab w:val="clear" w:pos="720"/>
          <w:tab w:val="left" w:pos="1260" w:leader="none"/>
        </w:tabs>
        <w:ind w:hanging="900" w:start="1260" w:end="0"/>
        <w:rPr>
          <w:sz w:val="22"/>
          <w:szCs w:val="22"/>
        </w:rPr>
      </w:pPr>
      <w:r>
        <w:rPr>
          <w:sz w:val="22"/>
          <w:szCs w:val="22"/>
        </w:rPr>
        <w:t>2/28/00</w:t>
        <w:tab/>
        <w:t>FERC order consolidates KN Marketing's complaint with Amoco/Burlington</w:t>
      </w:r>
    </w:p>
    <w:p>
      <w:pPr>
        <w:pStyle w:val="Normal"/>
        <w:ind w:hanging="900" w:start="1260" w:end="0"/>
        <w:rPr>
          <w:sz w:val="22"/>
          <w:szCs w:val="22"/>
        </w:rPr>
      </w:pPr>
      <w:r>
        <w:rPr>
          <w:sz w:val="22"/>
          <w:szCs w:val="22"/>
        </w:rPr>
        <w:t>3/9/00</w:t>
        <w:tab/>
        <w:t xml:space="preserve">Technical conferences held 3/9, 4/15, and 5/2/00 to discuss revised allocation proposals. Parties fail to reach settlement.  </w:t>
      </w:r>
    </w:p>
    <w:p>
      <w:pPr>
        <w:pStyle w:val="Normal"/>
        <w:rPr>
          <w:sz w:val="22"/>
          <w:szCs w:val="22"/>
        </w:rPr>
      </w:pPr>
      <w:r>
        <w:rPr>
          <w:sz w:val="22"/>
          <w:szCs w:val="22"/>
        </w:rPr>
      </w:r>
    </w:p>
    <w:p>
      <w:pPr>
        <w:pStyle w:val="Normal"/>
        <w:ind w:start="360" w:end="0"/>
        <w:rPr>
          <w:sz w:val="22"/>
          <w:szCs w:val="22"/>
          <w:u w:val="single"/>
        </w:rPr>
      </w:pPr>
      <w:r>
        <w:rPr>
          <w:sz w:val="22"/>
          <w:szCs w:val="22"/>
          <w:u w:val="single"/>
        </w:rPr>
        <w:t>FERC's Allocation Methodology for El Paso</w:t>
      </w:r>
    </w:p>
    <w:p>
      <w:pPr>
        <w:pStyle w:val="Normal"/>
        <w:ind w:start="360" w:end="0"/>
        <w:rPr>
          <w:sz w:val="22"/>
          <w:szCs w:val="22"/>
          <w:u w:val="single"/>
        </w:rPr>
      </w:pPr>
      <w:r>
        <w:rPr>
          <w:sz w:val="22"/>
          <w:szCs w:val="22"/>
          <w:u w:val="single"/>
        </w:rPr>
      </w:r>
    </w:p>
    <w:p>
      <w:pPr>
        <w:pStyle w:val="Normal"/>
        <w:ind w:start="360" w:end="0"/>
        <w:rPr>
          <w:sz w:val="22"/>
          <w:szCs w:val="22"/>
        </w:rPr>
      </w:pPr>
      <w:r>
        <w:rPr>
          <w:sz w:val="22"/>
          <w:szCs w:val="22"/>
        </w:rPr>
        <w:t xml:space="preserve">El Paso is required to assign capacity at Topock to each shipper with firm delivery rights based on a one-time; election by shippers with firm contract rights on their current contract entitlements.  Firm shippers with rights in aggregate but not specific Topock points must make an election as to how their delivery point rights should be distributed among the Topock delivery points.  (For example, if a firm shipper has rights to 100 units at Topock, it can designate all 100 units to SoCal Topock or 25 units to each of the four Topock points or any combination).  Firm shippers have 14 days to make their election.  El Paso must report shippers' elections within 5 days.  </w:t>
      </w:r>
    </w:p>
    <w:p>
      <w:pPr>
        <w:pStyle w:val="Normal"/>
        <w:ind w:start="360" w:end="0"/>
        <w:rPr>
          <w:sz w:val="22"/>
          <w:szCs w:val="22"/>
        </w:rPr>
      </w:pPr>
      <w:r>
        <w:rPr>
          <w:sz w:val="22"/>
          <w:szCs w:val="22"/>
        </w:rPr>
      </w:r>
    </w:p>
    <w:p>
      <w:pPr>
        <w:pStyle w:val="Normal"/>
        <w:ind w:start="360" w:end="0"/>
        <w:rPr>
          <w:sz w:val="22"/>
          <w:szCs w:val="22"/>
        </w:rPr>
      </w:pPr>
      <w:r>
        <w:rPr>
          <w:sz w:val="22"/>
          <w:szCs w:val="22"/>
        </w:rPr>
        <w:t xml:space="preserve">The second step requires El Paso to allocate capacity at each Topock point, adding up all firm shippers' rights at each point (includes shippers in step 1 above and those whose rights have specific Topock points).  El Paso then calculates for each firm shipper at each point the percentage that shipper has of the total contract rights at the point.  Based on these percentages, El Paso will divide up the available physical capacity at each point - and distribute them to the affected firm shippers and notifies FERC within 7 days.  </w:t>
      </w:r>
    </w:p>
    <w:p>
      <w:pPr>
        <w:pStyle w:val="Normal"/>
        <w:ind w:start="360" w:end="0"/>
        <w:rPr>
          <w:sz w:val="22"/>
          <w:szCs w:val="22"/>
        </w:rPr>
      </w:pPr>
      <w:r>
        <w:rPr>
          <w:sz w:val="22"/>
          <w:szCs w:val="22"/>
        </w:rPr>
      </w:r>
    </w:p>
    <w:p>
      <w:pPr>
        <w:pStyle w:val="Normal"/>
        <w:ind w:start="360" w:end="0"/>
        <w:rPr>
          <w:sz w:val="22"/>
          <w:szCs w:val="22"/>
        </w:rPr>
      </w:pPr>
      <w:r>
        <w:rPr>
          <w:sz w:val="22"/>
          <w:szCs w:val="22"/>
        </w:rPr>
        <w:t>In step three, if capacity remains, firm shippers would be able to transfer their delivery point rights to a Topock point that is not fully subscribed or other delivery points based on the allocation formula above.</w:t>
      </w:r>
    </w:p>
    <w:p>
      <w:pPr>
        <w:pStyle w:val="Normal"/>
        <w:rPr>
          <w:sz w:val="22"/>
          <w:szCs w:val="22"/>
        </w:rPr>
      </w:pPr>
      <w:r>
        <w:rPr>
          <w:sz w:val="22"/>
          <w:szCs w:val="22"/>
        </w:rPr>
      </w:r>
    </w:p>
    <w:p>
      <w:pPr>
        <w:pStyle w:val="Normal"/>
        <w:ind w:start="360" w:end="0"/>
        <w:rPr>
          <w:sz w:val="22"/>
          <w:szCs w:val="22"/>
        </w:rPr>
      </w:pPr>
      <w:r>
        <w:rPr>
          <w:sz w:val="22"/>
          <w:szCs w:val="22"/>
        </w:rPr>
        <w:t>As a result of this assignment process, each shipper will have delivery point capacity reduced; however, each shipper will be guaranteed that it can nominate up to its assigned amount on any day.  To the extent that a shipper does not use its full rights, it may release its rights so replacement shippers will also have the ability to use that Topock capacity without any reductions.</w:t>
      </w:r>
    </w:p>
    <w:p>
      <w:pPr>
        <w:pStyle w:val="Normal"/>
        <w:rPr>
          <w:sz w:val="22"/>
          <w:szCs w:val="22"/>
        </w:rPr>
      </w:pPr>
      <w:r>
        <w:rPr>
          <w:sz w:val="22"/>
          <w:szCs w:val="22"/>
        </w:rPr>
      </w:r>
    </w:p>
    <w:p>
      <w:pPr>
        <w:pStyle w:val="Normal"/>
        <w:rPr>
          <w:b/>
          <w:bCs/>
          <w:sz w:val="22"/>
          <w:szCs w:val="22"/>
        </w:rPr>
      </w:pPr>
      <w:r>
        <w:rPr>
          <w:b/>
          <w:bCs/>
          <w:sz w:val="22"/>
          <w:szCs w:val="22"/>
        </w:rPr>
        <w:t>KN Marketing, RP00-139</w:t>
      </w:r>
    </w:p>
    <w:p>
      <w:pPr>
        <w:pStyle w:val="Normal"/>
        <w:rPr>
          <w:sz w:val="22"/>
          <w:szCs w:val="22"/>
        </w:rPr>
      </w:pPr>
      <w:r>
        <w:rPr>
          <w:sz w:val="22"/>
          <w:szCs w:val="22"/>
        </w:rPr>
        <w:t xml:space="preserve">KN Marketing argues against the manner in which El Paso allocates mainline capacity on the East End of its system from the San Juan Basin to Texas.  The order defers these capacity segmentation issues in abeyance pending the outcome of the Order 637 compliance filing. </w:t>
      </w:r>
    </w:p>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Antique Olv (W1)">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El Paso complaint.doc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El Paso complaint.doc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w:t>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eastAsia="Arial" w:cs="Arial"/>
      <w:b/>
      <w:bC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eastAsia="Arial" w:cs="Arial"/>
    </w:rPr>
  </w:style>
  <w:style w:type="paragraph" w:styleId="Date">
    <w:name w:val="Date"/>
    <w:basedOn w:val="Normal"/>
    <w:qFormat/>
    <w:pPr/>
    <w:rPr>
      <w:rFonts w:ascii="Arial" w:hAnsi="Arial" w:eastAsia="Arial" w:cs="Arial"/>
    </w:rPr>
  </w:style>
  <w:style w:type="paragraph" w:styleId="To">
    <w:name w:val="To"/>
    <w:basedOn w:val="Normal"/>
    <w:qFormat/>
    <w:pPr/>
    <w:rPr>
      <w:rFonts w:ascii="Arial" w:hAnsi="Arial" w:eastAsia="Arial" w:cs="Arial"/>
    </w:rPr>
  </w:style>
  <w:style w:type="paragraph" w:styleId="From">
    <w:name w:val="From"/>
    <w:basedOn w:val="Normal"/>
    <w:qFormat/>
    <w:pPr/>
    <w:rPr>
      <w:rFonts w:ascii="Arial" w:hAnsi="Arial" w:eastAsia="Arial" w:cs="Arial"/>
    </w:rPr>
  </w:style>
  <w:style w:type="paragraph" w:styleId="Department">
    <w:name w:val="Department"/>
    <w:basedOn w:val="Normal"/>
    <w:qFormat/>
    <w:pPr/>
    <w:rPr>
      <w:rFonts w:ascii="Arial" w:hAnsi="Arial" w:eastAsia="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2000-10-25T19:51:00Z</dcterms:created>
  <dc:creator>Jan Butler</dc:creator>
  <dc:description/>
  <dc:language>en-CA</dc:language>
  <cp:lastModifiedBy>Janet Butler</cp:lastModifiedBy>
  <cp:lastPrinted>2000-10-25T17:26:00Z</cp:lastPrinted>
  <dcterms:modified xsi:type="dcterms:W3CDTF">2000-10-25T20:01:00Z</dcterms:modified>
  <cp:revision>4</cp:revision>
  <dc:subject/>
  <dc:title>DRAFT</dc:title>
</cp:coreProperties>
</file>