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UNITED STATES OF AMERICA</w:t>
      </w:r>
    </w:p>
    <w:p>
      <w:pPr>
        <w:pStyle w:val="Normal"/>
        <w:numPr>
          <w:ilvl w:val="0"/>
          <w:numId w:val="0"/>
        </w:numPr>
        <w:jc w:val="center"/>
        <w:outlineLvl w:val="0"/>
        <w:rPr>
          <w:b/>
          <w:bCs/>
        </w:rPr>
      </w:pPr>
      <w:r>
        <w:rPr>
          <w:b/>
          <w:bCs/>
        </w:rPr>
        <w:t>BEFORE THE</w:t>
      </w:r>
    </w:p>
    <w:p>
      <w:pPr>
        <w:pStyle w:val="Normal"/>
        <w:numPr>
          <w:ilvl w:val="0"/>
          <w:numId w:val="0"/>
        </w:numPr>
        <w:jc w:val="center"/>
        <w:outlineLvl w:val="0"/>
        <w:rPr>
          <w:b/>
          <w:bCs/>
        </w:rPr>
      </w:pPr>
      <w:r>
        <w:rPr>
          <w:b/>
          <w:bCs/>
        </w:rPr>
        <w:t>FEDERAL ENERGY REGULATORY COMMISSION</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tabs>
          <w:tab w:val="clear" w:pos="720"/>
          <w:tab w:val="left" w:pos="4320" w:leader="none"/>
        </w:tabs>
        <w:rPr/>
      </w:pPr>
      <w:r>
        <w:rPr/>
        <w:t>Public Utilities Commission of the</w:t>
        <w:tab/>
        <w:t>)</w:t>
      </w:r>
    </w:p>
    <w:p>
      <w:pPr>
        <w:pStyle w:val="Normal"/>
        <w:tabs>
          <w:tab w:val="clear" w:pos="720"/>
          <w:tab w:val="left" w:pos="4320" w:leader="none"/>
        </w:tabs>
        <w:rPr/>
      </w:pPr>
      <w:r>
        <w:rPr/>
        <w:t xml:space="preserve">   </w:t>
      </w:r>
      <w:r>
        <w:rPr/>
        <w:t>State of California</w:t>
        <w:tab/>
        <w:t>)</w:t>
      </w:r>
    </w:p>
    <w:p>
      <w:pPr>
        <w:pStyle w:val="Normal"/>
        <w:tabs>
          <w:tab w:val="clear" w:pos="720"/>
          <w:tab w:val="left" w:pos="4320" w:leader="none"/>
        </w:tabs>
        <w:rPr/>
      </w:pPr>
      <w:r>
        <w:rPr/>
        <w:tab/>
        <w:t>)</w:t>
      </w:r>
    </w:p>
    <w:p>
      <w:pPr>
        <w:pStyle w:val="Normal"/>
        <w:tabs>
          <w:tab w:val="clear" w:pos="720"/>
          <w:tab w:val="left" w:pos="4320" w:leader="none"/>
          <w:tab w:val="right" w:pos="8460" w:leader="none"/>
        </w:tabs>
        <w:rPr/>
      </w:pPr>
      <w:r>
        <w:rPr/>
        <w:t xml:space="preserve">          </w:t>
      </w:r>
      <w:r>
        <w:rPr/>
        <w:t>v.</w:t>
        <w:tab/>
        <w:t>)</w:t>
        <w:tab/>
        <w:t>Docket No. RP00-241-000</w:t>
      </w:r>
    </w:p>
    <w:p>
      <w:pPr>
        <w:pStyle w:val="Normal"/>
        <w:tabs>
          <w:tab w:val="clear" w:pos="720"/>
          <w:tab w:val="left" w:pos="4320" w:leader="none"/>
          <w:tab w:val="right" w:pos="8460" w:leader="none"/>
        </w:tabs>
        <w:rPr/>
      </w:pPr>
      <w:r>
        <w:rPr/>
        <w:tab/>
        <w:t>)</w:t>
      </w:r>
    </w:p>
    <w:p>
      <w:pPr>
        <w:pStyle w:val="Normal"/>
        <w:tabs>
          <w:tab w:val="clear" w:pos="720"/>
          <w:tab w:val="left" w:pos="4320" w:leader="none"/>
          <w:tab w:val="right" w:pos="8460" w:leader="none"/>
        </w:tabs>
        <w:rPr/>
      </w:pPr>
      <w:r>
        <w:rPr/>
        <w:t>El Paso Natural Gas Company,</w:t>
        <w:tab/>
        <w:t>)</w:t>
      </w:r>
    </w:p>
    <w:p>
      <w:pPr>
        <w:pStyle w:val="Normal"/>
        <w:tabs>
          <w:tab w:val="clear" w:pos="720"/>
          <w:tab w:val="left" w:pos="4320" w:leader="none"/>
          <w:tab w:val="right" w:pos="8460" w:leader="none"/>
        </w:tabs>
        <w:rPr/>
      </w:pPr>
      <w:r>
        <w:rPr/>
        <w:t>El Paso Merchant Energy Gas, L.P.,</w:t>
        <w:tab/>
        <w:t>)</w:t>
      </w:r>
    </w:p>
    <w:p>
      <w:pPr>
        <w:pStyle w:val="Normal"/>
        <w:tabs>
          <w:tab w:val="clear" w:pos="720"/>
          <w:tab w:val="left" w:pos="4320" w:leader="none"/>
          <w:tab w:val="right" w:pos="8460" w:leader="none"/>
        </w:tabs>
        <w:rPr/>
      </w:pPr>
      <w:r>
        <w:rPr/>
        <w:t>El Paso Merchant Energy Company</w:t>
        <w:tab/>
        <w:t>)</w:t>
      </w:r>
    </w:p>
    <w:p>
      <w:pPr>
        <w:pStyle w:val="Normal"/>
        <w:tabs>
          <w:tab w:val="clear" w:pos="720"/>
          <w:tab w:val="left" w:pos="4320" w:leader="none"/>
          <w:tab w:val="right" w:pos="8460" w:leader="none"/>
        </w:tabs>
        <w:rPr/>
      </w:pPr>
      <w:r>
        <w:rPr/>
      </w:r>
    </w:p>
    <w:p>
      <w:pPr>
        <w:pStyle w:val="Normal"/>
        <w:tabs>
          <w:tab w:val="clear" w:pos="720"/>
          <w:tab w:val="left" w:pos="4320" w:leader="none"/>
          <w:tab w:val="right" w:pos="8460" w:leader="none"/>
        </w:tabs>
        <w:rPr/>
      </w:pPr>
      <w:r>
        <w:rPr/>
      </w:r>
    </w:p>
    <w:p>
      <w:pPr>
        <w:pStyle w:val="Heading1"/>
        <w:ind w:hanging="0" w:start="0"/>
        <w:rPr/>
      </w:pPr>
      <w:r>
        <w:rPr/>
        <w:t>PREPARED REBUTTAL TESTIMONY</w:t>
      </w:r>
    </w:p>
    <w:p>
      <w:pPr>
        <w:pStyle w:val="Normal"/>
        <w:tabs>
          <w:tab w:val="clear" w:pos="720"/>
          <w:tab w:val="left" w:pos="4320" w:leader="none"/>
          <w:tab w:val="right" w:pos="8460" w:leader="none"/>
        </w:tabs>
        <w:jc w:val="center"/>
        <w:rPr>
          <w:b/>
          <w:bCs/>
        </w:rPr>
      </w:pPr>
      <w:r>
        <w:rPr>
          <w:b/>
          <w:bCs/>
        </w:rPr>
        <w:t>OF PATRICIA A. SHELTON</w:t>
      </w:r>
    </w:p>
    <w:p>
      <w:pPr>
        <w:pStyle w:val="Normal"/>
        <w:tabs>
          <w:tab w:val="clear" w:pos="720"/>
          <w:tab w:val="left" w:pos="4320" w:leader="none"/>
          <w:tab w:val="right" w:pos="8460" w:leader="none"/>
        </w:tabs>
        <w:jc w:val="center"/>
        <w:rPr>
          <w:b/>
          <w:bCs/>
        </w:rPr>
      </w:pPr>
      <w:r>
        <w:rPr>
          <w:b/>
          <w:bCs/>
        </w:rPr>
        <w:t>ON MARKETING AFFILIATE ISSUES</w:t>
      </w:r>
    </w:p>
    <w:p>
      <w:pPr>
        <w:pStyle w:val="Normal"/>
        <w:tabs>
          <w:tab w:val="clear" w:pos="720"/>
          <w:tab w:val="left" w:pos="4320" w:leader="none"/>
          <w:tab w:val="right" w:pos="8460" w:leader="none"/>
        </w:tabs>
        <w:jc w:val="center"/>
        <w:rPr>
          <w:b/>
          <w:bCs/>
        </w:rPr>
      </w:pPr>
      <w:r>
        <w:rPr>
          <w:b/>
          <w:bCs/>
        </w:rPr>
      </w:r>
    </w:p>
    <w:p>
      <w:pPr>
        <w:pStyle w:val="Normal"/>
        <w:tabs>
          <w:tab w:val="left" w:pos="720" w:leader="none"/>
          <w:tab w:val="left" w:pos="4320" w:leader="none"/>
          <w:tab w:val="right" w:pos="8460" w:leader="none"/>
        </w:tabs>
        <w:spacing w:lineRule="auto" w:line="480"/>
        <w:ind w:hanging="720" w:start="720" w:end="0"/>
        <w:rPr/>
      </w:pPr>
      <w:r>
        <w:rPr/>
        <w:t>Q.</w:t>
        <w:tab/>
        <w:t>Please state your name and address.</w:t>
      </w:r>
    </w:p>
    <w:p>
      <w:pPr>
        <w:pStyle w:val="Normal"/>
        <w:tabs>
          <w:tab w:val="left" w:pos="720" w:leader="none"/>
          <w:tab w:val="left" w:pos="4320" w:leader="none"/>
          <w:tab w:val="right" w:pos="8460" w:leader="none"/>
        </w:tabs>
        <w:spacing w:lineRule="auto" w:line="480" w:before="0" w:after="240"/>
        <w:ind w:hanging="720" w:start="720" w:end="0"/>
        <w:rPr/>
      </w:pPr>
      <w:r>
        <w:rPr/>
        <w:t>A.</w:t>
        <w:tab/>
        <w:t>My name is Patricia A. Shelton.  My business address is 2 North Nevada Ave., Colorado Springs, Colorado  80903.</w:t>
      </w:r>
    </w:p>
    <w:p>
      <w:pPr>
        <w:pStyle w:val="Normal"/>
        <w:tabs>
          <w:tab w:val="left" w:pos="720" w:leader="none"/>
          <w:tab w:val="left" w:pos="4320" w:leader="none"/>
          <w:tab w:val="right" w:pos="8460" w:leader="none"/>
        </w:tabs>
        <w:spacing w:lineRule="auto" w:line="480"/>
        <w:ind w:hanging="720" w:start="720" w:end="0"/>
        <w:rPr/>
      </w:pPr>
      <w:r>
        <w:rPr/>
        <w:t>Q.</w:t>
        <w:tab/>
        <w:t>Are you the same Patricia A. Shelton who submitted prepared direct testimony in this proceeding on July 13, 2001, regarding marketing affiliate issues?</w:t>
      </w:r>
    </w:p>
    <w:p>
      <w:pPr>
        <w:pStyle w:val="Normal"/>
        <w:tabs>
          <w:tab w:val="left" w:pos="720" w:leader="none"/>
          <w:tab w:val="left" w:pos="4320" w:leader="none"/>
          <w:tab w:val="right" w:pos="8460" w:leader="none"/>
        </w:tabs>
        <w:spacing w:lineRule="auto" w:line="480" w:before="0" w:after="240"/>
        <w:ind w:hanging="720" w:start="720" w:end="0"/>
        <w:rPr/>
      </w:pPr>
      <w:r>
        <w:rPr/>
        <w:t>A.</w:t>
        <w:tab/>
        <w:t>Yes, I am.</w:t>
      </w:r>
    </w:p>
    <w:p>
      <w:pPr>
        <w:pStyle w:val="Normal"/>
        <w:tabs>
          <w:tab w:val="left" w:pos="720" w:leader="none"/>
          <w:tab w:val="left" w:pos="4320" w:leader="none"/>
          <w:tab w:val="right" w:pos="8460" w:leader="none"/>
        </w:tabs>
        <w:spacing w:lineRule="auto" w:line="480"/>
        <w:ind w:hanging="720" w:start="720" w:end="0"/>
        <w:rPr/>
      </w:pPr>
      <w:r>
        <w:rPr/>
        <w:t>Q.</w:t>
        <w:tab/>
        <w:t>What is the purpose of your prepared rebuttal testimony?</w:t>
      </w:r>
    </w:p>
    <w:p>
      <w:pPr>
        <w:pStyle w:val="BodyTextIndent"/>
        <w:spacing w:before="0" w:after="240"/>
        <w:rPr/>
      </w:pPr>
      <w:r>
        <w:rPr/>
        <w:t>A.</w:t>
        <w:tab/>
        <w:t xml:space="preserve">My testimony will respond to the prepared direct testimony of Mr. Robert Mark Pocta of the Public Utilities Commission of the State of California ("CPUC").  </w:t>
      </w:r>
    </w:p>
    <w:p>
      <w:pPr>
        <w:pStyle w:val="BodyTextIndent"/>
        <w:spacing w:before="0" w:after="240"/>
        <w:rPr/>
      </w:pPr>
      <w:r>
        <w:rPr/>
        <w:t>Q.</w:t>
        <w:tab/>
        <w:t>Please summarize Mr. Pocta's testimony.</w:t>
      </w:r>
    </w:p>
    <w:p>
      <w:pPr>
        <w:pStyle w:val="BodyTextIndent"/>
        <w:spacing w:before="0" w:after="240"/>
        <w:rPr/>
      </w:pPr>
      <w:r>
        <w:rPr/>
        <w:t>A.</w:t>
        <w:tab/>
        <w:t>Mr. Pocta makes two principal allegations.  First, he alleges that the open season that El Paso Natural Gas Company ("EPNG") held in February 2000 and that resulted in the execution of contracts between EPNG and El Paso Merchant Energy ("Merchant Energy") for approximately 1.2 Bcf/day of firm capacity to California was structured in a way that gave Merchant Energy an undue preference over other bidders for the capacity.  Second, Mr. Pocta contends that Merchant Energy and EPNG's downstream interstate pipeline affiliate, Mojave Pipeline Company ("Mojave"), secretly negotiated a discount of Mojave's interruptible transportation ("IT") service and that such discount also gave Merchant Energy an unfair competitive advantage over other bidders in the February 2000 open season.</w:t>
      </w:r>
    </w:p>
    <w:p>
      <w:pPr>
        <w:pStyle w:val="BodyTextIndent"/>
        <w:spacing w:before="0" w:after="240"/>
        <w:jc w:val="center"/>
        <w:rPr>
          <w:b/>
          <w:bCs/>
          <w:u w:val="single"/>
        </w:rPr>
      </w:pPr>
      <w:r>
        <w:rPr>
          <w:b/>
          <w:bCs/>
          <w:u w:val="single"/>
        </w:rPr>
        <w:t>The February 2000 Open Season</w:t>
      </w:r>
    </w:p>
    <w:p>
      <w:pPr>
        <w:pStyle w:val="BodyTextIndent"/>
        <w:spacing w:before="0" w:after="240"/>
        <w:rPr/>
      </w:pPr>
      <w:r>
        <w:rPr/>
        <w:t>Q.</w:t>
        <w:tab/>
        <w:t xml:space="preserve">Before addressing Mr. Pocta's specific allegations, how do you respond to his general position that the open season was structured in a way that favored Merchant Energy and disadvantaged partial package bidders?  </w:t>
      </w:r>
    </w:p>
    <w:p>
      <w:pPr>
        <w:pStyle w:val="BodyTextIndent"/>
        <w:spacing w:before="0" w:after="240"/>
        <w:rPr/>
      </w:pPr>
      <w:r>
        <w:rPr/>
        <w:t>A.</w:t>
        <w:tab/>
        <w:t>Mr. Pocta's charges of favoritism are wrong.  As an initial matter, Mr. Pocta ignores two important facts that I pointed out in my direct testimony.  First, EPNG made its minimum revenue requirement of $37.5 million public when it posted the notice of the open season.  Thus, all potential bidders had the same information about what it would take to acquire capacity.</w:t>
      </w:r>
    </w:p>
    <w:p>
      <w:pPr>
        <w:pStyle w:val="BodyTextIndent"/>
        <w:spacing w:before="0" w:after="240"/>
        <w:rPr/>
      </w:pPr>
      <w:r>
        <w:rPr/>
        <w:tab/>
        <w:t>Second, EPNG's posting used a bid evaluation method that aggregated partial package bids for the purpose of determining whether such bids met its minimum revenue requirement.  If such partial package bids met its minimum revenue requirement, then for purposes of awarding the capacity, EPNG would have compared the aggregate of such bids on a net present value ("NPV") basis with the highest NPV of the total package bids that also met the minimum revenue requirement.  See Exhibit EPNG-43 (Step 4).  By permitting the aggregation of partial package bids, EPNG employed a very fair method for evaluating such bids.  This also made clear that EPNG's goal in the open season was to award capacity to either the bid or package of bids which equaled or exceeded EPNG’s minimum revenue requirement and resulted in the highest NPV.  The terms of the open season thus were completely indifferent to the identity of the party or parties that acquired the capacity.</w:t>
      </w:r>
    </w:p>
    <w:p>
      <w:pPr>
        <w:pStyle w:val="BodyTextIndent"/>
        <w:tabs>
          <w:tab w:val="clear" w:pos="4320"/>
          <w:tab w:val="clear" w:pos="8460"/>
          <w:tab w:val="left" w:pos="720" w:leader="none"/>
        </w:tabs>
        <w:spacing w:before="0" w:after="240"/>
        <w:rPr/>
      </w:pPr>
      <w:r>
        <w:rPr/>
        <w:tab/>
        <w:t xml:space="preserve">EPNG would have been within its rights to use any of the six alternative bid evaluation options set forth in Section 28 of its Commission-approved tariff (Item A).  Importantly, for purposes of comparing them with total package bids, some of those options evaluate each bid individually instead of aggregating partial package bids.  Nonetheless, and as it stated publicly in the posting that was announced on its electronic bulletin board ("EBB"), EPNG used an option in its tariff that permitted it to establish the terms by which the bids for the capacity would be evaluated, see EPNG-43, at p. 1, and under that option chose to structure the open season to allow the aggregation of partial package bids.  Had EPNG wanted to structure the open season to favor a total package bidder, it would have been logical to select one of the alternative valuation options that did not permit aggregation.  </w:t>
      </w:r>
    </w:p>
    <w:p>
      <w:pPr>
        <w:pStyle w:val="BodyTextIndent"/>
        <w:tabs>
          <w:tab w:val="clear" w:pos="4320"/>
          <w:tab w:val="left" w:pos="720" w:leader="none"/>
          <w:tab w:val="left" w:pos="1440" w:leader="none"/>
          <w:tab w:val="right" w:pos="8460" w:leader="none"/>
        </w:tabs>
        <w:spacing w:before="0" w:after="240"/>
        <w:rPr/>
      </w:pPr>
      <w:r>
        <w:rPr/>
        <w:t>Q.</w:t>
        <w:tab/>
        <w:t>Was EPNG's approach consistent with Commission policy?</w:t>
      </w:r>
    </w:p>
    <w:p>
      <w:pPr>
        <w:pStyle w:val="Normal"/>
        <w:spacing w:lineRule="auto" w:line="480"/>
        <w:ind w:hanging="720" w:start="720" w:end="0"/>
        <w:rPr/>
      </w:pPr>
      <w:r>
        <w:rPr/>
        <w:t>A.</w:t>
        <w:tab/>
        <w:t xml:space="preserve">Yes.  It is my understanding that Commission policy favors the allocation of pipeline capacity to the party or parties that value it most.  I also understand that Commission policy allows pipelines to use bid evaluation processes that give them the opportunity to maximize the value of their capacity, subject to the limitation that they sell their capacity at rates no higher than the FERC-approved just and reasonable rate.  The Commission explained these policies in </w:t>
      </w:r>
      <w:r>
        <w:rPr>
          <w:i/>
          <w:iCs/>
        </w:rPr>
        <w:t xml:space="preserve">Tennessee Gas Pipeline Co., </w:t>
      </w:r>
      <w:r>
        <w:rPr/>
        <w:t xml:space="preserve">76 FERC ¶ 61,101, at 61,522 (1996), where it stated: </w:t>
      </w:r>
    </w:p>
    <w:p>
      <w:pPr>
        <w:pStyle w:val="Normal"/>
        <w:ind w:start="1440" w:end="720"/>
        <w:rPr/>
      </w:pPr>
      <w:r>
        <w:rPr/>
        <w:t>A net present value evaluation will necessarily favor a bidder who bids on a longer haul or on the full package of capacity over a bidder who bids on a shorter haul or on a portion of the capacity.  This method allocates capacity to the shipper who will produce the greatest revenue and the least unsubscribed capacity.  As such, it is an economically efficient way of allocating capacity and is consistent with Commission policy.</w:t>
      </w:r>
    </w:p>
    <w:p>
      <w:pPr>
        <w:pStyle w:val="Normal"/>
        <w:ind w:start="1440" w:end="720"/>
        <w:rPr/>
      </w:pPr>
      <w:r>
        <w:rPr/>
      </w:r>
    </w:p>
    <w:p>
      <w:pPr>
        <w:pStyle w:val="BodyTextIndent"/>
        <w:tabs>
          <w:tab w:val="clear" w:pos="4320"/>
          <w:tab w:val="left" w:pos="720" w:leader="none"/>
          <w:tab w:val="left" w:pos="1440" w:leader="none"/>
          <w:tab w:val="right" w:pos="8460" w:leader="none"/>
        </w:tabs>
        <w:spacing w:before="0" w:after="240"/>
        <w:rPr/>
      </w:pPr>
      <w:r>
        <w:rPr/>
        <w:tab/>
        <w:t>EPNG's February 2000 open season, which was structured to allocate available capacity to the party or group of parties who bid the threshold amount of at least $37.5 million and thereafter produced the highest NPV, was perfectly consistent with these Commission policies.  In contrast, Mr. Pocta's argument seems to imply that EPNG should have been required to sell its capacity to parties that did not value the capacity as much as Merchant Energy, with the result that EPNG would have received less revenues.  Obviously, that position directly conflicts with Commission policy and is also contrary to sensible business practice.</w:t>
      </w:r>
    </w:p>
    <w:p>
      <w:pPr>
        <w:pStyle w:val="BodyTextIndent"/>
        <w:tabs>
          <w:tab w:val="clear" w:pos="4320"/>
          <w:tab w:val="left" w:pos="720" w:leader="none"/>
          <w:tab w:val="left" w:pos="1440" w:leader="none"/>
          <w:tab w:val="right" w:pos="8460" w:leader="none"/>
        </w:tabs>
        <w:spacing w:before="0" w:after="240"/>
        <w:rPr/>
      </w:pPr>
      <w:r>
        <w:rPr/>
        <w:t>Q.</w:t>
        <w:tab/>
        <w:t>Did EPNG's strategy of selling its capacity to the highest bidder and thereby maximizing its revenues provide benefits to its firm transportation customers?</w:t>
      </w:r>
    </w:p>
    <w:p>
      <w:pPr>
        <w:pStyle w:val="BodyTextIndent"/>
        <w:tabs>
          <w:tab w:val="clear" w:pos="4320"/>
          <w:tab w:val="left" w:pos="720" w:leader="none"/>
          <w:tab w:val="left" w:pos="1440" w:leader="none"/>
          <w:tab w:val="right" w:pos="8460" w:leader="none"/>
        </w:tabs>
        <w:spacing w:before="0" w:after="240"/>
        <w:rPr/>
      </w:pPr>
      <w:r>
        <w:rPr/>
        <w:t>A.</w:t>
        <w:tab/>
        <w:t xml:space="preserve">Yes.  As I explained in my prepared direct testimony in the market power phase of this proceeding, EPNG’s contracts with Merchant Energy provided existing firm shippers who supported the 1996 rate settlement with revenue credits that reduced the total amount of reservation charges they paid to EPNG.  See EPNG-1, at p. 19, lines 9-12.  </w:t>
        <w:tab/>
        <w:t xml:space="preserve">Mr. Pocta's testimony is silent on this issue.  If EPNG had awarded capacity to the partial package bidders instead of to Merchant Energy, as Mr. Pocta would seem to prefer, EPNG would have received far fewer revenues from the sale of the capacity and therefore would have credited fewer revenues to its firm shippers.  </w:t>
      </w:r>
    </w:p>
    <w:p>
      <w:pPr>
        <w:pStyle w:val="BodyTextIndent"/>
        <w:spacing w:before="0" w:after="240"/>
        <w:rPr/>
      </w:pPr>
      <w:r>
        <w:rPr/>
        <w:t>Q.</w:t>
        <w:tab/>
        <w:t>What specific allegations does Mr. Pocta make regarding the terms of the February 2000 open season?</w:t>
      </w:r>
    </w:p>
    <w:p>
      <w:pPr>
        <w:pStyle w:val="BodyTextIndent"/>
        <w:spacing w:before="0" w:after="240"/>
        <w:rPr/>
      </w:pPr>
      <w:r>
        <w:rPr/>
        <w:t>A.</w:t>
        <w:tab/>
        <w:t xml:space="preserve">Mr. Pocta asserts that partial package bidders were disadvantaged relative to Merchant Energy because their ability to achieve a higher NPV in the open season was dependent on the bids of other partial package bidders, whereas Merchant Energy could control its own destiny.  </w:t>
      </w:r>
    </w:p>
    <w:p>
      <w:pPr>
        <w:pStyle w:val="BodyTextIndent"/>
        <w:tabs>
          <w:tab w:val="clear" w:pos="4320"/>
          <w:tab w:val="left" w:pos="720" w:leader="none"/>
          <w:tab w:val="left" w:pos="1440" w:leader="none"/>
          <w:tab w:val="right" w:pos="8460" w:leader="none"/>
        </w:tabs>
        <w:spacing w:before="0" w:after="240"/>
        <w:rPr/>
      </w:pPr>
      <w:r>
        <w:rPr/>
        <w:t>Q.</w:t>
        <w:tab/>
        <w:t>Isn't it true that partial package bidders had to depend on the bids submitted by other partial package bidders in order to acquire capacity?</w:t>
      </w:r>
    </w:p>
    <w:p>
      <w:pPr>
        <w:pStyle w:val="BodyTextIndent"/>
        <w:tabs>
          <w:tab w:val="clear" w:pos="4320"/>
          <w:tab w:val="left" w:pos="720" w:leader="none"/>
          <w:tab w:val="left" w:pos="1440" w:leader="none"/>
          <w:tab w:val="right" w:pos="8460" w:leader="none"/>
        </w:tabs>
        <w:spacing w:before="0" w:after="240"/>
        <w:rPr/>
      </w:pPr>
      <w:r>
        <w:rPr/>
        <w:t>A.</w:t>
        <w:tab/>
        <w:t>Yes.  However, in addition to being consistent with the Commission’s policy concerning the use of NPV to allocate capacity, EPNG's method of comparing a total package bid to a group of partial package bids for purposes of awarding capacity was still far more advantageous to partial package bidders than a method that compares each bid individually.</w:t>
      </w:r>
    </w:p>
    <w:p>
      <w:pPr>
        <w:pStyle w:val="BodyTextIndent"/>
        <w:tabs>
          <w:tab w:val="clear" w:pos="4320"/>
          <w:tab w:val="left" w:pos="720" w:leader="none"/>
          <w:tab w:val="left" w:pos="1440" w:leader="none"/>
          <w:tab w:val="right" w:pos="8460" w:leader="none"/>
        </w:tabs>
        <w:spacing w:before="0" w:after="240"/>
        <w:rPr/>
      </w:pPr>
      <w:r>
        <w:rPr/>
        <w:tab/>
        <w:t xml:space="preserve">Moreover, to address Mr. Pocta's concern about the alleged disadvantage facing partial package bidders as a result of their being dependent on one another's bid, the Commission would, in the extreme case, have to prohibit </w:t>
      </w:r>
      <w:r>
        <w:rPr>
          <w:i/>
          <w:iCs/>
        </w:rPr>
        <w:t>anyone</w:t>
      </w:r>
      <w:r>
        <w:rPr/>
        <w:t xml:space="preserve"> from submitting a total package bid.  However, the Commission has consistently refused to place a limit on the amount of capacity a party may acquire, as it recently confirmed in its March 28, 2001 order in this case.  There, it stated that "[a]lthough the parties complain that El Paso Merchant acquired an excessive volume of capacity to manipulate the market and drive up energy prices in California, the fact that El Paso Merchant controls a large volume of capacity does not, in and of itself, render the El Paso Contracts unjust, unreasonable, or unduly discriminatory."  </w:t>
      </w:r>
      <w:r>
        <w:rPr>
          <w:i/>
          <w:iCs/>
        </w:rPr>
        <w:t xml:space="preserve">El Paso Natural Gas Co., </w:t>
      </w:r>
      <w:r>
        <w:rPr/>
        <w:t>94 FERC ¶ 61,338, at 62,246 (2001).  The Commission also reached a similar conclusion in January 2000 regarding objections to the size of EPNG's contracts with Enron North America ("Enron"), which preceded the Merchant Energy contracts.</w:t>
      </w:r>
    </w:p>
    <w:p>
      <w:pPr>
        <w:pStyle w:val="BodyTextIndent"/>
        <w:spacing w:before="0" w:after="240"/>
        <w:rPr/>
      </w:pPr>
      <w:r>
        <w:rPr/>
        <w:t>Q.</w:t>
        <w:tab/>
        <w:t>Mr. Pocta observes that two partial package bidders bid a higher unit rate than Merchant Energy for portions of the Block III capacity and yet were not awarded the capacity under the terms of the open season.  How do you respond to the implication that this was an improper result?</w:t>
      </w:r>
    </w:p>
    <w:p>
      <w:pPr>
        <w:pStyle w:val="BodyTextIndent"/>
        <w:spacing w:before="0" w:after="240"/>
        <w:rPr/>
      </w:pPr>
      <w:r>
        <w:rPr/>
        <w:t>A.</w:t>
        <w:tab/>
        <w:t xml:space="preserve">Mr. Pocta’s objection to this result suggests that EPNG should have used an evaluation method that awards capacity based solely on the rate level of each individual bid.  This would have allowed the two Block III bids he references – which at most could have been awarded approximately 190 MMcf/day of the 1.2 Bcf available, or only 16.1 percent of the available capacity – to acquire capacity.  However, what Mr. Pocta does not acknowledge is that if EPNG had used such a method of evaluating bids, instead of using a method that permitted the aggregation of partial package bids, the other partial package bidders would have had less of a chance to acquire capacity.  </w:t>
      </w:r>
    </w:p>
    <w:p>
      <w:pPr>
        <w:pStyle w:val="BodyTextIndent"/>
        <w:spacing w:before="0" w:after="240"/>
        <w:rPr/>
      </w:pPr>
      <w:r>
        <w:rPr/>
        <w:tab/>
        <w:t>Presumably, Mr. Pocta’s response to this outcome would be to suggest that EPNG award all 1.2 Bcf/day of the capacity to partial package bidders instead of to Merchant Energy.  However, under this scenario EPNG would have received only approximately $17 million, and would have had to forego the opportunity to receive the substantially higher revenues ($38.5 million) associated with the sale of the capacity to Merchant Energy.  This would have conflicted with the Commission policy authorizing pipelines to seek to maximize their revenues and award capacity to the bid or bids with the highest NPV.</w:t>
      </w:r>
    </w:p>
    <w:p>
      <w:pPr>
        <w:pStyle w:val="BodyTextIndent"/>
        <w:spacing w:before="0" w:after="240"/>
        <w:rPr/>
      </w:pPr>
      <w:r>
        <w:rPr/>
        <w:t>Q.</w:t>
        <w:tab/>
        <w:t>What other objections does Mr. Pocta have to the structure of the February 2000 open season?</w:t>
      </w:r>
    </w:p>
    <w:p>
      <w:pPr>
        <w:pStyle w:val="BodyTextIndent"/>
        <w:spacing w:before="0" w:after="240"/>
        <w:rPr/>
      </w:pPr>
      <w:r>
        <w:rPr/>
        <w:t>A.</w:t>
        <w:tab/>
        <w:t xml:space="preserve">Mr. Pocta observes that the terms of the February 2000 open season ruled out any special contract provisions that purportedly would dampen EPNG's incentive to discount its IT service, such as a provision like that contained in EPNG's now-expired contracts with Dynegy Marketing and Trade that required EPNG to provide reservation charge credits if it sold a substantial amount of IT service.  Mr. Pocta then speculates that only Merchant Energy could make a total package bid for the capacity because "[o]nly El Paso Merchant knew El Paso would not compete by discounting IT rates."  Exhibit PUC-44, at p. 10, lines 10-14.  He also speculates -- without any support -- that partial package bidders placed a lower value on the capacity than did Merchant Energy because of this concern.  </w:t>
      </w:r>
    </w:p>
    <w:p>
      <w:pPr>
        <w:pStyle w:val="BodyTextIndent"/>
        <w:spacing w:before="0" w:after="240"/>
        <w:rPr/>
      </w:pPr>
      <w:r>
        <w:rPr/>
        <w:t>Q.</w:t>
        <w:tab/>
        <w:t xml:space="preserve">How do you respond to these charges? </w:t>
      </w:r>
    </w:p>
    <w:p>
      <w:pPr>
        <w:pStyle w:val="BodyTextIndent"/>
        <w:spacing w:before="0" w:after="240"/>
        <w:rPr/>
      </w:pPr>
      <w:r>
        <w:rPr/>
        <w:t>A.</w:t>
        <w:tab/>
        <w:t xml:space="preserve">The fundamental premise for Mr. Pocta's assertion -- that EPNG ordinarily would follow a policy of substantially discounting its IT rates in competition with its FT shippers -- is incorrect.  As an initial matter, the evidence in this case shows that EPNG's IT throughput has been minimal for several years (see EPNG-30 and PGE-49).  Indeed, in its orders reviewing the EPNG/Dynegy contracts, the Commission found that "prior to the [EPNG/Dynegy contracts], IT throughput on [EPNG] was a minimal part of its total throughput."  </w:t>
      </w:r>
      <w:r>
        <w:rPr>
          <w:i/>
          <w:iCs/>
        </w:rPr>
        <w:t xml:space="preserve">El Paso Natural Gas Co., </w:t>
      </w:r>
      <w:r>
        <w:rPr/>
        <w:t xml:space="preserve">83 FERC ¶ 61,286, at 62,196 (1998).  The record in this case shows that EPNG's IT throughput to California as a percentage of its total throughput to California in each of the five years during the 1995-1999 period prior to the open season was only 1.1, 0.7, 2.2, 0.5, and 0.0 percent, respectively (see EPNG-30 and PGE-49).  Mr. Pocta's argument that EPNG aggressively discounted its IT service prior to the Dynegy, Enron, and Merchant Energy contracts simply is not consistent with the facts.  </w:t>
      </w:r>
    </w:p>
    <w:p>
      <w:pPr>
        <w:pStyle w:val="BodyTextIndent"/>
        <w:spacing w:before="0" w:after="240"/>
        <w:rPr/>
      </w:pPr>
      <w:r>
        <w:rPr/>
        <w:t>Q.</w:t>
        <w:tab/>
        <w:t>How do you respond to Mr. Pocta’s assertion that non-affiliated bidders were unsure whether EPNG would aggressively discount its IT service in the future?</w:t>
      </w:r>
    </w:p>
    <w:p>
      <w:pPr>
        <w:pStyle w:val="BodyTextIndent"/>
        <w:tabs>
          <w:tab w:val="clear" w:pos="4320"/>
          <w:tab w:val="clear" w:pos="8460"/>
          <w:tab w:val="left" w:pos="720" w:leader="none"/>
        </w:tabs>
        <w:spacing w:before="0" w:after="240"/>
        <w:rPr/>
      </w:pPr>
      <w:r>
        <w:rPr/>
        <w:t>A.</w:t>
        <w:tab/>
        <w:t xml:space="preserve">Mr. Pocta ignores numerous public statements by EPNG in the months leading up to the open season that it was not in its interest to sell IT service at discounted rates.  For example, EPNG’s May 13, 1999 reply comments in the proceeding that involved the EPNG/Dynegy contracts stated that "El Paso has a strong incentive not to undermine its ability to sell firm capacity by selling deeply discounted IT service."  The Commission's June 1998 order approving the EPNG/Dynegy contracts also put the market on notice of this fact, stating:  </w:t>
      </w:r>
    </w:p>
    <w:p>
      <w:pPr>
        <w:pStyle w:val="BodyTextIndent"/>
        <w:tabs>
          <w:tab w:val="clear" w:pos="4320"/>
          <w:tab w:val="clear" w:pos="8460"/>
          <w:tab w:val="left" w:pos="720" w:leader="none"/>
        </w:tabs>
        <w:spacing w:lineRule="auto" w:line="240" w:before="0" w:after="240"/>
        <w:ind w:hanging="0" w:start="1440" w:end="720"/>
        <w:rPr/>
      </w:pPr>
      <w:r>
        <w:rPr/>
        <w:t>El Paso further asserts that it has had a long-standing practice of not discounting IT throughput because this would have a negative effect on the price for firm capacity and that it has not changed its practice in that regard.</w:t>
      </w:r>
    </w:p>
    <w:p>
      <w:pPr>
        <w:pStyle w:val="BodyTextIndent"/>
        <w:tabs>
          <w:tab w:val="clear" w:pos="4320"/>
          <w:tab w:val="clear" w:pos="8460"/>
          <w:tab w:val="left" w:pos="720" w:leader="none"/>
        </w:tabs>
        <w:spacing w:before="0" w:after="240"/>
        <w:rPr/>
      </w:pPr>
      <w:r>
        <w:rPr>
          <w:i/>
          <w:iCs/>
        </w:rPr>
        <w:tab/>
        <w:t xml:space="preserve">El Paso, </w:t>
      </w:r>
      <w:r>
        <w:rPr/>
        <w:t xml:space="preserve">83 FERC at 62,196.  </w:t>
      </w:r>
    </w:p>
    <w:p>
      <w:pPr>
        <w:pStyle w:val="BodyTextIndent"/>
        <w:tabs>
          <w:tab w:val="clear" w:pos="4320"/>
          <w:tab w:val="clear" w:pos="8460"/>
          <w:tab w:val="left" w:pos="720" w:leader="none"/>
        </w:tabs>
        <w:spacing w:before="0" w:after="240"/>
        <w:rPr/>
      </w:pPr>
      <w:r>
        <w:rPr/>
        <w:tab/>
        <w:t xml:space="preserve">Then, on January 19, 2000, less than one month before the February 2000 open season, the Commission issued its order regarding the EPNG/Enron contracts.  That order again reiterated EPNG's practice of not discounting its IT service, stating:  "The Commission recognizes that El Paso has a current policy of not discounting its interruptible transportation to protect the value of its firm capacity, . . . ."  </w:t>
      </w:r>
      <w:r>
        <w:rPr>
          <w:i/>
          <w:iCs/>
        </w:rPr>
        <w:t xml:space="preserve">El Paso Natural Gas Co., </w:t>
      </w:r>
      <w:r>
        <w:rPr/>
        <w:t xml:space="preserve">90 FERC ¶ 61,050, at 61,217 (2000).  It thus was no secret to the market at the time of the February 2000 open season that EPNG had a practice of not discounting its IT service.  </w:t>
      </w:r>
    </w:p>
    <w:p>
      <w:pPr>
        <w:pStyle w:val="BodyTextIndent"/>
        <w:tabs>
          <w:tab w:val="clear" w:pos="4320"/>
          <w:tab w:val="clear" w:pos="8460"/>
          <w:tab w:val="left" w:pos="720" w:leader="none"/>
        </w:tabs>
        <w:spacing w:before="0" w:after="240"/>
        <w:rPr/>
      </w:pPr>
      <w:r>
        <w:rPr/>
        <w:t>Q.</w:t>
        <w:tab/>
        <w:t xml:space="preserve">Is Mr. Pocta correct that EPNG should have had an incentive to discount its IT service in competition with its firm shippers? </w:t>
      </w:r>
    </w:p>
    <w:p>
      <w:pPr>
        <w:pStyle w:val="BodyTextIndent"/>
        <w:tabs>
          <w:tab w:val="clear" w:pos="4320"/>
          <w:tab w:val="clear" w:pos="8460"/>
          <w:tab w:val="left" w:pos="720" w:leader="none"/>
        </w:tabs>
        <w:spacing w:before="0" w:after="240"/>
        <w:rPr/>
      </w:pPr>
      <w:r>
        <w:rPr/>
        <w:t>A.</w:t>
        <w:tab/>
        <w:t xml:space="preserve">No.  As Mr. Somerhalder previously testified in this case, EPNG's experience in marketing its capacity has led it to conclude that there is "value to [having] long-term contracts on a pipeline system, and that because of the benefits to [having] long-term contracts, that if we sold capacity, deeply discounted day-by-day, that that would make it more difficult to enter into a long-term contract."  Tr. at 1482, lines 21-25.  Thus, under the circumstances that existed at the time, EPNG made the business judgment that any potential short-run increase in revenues resulting from a policy of IT discounting would be offset by the damage such discounting would have on its ability to market its capacity on a firm, longer-term basis.  For this reason, therefore, Mr. Pocta's views of EPNG's alleged present and past incentive to sell discounted IT are simply wrong.  </w:t>
      </w:r>
    </w:p>
    <w:p>
      <w:pPr>
        <w:pStyle w:val="BodyTextIndent"/>
        <w:keepNext w:val="true"/>
        <w:keepLines/>
        <w:tabs>
          <w:tab w:val="clear" w:pos="4320"/>
          <w:tab w:val="clear" w:pos="8460"/>
          <w:tab w:val="left" w:pos="720" w:leader="none"/>
          <w:tab w:val="right" w:pos="4140" w:leader="none"/>
          <w:tab w:val="right" w:pos="6120" w:leader="none"/>
          <w:tab w:val="right" w:pos="8100" w:leader="none"/>
        </w:tabs>
        <w:jc w:val="center"/>
        <w:rPr>
          <w:b/>
          <w:bCs/>
          <w:u w:val="single"/>
        </w:rPr>
      </w:pPr>
      <w:r>
        <w:rPr>
          <w:b/>
          <w:bCs/>
          <w:u w:val="single"/>
        </w:rPr>
        <w:t>The Mojave Discount</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Q.</w:t>
        <w:tab/>
        <w:t>Turning now to the Mojave discount issue, is Mr. Pocta's testimony materially different from the CPUC's prior submissions in this case concerning this issue?</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No, and to a significant extent, therefore, the prepared direct testimony that I submitted on July 13, 2001, already responds to Mr. Pocta's testimony on this issue.</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Q.</w:t>
        <w:tab/>
        <w:t>Is Mr. Pocta correct that Merchant Energy knew, prior to the end of the EPNG open season, that Mojave would grant the tiered discount?</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As I stated in my prepared direct testimony, I cannot testify as to what Merchant "knew."  However, Mr. Pocta’s allegation is inconsistent with Mojave’s general practice for considering a shipper's inquiry about a discount and approving and posting a discount offer, and with its implementation of that practice in this particular instance.  Generally, when one of Mojave’s transportation marketing representatives receives an inquiry about a discount from an actual or potential shipper, the representative’s job is to get a clear understanding of the exact terms of the discount inquiry and respond to questions the shipper may have.  Then the representative will consult with Mojave’s Director of Marketing, Mr. Jerry Strange, and seek to obtain approval of the discount.  Mojave’s marketing representatives do not have authority to approve discounts without obtaining Mr. Strange’s approval.  </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b/>
        <w:t xml:space="preserve">This process was followed in response to Merchant Energy’s inquiry about a discount.  After receiving Merchant Energy’s discount inquiry, the marketing representative on this particular matter, Mr. Harvey Rodman, sought and ultimately obtained approval of the discount from his supervisor, Mr. Strange.  The availability of the discount was then communicated to Merchant Energy and other potential shippers when Mojave posted a notice of the discount on its EBB.  </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Q.</w:t>
        <w:tab/>
        <w:t>Mr. Pocta contends that a February 9, 2000 e-mail from Merchant Energy’s representative, Mr. Robin Cox, to other Merchant Energy personnel, and a transcript of a conversation between Mr. Cox and Mr. Rodman on that same date, show that Mr. Cox had advance knowledge that Mojave would post the tiered discount.  Exhibit PUC-44, at p. 21, lines 3-7 and 12-14.  Do you agree with Mr. Pocta's assessment?</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No.  While the e-mail appears to state Mr. Cox’s opinion at the time that Mojave was "willing to offer" a tiered discount, see Exhibit PUC-44, line 1, the e-mail is contradicted by the transcript, which provides direct evidence of the communications that took place between Mojave and Merchant Energy.  See EPNG-44.  According to the February 9, 2000 transcript, Mr. Rodman stated that he "probably" could offer Merchant a discounted rate of $0.04 per MMBtu for volumes of 1-50,000 MMBtu/d, $0.03 per MMBtu for volumes of 50,001-100,000 MMBtu/d, and $0.02 per MMBtu for volumes above 100,000 MMBtu/d.  The transcript clearly supports the conclusion that prior to posting the discount offer on its EBB, Mojave did not communicate approval of the discount to Merchant Energy.  Again, Mr. Rodman simply could not approve the discount without the approval of his supervisor, and the transcript confirms that Mr. Rodman did not act outside the proper scope of his authority.  </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Q.</w:t>
        <w:tab/>
        <w:t>Even if Mr. Pocta’s interpretations of the February 9 e-mail and the transcript were correct and Mojave had given Merchant Energy advance notice of the tiered discount in response to Merchant's inquiry, would that have violated the Commission’s Standards of Conduct?</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No.  As I explained in my prepared direct testimony, the Standards of Conduct – specifically, Standard H – provide that if a pipeline offers a discount to an affiliated marketer, it must post that discount on its EBB within 24 hours after the gas first flows at the discounted rate.  The Standards of Conduct do not require posting at the time the pipeline agrees to offer the discount.  </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Q.</w:t>
        <w:tab/>
        <w:t>How do you respond to Mr. Pocta's charge that Mojave acted in concert with Merchant Energy personnel to delay posting the discount until after the close of the EPNG open season?</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Mr. Pocta's allegation is simply wrong.  Mojave did not purposefully delay posting the discount.  Mojave typically posts discounts that are available to all shippers on its system one to two weeks before the first of the month.  The tiered discount was handled no differently -- Mojave posted the discount on February 18, 2000, thirteen days before it was required to under Standard H.  This allowed shippers to see the posting prior to bid week and to take advantage of the discount with regard to their March transactions.  Had we waited to post the discount until within 24 hours of gas flow, as we were permitted to do under the Commission's rules, unaffiliated shippers would have had significantly less opportunity to factor the discount into their plans for the month of March.</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Q.</w:t>
        <w:tab/>
        <w:t>What were the terms of the discount offer that Mojave posted on the EBB?</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As set forth in the Notice to Customers contained in Exhibit EPNG-46, Mojave offered to ship IT volumes from Topock to Wheeler Ridge for 4 cents per unit for volumes of 50,000 MMBtu or less, 3 cents per unit for volumes between 50,001-100,000 MMBtu, and 2 cents per unit for volumes above 100,000 MMBtu.  In the period immediately prior to this tiered discount, Mojave had provided IT service to Wheeler Ridge at a 4 cent rate for all volumes.  </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Q.</w:t>
        <w:tab/>
        <w:t>Why does Mr. Pocta claim that Mojave's tiered discount offer was significant information that would have been valuable to other parties that bid on the EPNG capacity?</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According to Mr. Pocta, once the Commission had ruled in January 2000 that Block II capacity could not be used to access EPNG’s SoCal-Topock delivery point on a primary point basis, it became critical for shippers holding Block II capacity to obtain the right to ship gas on Mojave at favorably discounted rates.  Exhibit PUC-44, at p. 17, line 4, to p. 18, line 8.  He concludes that "[t]o only pay $.02 MMBtu on Mojave [for IT service], instead of $.04 as an IT rate, was a very significant piece of information."  </w:t>
      </w:r>
      <w:r>
        <w:rPr>
          <w:i/>
          <w:iCs/>
        </w:rPr>
        <w:t>Id.</w:t>
      </w:r>
      <w:r>
        <w:rPr/>
        <w:t xml:space="preserve"> at p. 18, lines 6-8.</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Q.</w:t>
        <w:tab/>
        <w:t>Do you agree with Mr. Pocta’s position regarding the value of the Mojave discount in light of the Commission's order that reduced the value of the Block II capacity?</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No.  Mr. Pocta's theory is not logical.  The Commission's January 2000 order  ruled that Block II capacity could no longer access the SoCal-Topock and Mojave-Topock delivery points on a primary basis, so that future deliveries by Block II shippers to those points could only be on an alternate basis.  </w:t>
      </w:r>
      <w:r>
        <w:rPr>
          <w:i/>
          <w:iCs/>
        </w:rPr>
        <w:t xml:space="preserve">El Paso, </w:t>
      </w:r>
      <w:r>
        <w:rPr/>
        <w:t>90 FERC at 61,219.  This reduction of Block II shippers' priority to deliver gas into Mojave meant that a discount of IT transportation on the Mojave system itself could well be irrelevant because Block II shippers had less ability to deliver gas into Mojave as a result of the Commission's order.  Moreover, Mr. Pocta's theory that the Commission's order suddenly made the Mojave capacity important to Block II shippers ignores the fact that, both before and after the order, Block II capacity could be recalled by northern California shippers if it were used to deliver gas to a point other than PG&amp;E-Topock.  In my judgment the threat of recall would discourage a holder of Block II capacity from using that capacity to deliver gas to points other than PG&amp;E-Topock, such as the Mojave-Topock point.  For this reason as well, I believe Mr. Pocta has overstated the value of the tiered discount offer to a party deciding whether and how much to bid for Block II capacity.</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Q.</w:t>
        <w:tab/>
        <w:t>Did other shippers have the same opportunity to make an inquiry to Mojave about the possibility of a tiered discount?</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Yes.  They simply had to contact Mojave's transportation marketing department about the possibility of a tiered discount, as Merchant Energy did.  </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b/>
        <w:t>I also would note that Mojave also received an inquiry about an IT discount (although not a tiered discount) from Reliant Energy Services between February 1, 2000, and February 14, 2000.  As a result of Reliant's inquiry, Mojave granted Reliant a discount of $0.03 per dth between the Topock receipt point (and two other receipt points as well) and the Wheeler Ridge and Coolwater delivery points for the three-month period commencing February 1, 2000.  The Commission's March 28, 2001 order cited the Reliant discount as one of the facts that led it to conclude that the CPUC had not shown a violation of the Affiliate Standards.  94 FERC at 62,254.</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Q.</w:t>
        <w:tab/>
        <w:t>Having reviewed Mr. Pocta's testimony and exhibits, has he presented any new facts that would justify a change in the Commission’s March 28, 2001 order which found that Mojave’s conduct concerning the negotiation and posting of the tiered discount was consistent with the Standards of Conduct?</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No.</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Q.</w:t>
        <w:tab/>
        <w:t xml:space="preserve">Does this conclude your prepared rebuttal testimony? </w:t>
      </w:r>
    </w:p>
    <w:p>
      <w:pPr>
        <w:pStyle w:val="BodyTextIndent"/>
        <w:tabs>
          <w:tab w:val="clear" w:pos="4320"/>
          <w:tab w:val="clear" w:pos="8460"/>
          <w:tab w:val="left" w:pos="720" w:leader="none"/>
          <w:tab w:val="right" w:pos="4140" w:leader="none"/>
          <w:tab w:val="right" w:pos="6120" w:leader="none"/>
          <w:tab w:val="right" w:pos="8100" w:leader="none"/>
        </w:tabs>
        <w:rPr/>
      </w:pPr>
      <w:r>
        <w:rPr/>
        <w:t>A.</w:t>
        <w:tab/>
        <w:t>Yes, it does.</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page">
                <wp:posOffset>581660</wp:posOffset>
              </wp:positionH>
              <wp:positionV relativeFrom="page">
                <wp:posOffset>9668510</wp:posOffset>
              </wp:positionV>
              <wp:extent cx="1460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1.3pt;mso-position-vertical-relative:page;margin-left:45.8pt;mso-position-horizontal-relative:page">
              <v:fill opacity="0f"/>
              <v:textbox inset="0in,0in,0in,0in">
                <w:txbxContent>
                  <w:p>
                    <w:pPr>
                      <w:pStyle w:val="Normal"/>
                      <w:rPr>
                        <w:rStyle w:val="DocID"/>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530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14605"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right" w:pos="8460" w:leader="none"/>
        <w:tab w:val="right" w:pos="8640" w:leader="none"/>
      </w:tabs>
      <w:rPr/>
    </w:pPr>
    <w:r>
      <w:rPr/>
      <w:tab/>
      <w:tab/>
    </w:r>
    <w:r>
      <w:rPr>
        <w:b/>
        <w:bCs/>
      </w:rPr>
      <w:t>EPNG-47</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right" w:pos="8460" w:leader="none"/>
        <w:tab w:val="right" w:pos="8640" w:leader="none"/>
      </w:tabs>
      <w:rPr/>
    </w:pPr>
    <w:r>
      <w:rPr/>
      <w:tab/>
      <w:tab/>
    </w:r>
    <w:r>
      <w:rPr>
        <w:b/>
        <w:bCs/>
      </w:rPr>
      <w:t>EPNG-47</w:t>
    </w:r>
  </w:p>
  <w:p>
    <w:pPr>
      <w:pStyle w:val="Header"/>
      <w:tabs>
        <w:tab w:val="center" w:pos="4320" w:leader="none"/>
        <w:tab w:val="right" w:pos="8460" w:leader="none"/>
        <w:tab w:val="right" w:pos="8640" w:leader="none"/>
      </w:tabs>
      <w:rPr>
        <w:b/>
        <w:bCs/>
      </w:rPr>
    </w:pPr>
    <w:r>
      <w:rPr>
        <w:b/>
        <w:bCs/>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320" w:leader="none"/>
        <w:tab w:val="right" w:pos="8460" w:leader="none"/>
      </w:tabs>
      <w:jc w:val="center"/>
      <w:outlineLvl w:val="0"/>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jc w:val="center"/>
    </w:pPr>
    <w:rPr>
      <w:b/>
      <w:bCs/>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numPr>
        <w:ilvl w:val="0"/>
        <w:numId w:val="2"/>
      </w:numPr>
      <w:spacing w:before="0" w:after="120"/>
      <w:jc w:val="start"/>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4320" w:leader="none"/>
        <w:tab w:val="right" w:pos="8460" w:leader="none"/>
      </w:tabs>
      <w:spacing w:lineRule="auto" w:line="480"/>
      <w:ind w:hanging="720" w:start="720" w:end="0"/>
    </w:pPr>
    <w:rPr/>
  </w:style>
  <w:style w:type="paragraph" w:styleId="BodyTextIndent3">
    <w:name w:val="Body Text Indent 3"/>
    <w:basedOn w:val="Normal"/>
    <w:qFormat/>
    <w:pPr>
      <w:spacing w:lineRule="auto" w:line="480"/>
      <w:ind w:hanging="0" w:start="720" w:end="0"/>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2001-07-23T18:01:00Z</dcterms:created>
  <dc:creator>El Paso Energy Corp</dc:creator>
  <dc:description/>
  <dc:language>en-CA</dc:language>
  <cp:lastModifiedBy>A&amp;K</cp:lastModifiedBy>
  <cp:lastPrinted>2001-07-23T15:50:00Z</cp:lastPrinted>
  <dcterms:modified xsi:type="dcterms:W3CDTF">2001-07-23T18:01:00Z</dcterms:modified>
  <cp:revision>2</cp:revision>
  <dc:subject/>
  <dc:title>UNITED STATES OF AMERICA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WAS:88251.1 </vt:lpwstr>
  </property>
</Properties>
</file>