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22" w:type="dxa"/>
        <w:jc w:val="start"/>
        <w:tblInd w:w="0" w:type="dxa"/>
        <w:tblLayout w:type="fixed"/>
        <w:tblCellMar>
          <w:top w:w="0" w:type="dxa"/>
          <w:start w:w="108" w:type="dxa"/>
          <w:bottom w:w="0" w:type="dxa"/>
          <w:end w:w="108" w:type="dxa"/>
        </w:tblCellMar>
      </w:tblPr>
      <w:tblGrid>
        <w:gridCol w:w="2093"/>
        <w:gridCol w:w="7229"/>
      </w:tblGrid>
      <w:tr>
        <w:trPr>
          <w:trHeight w:val="638" w:hRule="atLeast"/>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To:</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b/>
                <w:sz w:val="24"/>
              </w:rPr>
            </w:pPr>
            <w:r>
              <w:rPr>
                <w:rFonts w:cs="Arial" w:ascii="Arial" w:hAnsi="Arial"/>
                <w:b/>
                <w:sz w:val="24"/>
              </w:rPr>
              <w:t>Elizabeth Sager</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Company:</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Enron</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Date:</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fldChar w:fldCharType="begin"/>
            </w:r>
            <w:r>
              <w:rPr>
                <w:sz w:val="22"/>
                <w:rFonts w:cs="Arial" w:ascii="Arial" w:hAnsi="Arial"/>
              </w:rPr>
              <w:instrText xml:space="preserve"> DATE \@"dd/MM/yyyy" </w:instrText>
            </w:r>
            <w:r>
              <w:rPr>
                <w:sz w:val="22"/>
                <w:rFonts w:cs="Arial" w:ascii="Arial" w:hAnsi="Arial"/>
              </w:rPr>
              <w:fldChar w:fldCharType="separate"/>
            </w:r>
            <w:r>
              <w:rPr>
                <w:sz w:val="22"/>
                <w:rFonts w:cs="Arial" w:ascii="Arial" w:hAnsi="Arial"/>
              </w:rPr>
              <w:t>28/09/2025</w:t>
            </w:r>
            <w:r>
              <w:rPr>
                <w:sz w:val="22"/>
                <w:rFonts w:cs="Arial" w:ascii="Arial" w:hAnsi="Arial"/>
              </w:rPr>
              <w:fldChar w:fldCharType="end"/>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Tel:</w:t>
            </w:r>
          </w:p>
        </w:tc>
        <w:tc>
          <w:tcPr>
            <w:tcW w:w="7229"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rPr>
                <w:rFonts w:ascii="Arial" w:hAnsi="Arial" w:cs="Arial"/>
                <w:sz w:val="22"/>
              </w:rPr>
            </w:pPr>
            <w:r>
              <w:rPr>
                <w:rFonts w:cs="Arial" w:ascii="Arial" w:hAnsi="Arial"/>
                <w:sz w:val="22"/>
              </w:rPr>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Fax:</w:t>
            </w:r>
          </w:p>
        </w:tc>
        <w:tc>
          <w:tcPr>
            <w:tcW w:w="7229"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rPr>
                <w:rFonts w:ascii="Arial" w:hAnsi="Arial" w:cs="Arial"/>
                <w:sz w:val="22"/>
              </w:rPr>
            </w:pPr>
            <w:r>
              <w:rPr>
                <w:rFonts w:cs="Arial" w:ascii="Arial" w:hAnsi="Arial"/>
                <w:sz w:val="22"/>
              </w:rPr>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From:</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Helen Evans</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Tel:</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0171 484 9882</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Fax:</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0171 484 9888</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Email:</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energycf@risk.co.uk</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Company:</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b/>
                <w:sz w:val="22"/>
              </w:rPr>
              <w:t>Energy &amp; Power Risk Management Conferences</w:t>
            </w:r>
          </w:p>
        </w:tc>
      </w:tr>
      <w:tr>
        <w:trPr/>
        <w:tc>
          <w:tcPr>
            <w:tcW w:w="2093"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sz w:val="22"/>
              </w:rPr>
            </w:pPr>
            <w:r>
              <w:rPr>
                <w:rFonts w:cs="Arial" w:ascii="Arial" w:hAnsi="Arial"/>
                <w:sz w:val="22"/>
              </w:rPr>
              <w:t>Number of pages:</w:t>
            </w:r>
          </w:p>
        </w:tc>
        <w:tc>
          <w:tcPr>
            <w:tcW w:w="7229"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sz w:val="22"/>
              </w:rPr>
            </w:pPr>
            <w:r>
              <w:rPr>
                <w:rFonts w:cs="Arial" w:ascii="Arial" w:hAnsi="Arial"/>
                <w:sz w:val="22"/>
              </w:rPr>
              <w:t>9    (including cover)</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Dear Elizabeth,</w:t>
      </w:r>
    </w:p>
    <w:p>
      <w:pPr>
        <w:pStyle w:val="Normal"/>
        <w:spacing w:lineRule="auto" w:line="360"/>
        <w:rPr>
          <w:rFonts w:ascii="Arial" w:hAnsi="Arial" w:cs="Arial"/>
          <w:sz w:val="22"/>
        </w:rPr>
      </w:pPr>
      <w:r>
        <w:rPr>
          <w:rFonts w:cs="Arial" w:ascii="Arial" w:hAnsi="Arial"/>
          <w:sz w:val="22"/>
        </w:rPr>
      </w:r>
    </w:p>
    <w:p>
      <w:pPr>
        <w:pStyle w:val="Normal"/>
        <w:pBdr>
          <w:top w:val="single" w:sz="6" w:space="1" w:color="000000"/>
          <w:left w:val="single" w:sz="6" w:space="1" w:color="000000"/>
          <w:bottom w:val="single" w:sz="6" w:space="1" w:color="000000"/>
          <w:right w:val="single" w:sz="6" w:space="1" w:color="000000"/>
        </w:pBdr>
        <w:spacing w:lineRule="auto" w:line="360"/>
        <w:jc w:val="center"/>
        <w:rPr>
          <w:rFonts w:ascii="Arial" w:hAnsi="Arial" w:cs="Arial"/>
          <w:b/>
          <w:sz w:val="40"/>
        </w:rPr>
      </w:pPr>
      <w:r>
        <w:rPr>
          <w:rFonts w:cs="Arial" w:ascii="Arial" w:hAnsi="Arial"/>
          <w:b/>
          <w:sz w:val="40"/>
        </w:rPr>
        <w:t>Measuring, managing &amp; monitoring credit risk</w:t>
      </w:r>
    </w:p>
    <w:p>
      <w:pPr>
        <w:pStyle w:val="Normal"/>
        <w:pBdr>
          <w:top w:val="single" w:sz="6" w:space="1" w:color="000000"/>
          <w:left w:val="single" w:sz="6" w:space="1" w:color="000000"/>
          <w:bottom w:val="single" w:sz="6" w:space="1" w:color="000000"/>
          <w:right w:val="single" w:sz="6" w:space="1" w:color="000000"/>
        </w:pBdr>
        <w:spacing w:lineRule="auto" w:line="360"/>
        <w:jc w:val="center"/>
        <w:rPr>
          <w:rFonts w:ascii="Arial" w:hAnsi="Arial" w:cs="Arial"/>
          <w:i/>
          <w:i/>
          <w:sz w:val="22"/>
        </w:rPr>
      </w:pPr>
      <w:r>
        <w:rPr>
          <w:rFonts w:cs="Arial" w:ascii="Arial" w:hAnsi="Arial"/>
          <w:i/>
          <w:sz w:val="22"/>
        </w:rPr>
        <w:t>27 &amp; 28 January 2000, Houston</w:t>
      </w:r>
    </w:p>
    <w:p>
      <w:pPr>
        <w:pStyle w:val="Normal"/>
        <w:spacing w:lineRule="auto" w:line="360"/>
        <w:rPr>
          <w:rFonts w:ascii="Arial" w:hAnsi="Arial" w:cs="Arial"/>
          <w:i/>
          <w:i/>
          <w:sz w:val="22"/>
        </w:rPr>
      </w:pPr>
      <w:r>
        <w:rPr>
          <w:rFonts w:cs="Arial" w:ascii="Arial" w:hAnsi="Arial"/>
          <w:i/>
          <w:sz w:val="22"/>
        </w:rPr>
      </w:r>
    </w:p>
    <w:p>
      <w:pPr>
        <w:pStyle w:val="Normal"/>
        <w:spacing w:lineRule="auto" w:line="360"/>
        <w:rPr/>
      </w:pPr>
      <w:r>
        <w:rPr>
          <w:rFonts w:cs="Arial" w:ascii="Arial" w:hAnsi="Arial"/>
          <w:sz w:val="22"/>
        </w:rPr>
        <w:t xml:space="preserve">It is my pleasure to invite you to speak at our forthcoming </w:t>
      </w:r>
      <w:r>
        <w:rPr>
          <w:rFonts w:cs="Arial" w:ascii="Arial" w:hAnsi="Arial"/>
          <w:b/>
          <w:sz w:val="22"/>
        </w:rPr>
        <w:t xml:space="preserve">conference </w:t>
      </w:r>
      <w:r>
        <w:rPr>
          <w:rFonts w:cs="Arial" w:ascii="Arial" w:hAnsi="Arial"/>
          <w:sz w:val="22"/>
        </w:rPr>
        <w:t xml:space="preserve">on measuring, managing and monitoring credit risk taking place in </w:t>
      </w:r>
      <w:r>
        <w:rPr>
          <w:rFonts w:cs="Arial" w:ascii="Arial" w:hAnsi="Arial"/>
          <w:b/>
          <w:sz w:val="22"/>
        </w:rPr>
        <w:t>Houston</w:t>
      </w:r>
      <w:r>
        <w:rPr>
          <w:rFonts w:cs="Arial" w:ascii="Arial" w:hAnsi="Arial"/>
          <w:sz w:val="22"/>
        </w:rPr>
        <w:t xml:space="preserve">. I would like you to consider talk number 5 at the pre-conference seminar. However, if there are any other available topics you would prefer to speak please let me know. </w:t>
        <w:tab/>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 xml:space="preserve">The programme covers the latest developments in credit risk for power market players. It has been designed to meet the requirements of credit risk managers, credit analysts and risk managers, from utilities and power marketing companies. It will also be of interest to those working in accounting and legal functions who are effected by the volatility of the power market. </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The event will provide practical, in-depth information of the standard people have come to expect of EPRM events. I shall be extremely pleased to hear any comments you have on the structure and content of the course programme, and needless to say, suggestions for improvements/amendments would be gratefully received. Additionally I am very keen to learn if there are specific people you feel should be taking part in this event.</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The course will be marketed extensively through Energy &amp; Power Risk Management Magazine and other trade press, as well as through direct mail using Risk’s major database. Through the enthusiastic response I have received during my research and the unique and topical nature of this event we are confident it will attract a large and diverse audience.</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I have attached a copy of the course programme for your information.</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Unfortunately my schedule for this event is very tight. I will call you in the next few days to discuss your reaction to taking part in the conference.</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I look forward to speaking to you soon.</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Best regards,</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b/>
          <w:sz w:val="22"/>
        </w:rPr>
      </w:pPr>
      <w:r>
        <w:rPr>
          <w:rFonts w:cs="Arial" w:ascii="Arial" w:hAnsi="Arial"/>
          <w:b/>
          <w:sz w:val="22"/>
        </w:rPr>
        <w:t>Helen Evans</w:t>
      </w:r>
    </w:p>
    <w:p>
      <w:pPr>
        <w:pStyle w:val="Normal"/>
        <w:spacing w:lineRule="auto" w:line="360"/>
        <w:rPr>
          <w:rFonts w:ascii="Arial" w:hAnsi="Arial" w:cs="Arial"/>
          <w:sz w:val="22"/>
          <w:u w:val="single"/>
        </w:rPr>
      </w:pPr>
      <w:r>
        <w:rPr>
          <w:rFonts w:cs="Arial" w:ascii="Arial" w:hAnsi="Arial"/>
          <w:sz w:val="22"/>
          <w:u w:val="single"/>
        </w:rPr>
        <w:t>Conference Producer, Energy Conferences &amp; Courses</w:t>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spacing w:lineRule="auto" w:line="360"/>
        <w:rPr>
          <w:rFonts w:ascii="Arial" w:hAnsi="Arial" w:cs="Arial"/>
          <w:sz w:val="22"/>
          <w:u w:val="single"/>
        </w:rPr>
      </w:pPr>
      <w:r>
        <w:rPr>
          <w:rFonts w:cs="Arial" w:ascii="Arial" w:hAnsi="Arial"/>
          <w:sz w:val="22"/>
          <w:u w:val="single"/>
        </w:rPr>
      </w:r>
    </w:p>
    <w:p>
      <w:pPr>
        <w:pStyle w:val="Normal"/>
        <w:jc w:val="center"/>
        <w:rPr>
          <w:b/>
          <w:sz w:val="28"/>
        </w:rPr>
      </w:pPr>
      <w:r>
        <w:rPr>
          <w:b/>
          <w:sz w:val="28"/>
        </w:rPr>
        <w:t>Measuring, managing and modelling credit risk in the US power markets</w:t>
      </w:r>
    </w:p>
    <w:p>
      <w:pPr>
        <w:pStyle w:val="Normal"/>
        <w:jc w:val="center"/>
        <w:rPr/>
      </w:pPr>
      <w:r>
        <w:rPr>
          <w:sz w:val="24"/>
        </w:rPr>
        <w:t>27</w:t>
      </w:r>
      <w:r>
        <w:rPr>
          <w:sz w:val="24"/>
          <w:vertAlign w:val="superscript"/>
        </w:rPr>
        <w:t>th</w:t>
      </w:r>
      <w:r>
        <w:rPr>
          <w:sz w:val="24"/>
        </w:rPr>
        <w:t xml:space="preserve"> &amp; 28</w:t>
      </w:r>
      <w:r>
        <w:rPr>
          <w:sz w:val="24"/>
          <w:vertAlign w:val="superscript"/>
        </w:rPr>
        <w:t>th</w:t>
      </w:r>
      <w:r>
        <w:rPr>
          <w:sz w:val="24"/>
        </w:rPr>
        <w:t xml:space="preserve"> January 2000, Houston</w:t>
      </w:r>
    </w:p>
    <w:p>
      <w:pPr>
        <w:pStyle w:val="Normal"/>
        <w:jc w:val="center"/>
        <w:rPr/>
      </w:pPr>
      <w:r>
        <w:rPr/>
      </w:r>
    </w:p>
    <w:p>
      <w:pPr>
        <w:pStyle w:val="Header"/>
        <w:rPr/>
      </w:pPr>
      <w:r>
        <w:rPr/>
      </w:r>
    </w:p>
    <w:p>
      <w:pPr>
        <w:pStyle w:val="Heading2"/>
        <w:ind w:hanging="0" w:start="0"/>
        <w:rPr>
          <w:u w:val="none"/>
        </w:rPr>
      </w:pPr>
      <w:r>
        <w:rPr>
          <w:u w:val="none"/>
        </w:rPr>
        <w:t xml:space="preserve">Day one Thursday 27 January 2000 </w:t>
      </w:r>
    </w:p>
    <w:p>
      <w:pPr>
        <w:pStyle w:val="Normal"/>
        <w:rPr>
          <w:u w:val="none"/>
        </w:rPr>
      </w:pPr>
      <w:r>
        <w:rPr>
          <w:u w:val="none"/>
        </w:rPr>
      </w:r>
    </w:p>
    <w:p>
      <w:pPr>
        <w:pStyle w:val="Normal"/>
        <w:ind w:firstLine="720" w:end="0"/>
        <w:rPr>
          <w:b/>
        </w:rPr>
      </w:pPr>
      <w:r>
        <w:rPr>
          <w:b/>
        </w:rPr>
        <w:t>Chairman:</w:t>
      </w:r>
    </w:p>
    <w:p>
      <w:pPr>
        <w:pStyle w:val="Normal"/>
        <w:ind w:firstLine="720" w:end="0"/>
        <w:rPr>
          <w:b/>
        </w:rPr>
      </w:pPr>
      <w:r>
        <w:rPr>
          <w:b/>
        </w:rPr>
        <w:t xml:space="preserve"> </w:t>
      </w:r>
      <w:r>
        <w:rPr>
          <w:b/>
        </w:rPr>
        <w:t>Dominic Young</w:t>
      </w:r>
    </w:p>
    <w:p>
      <w:pPr>
        <w:pStyle w:val="Normal"/>
        <w:ind w:firstLine="720" w:end="0"/>
        <w:rPr>
          <w:b/>
        </w:rPr>
      </w:pPr>
      <w:r>
        <w:rPr>
          <w:b/>
        </w:rPr>
        <w:t>Partner</w:t>
      </w:r>
    </w:p>
    <w:p>
      <w:pPr>
        <w:pStyle w:val="Normal"/>
        <w:ind w:firstLine="720" w:end="0"/>
        <w:rPr>
          <w:b/>
        </w:rPr>
      </w:pPr>
      <w:r>
        <w:rPr>
          <w:b/>
        </w:rPr>
        <w:t>DELOITTE &amp; TOUCHE LLP</w:t>
      </w:r>
    </w:p>
    <w:p>
      <w:pPr>
        <w:pStyle w:val="Normal"/>
        <w:rPr/>
      </w:pPr>
      <w:r>
        <w:rPr/>
      </w:r>
    </w:p>
    <w:p>
      <w:pPr>
        <w:pStyle w:val="Normal"/>
        <w:rPr/>
      </w:pPr>
      <w:r>
        <w:rPr/>
        <w:t>8.30</w:t>
        <w:tab/>
        <w:t>Registration</w:t>
      </w:r>
    </w:p>
    <w:p>
      <w:pPr>
        <w:pStyle w:val="Normal"/>
        <w:rPr/>
      </w:pPr>
      <w:r>
        <w:rPr/>
      </w:r>
    </w:p>
    <w:p>
      <w:pPr>
        <w:pStyle w:val="Normal"/>
        <w:rPr/>
      </w:pPr>
      <w:r>
        <w:rPr/>
        <w:t>9.00</w:t>
        <w:tab/>
        <w:t>Chairman's opening remarks</w:t>
      </w:r>
    </w:p>
    <w:p>
      <w:pPr>
        <w:pStyle w:val="Normal"/>
        <w:rPr>
          <w:b/>
        </w:rPr>
      </w:pPr>
      <w:r>
        <w:rPr>
          <w:b/>
        </w:rPr>
      </w:r>
    </w:p>
    <w:p>
      <w:pPr>
        <w:pStyle w:val="Normal"/>
        <w:rPr/>
      </w:pPr>
      <w:r>
        <w:rPr/>
        <w:t>9.10</w:t>
      </w:r>
    </w:p>
    <w:p>
      <w:pPr>
        <w:pStyle w:val="Normal"/>
        <w:rPr>
          <w:b/>
        </w:rPr>
      </w:pPr>
      <w:r>
        <w:rPr>
          <w:b/>
        </w:rPr>
        <w:t>1. DEVELOPING EFFECTIVE METHODS TO CALCULATE CREDIT EXPOSURE</w:t>
      </w:r>
    </w:p>
    <w:p>
      <w:pPr>
        <w:pStyle w:val="Normal"/>
        <w:numPr>
          <w:ilvl w:val="0"/>
          <w:numId w:val="61"/>
        </w:numPr>
        <w:rPr/>
      </w:pPr>
      <w:r>
        <w:rPr/>
        <w:t>Identifying and overcoming key factors resulting in credit risk:</w:t>
      </w:r>
    </w:p>
    <w:p>
      <w:pPr>
        <w:pStyle w:val="Normal"/>
        <w:ind w:firstLine="720" w:end="0"/>
        <w:rPr/>
      </w:pPr>
      <w:r>
        <w:rPr/>
        <w:t>- the prevalence of unrated counterparties</w:t>
      </w:r>
    </w:p>
    <w:p>
      <w:pPr>
        <w:pStyle w:val="Normal"/>
        <w:ind w:firstLine="720" w:end="0"/>
        <w:rPr/>
      </w:pPr>
      <w:r>
        <w:rPr/>
        <w:t xml:space="preserve">- slack credit practices </w:t>
      </w:r>
    </w:p>
    <w:p>
      <w:pPr>
        <w:pStyle w:val="Normal"/>
        <w:ind w:firstLine="720" w:end="0"/>
        <w:rPr/>
      </w:pPr>
      <w:r>
        <w:rPr/>
        <w:t>- lack of price differentiation for counterparties of varying credit quality</w:t>
      </w:r>
    </w:p>
    <w:p>
      <w:pPr>
        <w:pStyle w:val="Normal"/>
        <w:ind w:firstLine="720" w:end="0"/>
        <w:rPr/>
      </w:pPr>
      <w:r>
        <w:rPr/>
        <w:t>-limited range of trading instruments available</w:t>
      </w:r>
    </w:p>
    <w:p>
      <w:pPr>
        <w:pStyle w:val="Normal"/>
        <w:numPr>
          <w:ilvl w:val="0"/>
          <w:numId w:val="18"/>
        </w:numPr>
        <w:rPr/>
      </w:pPr>
      <w:r>
        <w:rPr/>
        <w:t>Evaluating potential exposure when taking a position with a counterparty</w:t>
      </w:r>
    </w:p>
    <w:p>
      <w:pPr>
        <w:pStyle w:val="Normal"/>
        <w:numPr>
          <w:ilvl w:val="0"/>
          <w:numId w:val="79"/>
        </w:numPr>
        <w:rPr/>
      </w:pPr>
      <w:r>
        <w:rPr/>
        <w:t>Calculating probability of default</w:t>
      </w:r>
    </w:p>
    <w:p>
      <w:pPr>
        <w:pStyle w:val="Normal"/>
        <w:numPr>
          <w:ilvl w:val="0"/>
          <w:numId w:val="74"/>
        </w:numPr>
        <w:rPr/>
      </w:pPr>
      <w:r>
        <w:rPr/>
        <w:t>Estimating expected recovery rates</w:t>
      </w:r>
    </w:p>
    <w:p>
      <w:pPr>
        <w:pStyle w:val="Normal"/>
        <w:numPr>
          <w:ilvl w:val="0"/>
          <w:numId w:val="13"/>
        </w:numPr>
        <w:rPr/>
      </w:pPr>
      <w:r>
        <w:rPr/>
        <w:t>Developing models and modelling techniques to calculate counterparty credit risk</w:t>
      </w:r>
    </w:p>
    <w:p>
      <w:pPr>
        <w:pStyle w:val="Normal"/>
        <w:numPr>
          <w:ilvl w:val="0"/>
          <w:numId w:val="70"/>
        </w:numPr>
        <w:rPr/>
      </w:pPr>
      <w:r>
        <w:rPr/>
        <w:t>Making successful input choices for credit risk calculations</w:t>
      </w:r>
    </w:p>
    <w:p>
      <w:pPr>
        <w:pStyle w:val="Normal"/>
        <w:numPr>
          <w:ilvl w:val="0"/>
          <w:numId w:val="20"/>
        </w:numPr>
        <w:rPr>
          <w:b/>
        </w:rPr>
      </w:pPr>
      <w:r>
        <w:rPr/>
        <w:t>Practical worked examples</w:t>
      </w:r>
    </w:p>
    <w:p>
      <w:pPr>
        <w:pStyle w:val="Normal"/>
        <w:rPr>
          <w:b/>
        </w:rPr>
      </w:pPr>
      <w:r>
        <w:rPr>
          <w:b/>
        </w:rPr>
        <w:t>Reed Grossmann</w:t>
      </w:r>
    </w:p>
    <w:p>
      <w:pPr>
        <w:pStyle w:val="Normal"/>
        <w:rPr>
          <w:b/>
        </w:rPr>
      </w:pPr>
      <w:r>
        <w:rPr>
          <w:b/>
        </w:rPr>
        <w:t xml:space="preserve">Director of corporate credit </w:t>
      </w:r>
    </w:p>
    <w:p>
      <w:pPr>
        <w:pStyle w:val="Normal"/>
        <w:rPr>
          <w:b/>
        </w:rPr>
      </w:pPr>
      <w:r>
        <w:rPr>
          <w:b/>
        </w:rPr>
        <w:t>AVISTA ENERGY</w:t>
      </w:r>
    </w:p>
    <w:p>
      <w:pPr>
        <w:pStyle w:val="Normal"/>
        <w:rPr>
          <w:b/>
        </w:rPr>
      </w:pPr>
      <w:r>
        <w:rPr>
          <w:b/>
        </w:rPr>
      </w:r>
    </w:p>
    <w:p>
      <w:pPr>
        <w:pStyle w:val="Normal"/>
        <w:rPr/>
      </w:pPr>
      <w:r>
        <w:rPr/>
        <w:t>9.50</w:t>
      </w:r>
    </w:p>
    <w:p>
      <w:pPr>
        <w:pStyle w:val="Normal"/>
        <w:rPr>
          <w:b/>
        </w:rPr>
      </w:pPr>
      <w:r>
        <w:rPr>
          <w:b/>
        </w:rPr>
        <w:t>2. SUCCESSFUL CREDIT ASSESSMENT TECHNIQUES</w:t>
      </w:r>
    </w:p>
    <w:p>
      <w:pPr>
        <w:pStyle w:val="Normal"/>
        <w:numPr>
          <w:ilvl w:val="0"/>
          <w:numId w:val="77"/>
        </w:numPr>
        <w:rPr/>
      </w:pPr>
      <w:r>
        <w:rPr/>
        <w:t>Understanding the counterparty</w:t>
      </w:r>
    </w:p>
    <w:p>
      <w:pPr>
        <w:pStyle w:val="Normal"/>
        <w:rPr/>
      </w:pPr>
      <w:r>
        <w:rPr/>
        <w:tab/>
        <w:t>- strategy (trading style)</w:t>
      </w:r>
    </w:p>
    <w:p>
      <w:pPr>
        <w:pStyle w:val="Normal"/>
        <w:rPr/>
      </w:pPr>
      <w:r>
        <w:rPr/>
        <w:tab/>
        <w:t>- types of contract executed</w:t>
      </w:r>
    </w:p>
    <w:p>
      <w:pPr>
        <w:pStyle w:val="Normal"/>
        <w:rPr/>
      </w:pPr>
      <w:r>
        <w:rPr/>
        <w:tab/>
        <w:t>-quality of the counterparty's traders</w:t>
      </w:r>
    </w:p>
    <w:p>
      <w:pPr>
        <w:pStyle w:val="Normal"/>
        <w:rPr/>
      </w:pPr>
      <w:r>
        <w:rPr/>
        <w:tab/>
        <w:t>- senior management assessment</w:t>
        <w:tab/>
        <w:tab/>
      </w:r>
    </w:p>
    <w:p>
      <w:pPr>
        <w:pStyle w:val="Normal"/>
        <w:numPr>
          <w:ilvl w:val="0"/>
          <w:numId w:val="48"/>
        </w:numPr>
        <w:rPr/>
      </w:pPr>
      <w:r>
        <w:rPr/>
        <w:t>Managing physical needs</w:t>
      </w:r>
    </w:p>
    <w:p>
      <w:pPr>
        <w:pStyle w:val="Normal"/>
        <w:rPr/>
      </w:pPr>
      <w:r>
        <w:rPr/>
        <w:tab/>
        <w:t>- retail load versus wholesale obligations</w:t>
      </w:r>
    </w:p>
    <w:p>
      <w:pPr>
        <w:pStyle w:val="Normal"/>
        <w:rPr/>
      </w:pPr>
      <w:r>
        <w:rPr/>
        <w:tab/>
        <w:t>-reserve margin</w:t>
      </w:r>
    </w:p>
    <w:p>
      <w:pPr>
        <w:pStyle w:val="Normal"/>
        <w:rPr/>
      </w:pPr>
      <w:r>
        <w:rPr/>
        <w:tab/>
        <w:t>-available transmission capacity</w:t>
      </w:r>
    </w:p>
    <w:p>
      <w:pPr>
        <w:pStyle w:val="Normal"/>
        <w:numPr>
          <w:ilvl w:val="0"/>
          <w:numId w:val="28"/>
        </w:numPr>
        <w:rPr/>
      </w:pPr>
      <w:r>
        <w:rPr/>
        <w:t>Assessing financial considerations</w:t>
      </w:r>
    </w:p>
    <w:p>
      <w:pPr>
        <w:pStyle w:val="Normal"/>
        <w:rPr/>
      </w:pPr>
      <w:r>
        <w:rPr/>
        <w:tab/>
        <w:t>- access to short-term funding</w:t>
      </w:r>
    </w:p>
    <w:p>
      <w:pPr>
        <w:pStyle w:val="Normal"/>
        <w:rPr/>
      </w:pPr>
      <w:r>
        <w:rPr/>
        <w:tab/>
        <w:t>- parent/operating company strength</w:t>
      </w:r>
    </w:p>
    <w:p>
      <w:pPr>
        <w:pStyle w:val="Normal"/>
        <w:rPr/>
      </w:pPr>
      <w:r>
        <w:rPr/>
        <w:tab/>
        <w:t>- parent support through: guarantee cosignatures</w:t>
      </w:r>
    </w:p>
    <w:p>
      <w:pPr>
        <w:pStyle w:val="Normal"/>
        <w:rPr/>
      </w:pPr>
      <w:r>
        <w:rPr/>
        <w:tab/>
        <w:t xml:space="preserve"> </w:t>
        <w:tab/>
        <w:t xml:space="preserve">                           letters of credit</w:t>
      </w:r>
    </w:p>
    <w:p>
      <w:pPr>
        <w:pStyle w:val="Normal"/>
        <w:numPr>
          <w:ilvl w:val="0"/>
          <w:numId w:val="36"/>
        </w:numPr>
        <w:rPr/>
      </w:pPr>
      <w:r>
        <w:rPr/>
        <w:t>Practical example: Applying an assessment methodology to a counterparty</w:t>
      </w:r>
    </w:p>
    <w:p>
      <w:pPr>
        <w:pStyle w:val="Normal"/>
        <w:rPr>
          <w:b/>
        </w:rPr>
      </w:pPr>
      <w:r>
        <w:rPr>
          <w:b/>
        </w:rPr>
        <w:t>Lori R. Woodland</w:t>
      </w:r>
    </w:p>
    <w:p>
      <w:pPr>
        <w:pStyle w:val="Normal"/>
        <w:rPr>
          <w:b/>
        </w:rPr>
      </w:pPr>
      <w:r>
        <w:rPr>
          <w:b/>
        </w:rPr>
        <w:t>Vice president, Global power group</w:t>
      </w:r>
    </w:p>
    <w:p>
      <w:pPr>
        <w:pStyle w:val="Normal"/>
        <w:rPr>
          <w:b/>
        </w:rPr>
      </w:pPr>
      <w:r>
        <w:rPr>
          <w:b/>
        </w:rPr>
        <w:t>DUFF &amp; PHELPS CREDIT RATINGS</w:t>
      </w:r>
    </w:p>
    <w:p>
      <w:pPr>
        <w:pStyle w:val="Normal"/>
        <w:rPr>
          <w:b/>
        </w:rPr>
      </w:pPr>
      <w:r>
        <w:rPr>
          <w:b/>
        </w:rPr>
      </w:r>
    </w:p>
    <w:p>
      <w:pPr>
        <w:pStyle w:val="Normal"/>
        <w:rPr/>
      </w:pPr>
      <w:r>
        <w:rPr/>
        <w:t>10.30</w:t>
        <w:tab/>
        <w:t>Morning break</w:t>
      </w:r>
    </w:p>
    <w:p>
      <w:pPr>
        <w:pStyle w:val="Normal"/>
        <w:rPr/>
      </w:pPr>
      <w:r>
        <w:rPr/>
      </w:r>
    </w:p>
    <w:p>
      <w:pPr>
        <w:pStyle w:val="Normal"/>
        <w:rPr/>
      </w:pPr>
      <w:r>
        <w:rPr/>
        <w:t>11.00</w:t>
      </w:r>
    </w:p>
    <w:p>
      <w:pPr>
        <w:pStyle w:val="Normal"/>
        <w:rPr>
          <w:b/>
        </w:rPr>
      </w:pPr>
      <w:r>
        <w:rPr>
          <w:b/>
        </w:rPr>
        <w:t>3. CREDIT RATINGS FROM A USER PERSPECTIVE</w:t>
      </w:r>
    </w:p>
    <w:p>
      <w:pPr>
        <w:pStyle w:val="Normal"/>
        <w:numPr>
          <w:ilvl w:val="0"/>
          <w:numId w:val="23"/>
        </w:numPr>
        <w:rPr/>
      </w:pPr>
      <w:r>
        <w:rPr/>
        <w:t>Defining and analyzing the rating option</w:t>
      </w:r>
    </w:p>
    <w:p>
      <w:pPr>
        <w:pStyle w:val="Normal"/>
        <w:numPr>
          <w:ilvl w:val="0"/>
          <w:numId w:val="27"/>
        </w:numPr>
        <w:rPr/>
      </w:pPr>
      <w:r>
        <w:rPr/>
        <w:t>Evaluating the senior unsecured debt rating as a proxy for energy obligations</w:t>
      </w:r>
    </w:p>
    <w:p>
      <w:pPr>
        <w:pStyle w:val="Normal"/>
        <w:numPr>
          <w:ilvl w:val="0"/>
          <w:numId w:val="108"/>
        </w:numPr>
        <w:rPr/>
      </w:pPr>
      <w:r>
        <w:rPr/>
        <w:t>Split ratings: -why they occur</w:t>
      </w:r>
    </w:p>
    <w:p>
      <w:pPr>
        <w:pStyle w:val="Normal"/>
        <w:rPr/>
      </w:pPr>
      <w:r>
        <w:rPr/>
        <w:tab/>
        <w:tab/>
        <w:t>-how to deal with them</w:t>
      </w:r>
    </w:p>
    <w:p>
      <w:pPr>
        <w:pStyle w:val="Normal"/>
        <w:numPr>
          <w:ilvl w:val="0"/>
          <w:numId w:val="56"/>
        </w:numPr>
        <w:rPr/>
      </w:pPr>
      <w:r>
        <w:rPr/>
        <w:t>Comparing the different ways ratings agencies evaluate energy companies</w:t>
      </w:r>
    </w:p>
    <w:p>
      <w:pPr>
        <w:pStyle w:val="Normal"/>
        <w:numPr>
          <w:ilvl w:val="0"/>
          <w:numId w:val="117"/>
        </w:numPr>
        <w:rPr/>
      </w:pPr>
      <w:r>
        <w:rPr/>
        <w:t xml:space="preserve">Choosing an appropriate rating for trading with: </w:t>
        <w:tab/>
        <w:t>-municipal electrics</w:t>
      </w:r>
    </w:p>
    <w:p>
      <w:pPr>
        <w:pStyle w:val="Normal"/>
        <w:rPr/>
      </w:pPr>
      <w:r>
        <w:rPr/>
        <w:tab/>
        <w:tab/>
        <w:tab/>
        <w:tab/>
        <w:tab/>
        <w:tab/>
        <w:t xml:space="preserve"> -joint action agencies</w:t>
      </w:r>
    </w:p>
    <w:p>
      <w:pPr>
        <w:pStyle w:val="Normal"/>
        <w:numPr>
          <w:ilvl w:val="0"/>
          <w:numId w:val="101"/>
        </w:numPr>
        <w:rPr/>
      </w:pPr>
      <w:r>
        <w:rPr/>
        <w:t xml:space="preserve">Determining the reliability of energy market ratings which rely on parent support </w:t>
      </w:r>
    </w:p>
    <w:p>
      <w:pPr>
        <w:pStyle w:val="Normal"/>
        <w:numPr>
          <w:ilvl w:val="0"/>
          <w:numId w:val="98"/>
        </w:numPr>
        <w:rPr/>
      </w:pPr>
      <w:r>
        <w:rPr/>
        <w:t>Practical examples</w:t>
      </w:r>
    </w:p>
    <w:p>
      <w:pPr>
        <w:pStyle w:val="Normal"/>
        <w:rPr>
          <w:b/>
        </w:rPr>
      </w:pPr>
      <w:r>
        <w:rPr>
          <w:b/>
        </w:rPr>
        <w:t>Martin Gellen</w:t>
      </w:r>
    </w:p>
    <w:p>
      <w:pPr>
        <w:pStyle w:val="Normal"/>
        <w:rPr>
          <w:b/>
        </w:rPr>
      </w:pPr>
      <w:r>
        <w:rPr>
          <w:b/>
        </w:rPr>
        <w:t>Director of enterprise wide credit</w:t>
      </w:r>
    </w:p>
    <w:p>
      <w:pPr>
        <w:pStyle w:val="Normal"/>
        <w:rPr>
          <w:b/>
        </w:rPr>
      </w:pPr>
      <w:r>
        <w:rPr>
          <w:b/>
        </w:rPr>
        <w:t>PG&amp;E Corporation</w:t>
      </w:r>
    </w:p>
    <w:p>
      <w:pPr>
        <w:pStyle w:val="Normal"/>
        <w:rPr>
          <w:b/>
        </w:rPr>
      </w:pPr>
      <w:r>
        <w:rPr>
          <w:b/>
        </w:rPr>
      </w:r>
    </w:p>
    <w:p>
      <w:pPr>
        <w:pStyle w:val="Normal"/>
        <w:rPr/>
      </w:pPr>
      <w:r>
        <w:rPr/>
        <w:t>11.40</w:t>
      </w:r>
    </w:p>
    <w:p>
      <w:pPr>
        <w:pStyle w:val="Normal"/>
        <w:rPr>
          <w:b/>
        </w:rPr>
      </w:pPr>
      <w:r>
        <w:rPr>
          <w:b/>
        </w:rPr>
        <w:t>4. USING THE FORWARD CURVE IN CREDIT RISK CALCULATIONS</w:t>
      </w:r>
    </w:p>
    <w:p>
      <w:pPr>
        <w:pStyle w:val="Normal"/>
        <w:numPr>
          <w:ilvl w:val="0"/>
          <w:numId w:val="111"/>
        </w:numPr>
        <w:rPr/>
      </w:pPr>
      <w:r>
        <w:rPr/>
        <w:t>Shocking the forward curve and assessing the potential impact on exposure</w:t>
      </w:r>
    </w:p>
    <w:p>
      <w:pPr>
        <w:pStyle w:val="Normal"/>
        <w:numPr>
          <w:ilvl w:val="0"/>
          <w:numId w:val="111"/>
        </w:numPr>
        <w:rPr/>
      </w:pPr>
      <w:r>
        <w:rPr/>
        <w:t>Shocking the curve to calculate potential replacement costs</w:t>
      </w:r>
    </w:p>
    <w:p>
      <w:pPr>
        <w:pStyle w:val="Normal"/>
        <w:numPr>
          <w:ilvl w:val="0"/>
          <w:numId w:val="35"/>
        </w:numPr>
        <w:rPr/>
      </w:pPr>
      <w:r>
        <w:rPr/>
        <w:t>Understanding how to manage the curve shift and correlate default probabilities</w:t>
      </w:r>
    </w:p>
    <w:p>
      <w:pPr>
        <w:pStyle w:val="Normal"/>
        <w:numPr>
          <w:ilvl w:val="0"/>
          <w:numId w:val="76"/>
        </w:numPr>
        <w:rPr/>
      </w:pPr>
      <w:r>
        <w:rPr/>
        <w:t>Calculating changes in option values using the forward curve</w:t>
      </w:r>
    </w:p>
    <w:p>
      <w:pPr>
        <w:pStyle w:val="Normal"/>
        <w:numPr>
          <w:ilvl w:val="0"/>
          <w:numId w:val="34"/>
        </w:numPr>
        <w:rPr/>
      </w:pPr>
      <w:r>
        <w:rPr/>
        <w:t>Estimating sensitivity to changes in the forward curve using the Greeks</w:t>
      </w:r>
    </w:p>
    <w:p>
      <w:pPr>
        <w:pStyle w:val="Normal"/>
        <w:numPr>
          <w:ilvl w:val="0"/>
          <w:numId w:val="78"/>
        </w:numPr>
        <w:rPr/>
      </w:pPr>
      <w:r>
        <w:rPr/>
        <w:t xml:space="preserve">Using the static forward curve to generate replacement value on forward contracts </w:t>
      </w:r>
    </w:p>
    <w:p>
      <w:pPr>
        <w:pStyle w:val="Normal"/>
        <w:numPr>
          <w:ilvl w:val="0"/>
          <w:numId w:val="66"/>
        </w:numPr>
        <w:rPr/>
      </w:pPr>
      <w:r>
        <w:rPr/>
        <w:t xml:space="preserve">Generating evolutions of the curve using Monte-Carlo </w:t>
      </w:r>
    </w:p>
    <w:p>
      <w:pPr>
        <w:pStyle w:val="Normal"/>
        <w:numPr>
          <w:ilvl w:val="0"/>
          <w:numId w:val="96"/>
        </w:numPr>
        <w:rPr/>
      </w:pPr>
      <w:r>
        <w:rPr/>
        <w:t>Explaining the limitations of using the forward curve</w:t>
      </w:r>
    </w:p>
    <w:p>
      <w:pPr>
        <w:pStyle w:val="Normal"/>
        <w:rPr>
          <w:b/>
        </w:rPr>
      </w:pPr>
      <w:r>
        <w:rPr>
          <w:b/>
        </w:rPr>
        <w:t>Amitava Dhar</w:t>
      </w:r>
    </w:p>
    <w:p>
      <w:pPr>
        <w:pStyle w:val="Normal"/>
        <w:rPr>
          <w:b/>
        </w:rPr>
      </w:pPr>
      <w:r>
        <w:rPr>
          <w:b/>
        </w:rPr>
        <w:t>Manager, Research</w:t>
      </w:r>
    </w:p>
    <w:p>
      <w:pPr>
        <w:pStyle w:val="Normal"/>
        <w:rPr>
          <w:b/>
        </w:rPr>
      </w:pPr>
      <w:r>
        <w:rPr>
          <w:b/>
        </w:rPr>
        <w:t>ENRON CORP</w:t>
      </w:r>
    </w:p>
    <w:p>
      <w:pPr>
        <w:pStyle w:val="Normal"/>
        <w:rPr>
          <w:b/>
        </w:rPr>
      </w:pPr>
      <w:r>
        <w:rPr>
          <w:b/>
        </w:rPr>
      </w:r>
    </w:p>
    <w:p>
      <w:pPr>
        <w:pStyle w:val="Normal"/>
        <w:rPr/>
      </w:pPr>
      <w:r>
        <w:rPr/>
        <w:t>12.20</w:t>
        <w:tab/>
        <w:t>Lunch</w:t>
      </w:r>
    </w:p>
    <w:p>
      <w:pPr>
        <w:pStyle w:val="Normal"/>
        <w:rPr/>
      </w:pPr>
      <w:r>
        <w:rPr/>
      </w:r>
    </w:p>
    <w:p>
      <w:pPr>
        <w:pStyle w:val="Normal"/>
        <w:rPr/>
      </w:pPr>
      <w:r>
        <w:rPr/>
        <w:t xml:space="preserve">1.40 </w:t>
      </w:r>
    </w:p>
    <w:p>
      <w:pPr>
        <w:pStyle w:val="Normal"/>
        <w:rPr>
          <w:b/>
        </w:rPr>
      </w:pPr>
      <w:r>
        <w:rPr>
          <w:b/>
        </w:rPr>
        <w:t xml:space="preserve">5. INCORPORATING VOLATILITY INTO CREDIT RISK MEASUREMENT AND MANAGEMENT  </w:t>
      </w:r>
    </w:p>
    <w:p>
      <w:pPr>
        <w:pStyle w:val="Normal"/>
        <w:numPr>
          <w:ilvl w:val="0"/>
          <w:numId w:val="5"/>
        </w:numPr>
        <w:rPr/>
      </w:pPr>
      <w:r>
        <w:rPr/>
        <w:t xml:space="preserve">Analysing how volatility can exacerbate credit exposure </w:t>
      </w:r>
    </w:p>
    <w:p>
      <w:pPr>
        <w:pStyle w:val="Normal"/>
        <w:numPr>
          <w:ilvl w:val="0"/>
          <w:numId w:val="31"/>
        </w:numPr>
        <w:rPr/>
      </w:pPr>
      <w:r>
        <w:rPr/>
        <w:t>Limiting risk of default in a volatile market</w:t>
      </w:r>
    </w:p>
    <w:p>
      <w:pPr>
        <w:pStyle w:val="Normal"/>
        <w:rPr/>
      </w:pPr>
      <w:r>
        <w:rPr/>
        <w:tab/>
        <w:t>- parent guarantees</w:t>
      </w:r>
    </w:p>
    <w:p>
      <w:pPr>
        <w:pStyle w:val="Normal"/>
        <w:rPr/>
      </w:pPr>
      <w:r>
        <w:rPr/>
        <w:tab/>
        <w:t>- volumetric restrictions</w:t>
      </w:r>
    </w:p>
    <w:p>
      <w:pPr>
        <w:pStyle w:val="Normal"/>
        <w:rPr/>
      </w:pPr>
      <w:r>
        <w:rPr/>
        <w:tab/>
        <w:t>- weather risk</w:t>
      </w:r>
    </w:p>
    <w:p>
      <w:pPr>
        <w:pStyle w:val="Normal"/>
        <w:rPr/>
      </w:pPr>
      <w:r>
        <w:rPr/>
        <w:tab/>
        <w:t xml:space="preserve">- avoiding under capitalized firms </w:t>
      </w:r>
    </w:p>
    <w:p>
      <w:pPr>
        <w:pStyle w:val="Normal"/>
        <w:numPr>
          <w:ilvl w:val="0"/>
          <w:numId w:val="103"/>
        </w:numPr>
        <w:rPr/>
      </w:pPr>
      <w:r>
        <w:rPr/>
        <w:t>Establishing the effect of volatility on delivery risk</w:t>
      </w:r>
    </w:p>
    <w:p>
      <w:pPr>
        <w:pStyle w:val="Normal"/>
        <w:numPr>
          <w:ilvl w:val="0"/>
          <w:numId w:val="87"/>
        </w:numPr>
        <w:rPr/>
      </w:pPr>
      <w:r>
        <w:rPr/>
        <w:t>Identifying lessons to be learned from summer '99</w:t>
      </w:r>
    </w:p>
    <w:p>
      <w:pPr>
        <w:pStyle w:val="Normal"/>
        <w:numPr>
          <w:ilvl w:val="0"/>
          <w:numId w:val="72"/>
        </w:numPr>
        <w:rPr>
          <w:b/>
        </w:rPr>
      </w:pPr>
      <w:r>
        <w:rPr/>
        <w:t xml:space="preserve">Estimating volatility to calculate future exposures </w:t>
      </w:r>
    </w:p>
    <w:p>
      <w:pPr>
        <w:pStyle w:val="Normal"/>
        <w:rPr>
          <w:b/>
        </w:rPr>
      </w:pPr>
      <w:r>
        <w:rPr>
          <w:b/>
        </w:rPr>
        <w:t>Khalid Abedin</w:t>
      </w:r>
    </w:p>
    <w:p>
      <w:pPr>
        <w:pStyle w:val="Normal"/>
        <w:rPr>
          <w:b/>
        </w:rPr>
      </w:pPr>
      <w:r>
        <w:rPr>
          <w:b/>
        </w:rPr>
        <w:t>Credit risk management</w:t>
      </w:r>
    </w:p>
    <w:p>
      <w:pPr>
        <w:pStyle w:val="Normal"/>
        <w:rPr>
          <w:b/>
        </w:rPr>
      </w:pPr>
      <w:r>
        <w:rPr>
          <w:b/>
        </w:rPr>
        <w:t>CONSTELLATION POWER SOURCE/GOLDMAN SACHS POWER</w:t>
      </w:r>
    </w:p>
    <w:p>
      <w:pPr>
        <w:pStyle w:val="Normal"/>
        <w:rPr>
          <w:b/>
        </w:rPr>
      </w:pPr>
      <w:r>
        <w:rPr>
          <w:b/>
        </w:rPr>
      </w:r>
    </w:p>
    <w:p>
      <w:pPr>
        <w:pStyle w:val="Normal"/>
        <w:rPr/>
      </w:pPr>
      <w:r>
        <w:rPr/>
        <w:t>2.20</w:t>
      </w:r>
    </w:p>
    <w:p>
      <w:pPr>
        <w:pStyle w:val="Normal"/>
        <w:rPr>
          <w:b/>
        </w:rPr>
      </w:pPr>
      <w:r>
        <w:rPr>
          <w:b/>
        </w:rPr>
        <w:t>6. MITIGATING EXCESSIVE EXPOSURE USING CREDIT ENHANCEMENT TECHNIQUES</w:t>
      </w:r>
    </w:p>
    <w:p>
      <w:pPr>
        <w:pStyle w:val="Normal"/>
        <w:numPr>
          <w:ilvl w:val="0"/>
          <w:numId w:val="82"/>
        </w:numPr>
        <w:rPr/>
      </w:pPr>
      <w:r>
        <w:rPr/>
        <w:t>Comparing the pros and cons of basic mitigation devices</w:t>
      </w:r>
    </w:p>
    <w:p>
      <w:pPr>
        <w:pStyle w:val="Normal"/>
        <w:ind w:firstLine="720" w:end="0"/>
        <w:rPr/>
      </w:pPr>
      <w:r>
        <w:rPr/>
        <w:t>- netting</w:t>
        <w:tab/>
      </w:r>
    </w:p>
    <w:p>
      <w:pPr>
        <w:pStyle w:val="Normal"/>
        <w:ind w:firstLine="720" w:end="0"/>
        <w:rPr/>
      </w:pPr>
      <w:r>
        <w:rPr/>
        <w:t>- set-offs</w:t>
      </w:r>
    </w:p>
    <w:p>
      <w:pPr>
        <w:pStyle w:val="Normal"/>
        <w:ind w:firstLine="720" w:end="0"/>
        <w:rPr/>
      </w:pPr>
      <w:r>
        <w:rPr/>
        <w:t>- sleeving</w:t>
      </w:r>
    </w:p>
    <w:p>
      <w:pPr>
        <w:pStyle w:val="Normal"/>
        <w:ind w:firstLine="720" w:end="0"/>
        <w:rPr/>
      </w:pPr>
      <w:r>
        <w:rPr/>
        <w:t>- counterparty position limits</w:t>
        <w:tab/>
      </w:r>
    </w:p>
    <w:p>
      <w:pPr>
        <w:pStyle w:val="Normal"/>
        <w:numPr>
          <w:ilvl w:val="0"/>
          <w:numId w:val="93"/>
        </w:numPr>
        <w:rPr/>
      </w:pPr>
      <w:r>
        <w:rPr/>
        <w:t>Achieving optimal parent guarantee agreements</w:t>
      </w:r>
    </w:p>
    <w:p>
      <w:pPr>
        <w:pStyle w:val="Normal"/>
        <w:ind w:firstLine="720" w:end="0"/>
        <w:rPr/>
      </w:pPr>
      <w:r>
        <w:rPr/>
        <w:t>- clarity of vocabulary</w:t>
      </w:r>
    </w:p>
    <w:p>
      <w:pPr>
        <w:pStyle w:val="Normal"/>
        <w:tabs>
          <w:tab w:val="clear" w:pos="720"/>
          <w:tab w:val="left" w:pos="360" w:leader="none"/>
        </w:tabs>
        <w:rPr/>
      </w:pPr>
      <w:r>
        <w:rPr/>
        <w:tab/>
        <w:tab/>
        <w:t>- clarifying issues of jurisdiction</w:t>
      </w:r>
    </w:p>
    <w:p>
      <w:pPr>
        <w:pStyle w:val="Normal"/>
        <w:numPr>
          <w:ilvl w:val="0"/>
          <w:numId w:val="3"/>
        </w:numPr>
        <w:rPr/>
      </w:pPr>
      <w:r>
        <w:rPr/>
        <w:t>Achieving maximum benefit and maintaining liquidity from credit risk mitigation techniques</w:t>
      </w:r>
    </w:p>
    <w:p>
      <w:pPr>
        <w:pStyle w:val="Normal"/>
        <w:numPr>
          <w:ilvl w:val="0"/>
          <w:numId w:val="32"/>
        </w:numPr>
        <w:rPr/>
      </w:pPr>
      <w:r>
        <w:rPr/>
        <w:t xml:space="preserve">Basic credit enhancements to secure exposure </w:t>
      </w:r>
    </w:p>
    <w:p>
      <w:pPr>
        <w:pStyle w:val="Normal"/>
        <w:ind w:firstLine="720" w:end="0"/>
        <w:rPr/>
      </w:pPr>
      <w:r>
        <w:rPr/>
        <w:t>- re-pricing</w:t>
      </w:r>
    </w:p>
    <w:p>
      <w:pPr>
        <w:pStyle w:val="Normal"/>
        <w:tabs>
          <w:tab w:val="clear" w:pos="720"/>
          <w:tab w:val="left" w:pos="360" w:leader="none"/>
        </w:tabs>
        <w:rPr/>
      </w:pPr>
      <w:r>
        <w:rPr/>
        <w:tab/>
        <w:tab/>
        <w:t>- advanced bilateral collateral agreements</w:t>
      </w:r>
    </w:p>
    <w:p>
      <w:pPr>
        <w:pStyle w:val="Normal"/>
        <w:rPr>
          <w:b/>
        </w:rPr>
      </w:pPr>
      <w:r>
        <w:rPr>
          <w:b/>
        </w:rPr>
        <w:t>Name</w:t>
      </w:r>
    </w:p>
    <w:p>
      <w:pPr>
        <w:pStyle w:val="Normal"/>
        <w:rPr>
          <w:b/>
        </w:rPr>
      </w:pPr>
      <w:r>
        <w:rPr>
          <w:b/>
        </w:rPr>
        <w:t>Title</w:t>
      </w:r>
    </w:p>
    <w:p>
      <w:pPr>
        <w:pStyle w:val="Normal"/>
        <w:rPr>
          <w:b/>
        </w:rPr>
      </w:pPr>
      <w:r>
        <w:rPr>
          <w:b/>
        </w:rPr>
        <w:t>Company</w:t>
      </w:r>
    </w:p>
    <w:p>
      <w:pPr>
        <w:pStyle w:val="Normal"/>
        <w:rPr>
          <w:b/>
        </w:rPr>
      </w:pPr>
      <w:r>
        <w:rPr>
          <w:b/>
        </w:rPr>
      </w:r>
    </w:p>
    <w:p>
      <w:pPr>
        <w:pStyle w:val="Normal"/>
        <w:rPr/>
      </w:pPr>
      <w:r>
        <w:rPr/>
        <w:t>3.00</w:t>
        <w:tab/>
        <w:t xml:space="preserve"> </w:t>
      </w:r>
    </w:p>
    <w:p>
      <w:pPr>
        <w:pStyle w:val="Normal"/>
        <w:rPr>
          <w:b/>
        </w:rPr>
      </w:pPr>
      <w:r>
        <w:rPr>
          <w:b/>
        </w:rPr>
        <w:t>7. TRACKING AND MONITORING CREDIT RISK EXPOSURE</w:t>
      </w:r>
    </w:p>
    <w:p>
      <w:pPr>
        <w:pStyle w:val="Normal"/>
        <w:numPr>
          <w:ilvl w:val="0"/>
          <w:numId w:val="59"/>
        </w:numPr>
        <w:rPr/>
      </w:pPr>
      <w:r>
        <w:rPr/>
        <w:t xml:space="preserve">Establishing best practice internal monitoring procedures </w:t>
      </w:r>
    </w:p>
    <w:p>
      <w:pPr>
        <w:pStyle w:val="Normal"/>
        <w:numPr>
          <w:ilvl w:val="0"/>
          <w:numId w:val="86"/>
        </w:numPr>
        <w:rPr/>
      </w:pPr>
      <w:r>
        <w:rPr/>
        <w:t>Improving the accuracy of credit risk management reporting and tracking systems</w:t>
      </w:r>
    </w:p>
    <w:p>
      <w:pPr>
        <w:pStyle w:val="Normal"/>
        <w:numPr>
          <w:ilvl w:val="0"/>
          <w:numId w:val="97"/>
        </w:numPr>
        <w:rPr/>
      </w:pPr>
      <w:r>
        <w:rPr/>
        <w:t>Tracking and monitoring; on a daily basis</w:t>
      </w:r>
    </w:p>
    <w:p>
      <w:pPr>
        <w:pStyle w:val="Normal"/>
        <w:rPr/>
      </w:pPr>
      <w:r>
        <w:rPr/>
        <w:tab/>
        <w:tab/>
        <w:tab/>
        <w:t xml:space="preserve">       individual counterparties</w:t>
      </w:r>
    </w:p>
    <w:p>
      <w:pPr>
        <w:pStyle w:val="Normal"/>
        <w:rPr/>
      </w:pPr>
      <w:r>
        <w:rPr/>
        <w:tab/>
        <w:tab/>
        <w:tab/>
        <w:t xml:space="preserve">      portfolio exposures</w:t>
        <w:tab/>
      </w:r>
    </w:p>
    <w:p>
      <w:pPr>
        <w:pStyle w:val="Normal"/>
        <w:numPr>
          <w:ilvl w:val="0"/>
          <w:numId w:val="50"/>
        </w:numPr>
        <w:rPr/>
      </w:pPr>
      <w:r>
        <w:rPr/>
        <w:t>Developing credit risk profiles: visually representing credit risk</w:t>
      </w:r>
    </w:p>
    <w:p>
      <w:pPr>
        <w:pStyle w:val="Normal"/>
        <w:numPr>
          <w:ilvl w:val="0"/>
          <w:numId w:val="102"/>
        </w:numPr>
        <w:rPr/>
      </w:pPr>
      <w:r>
        <w:rPr/>
        <w:t>Forecasting the impact of the increased market dominance of large corporations on tracking and reporting versus counterparty analysis</w:t>
      </w:r>
    </w:p>
    <w:p>
      <w:pPr>
        <w:pStyle w:val="Normal"/>
        <w:rPr>
          <w:b/>
        </w:rPr>
      </w:pPr>
      <w:r>
        <w:rPr>
          <w:b/>
        </w:rPr>
        <w:t>Jamie Trimble</w:t>
      </w:r>
    </w:p>
    <w:p>
      <w:pPr>
        <w:pStyle w:val="Normal"/>
        <w:rPr>
          <w:b/>
        </w:rPr>
      </w:pPr>
      <w:r>
        <w:rPr>
          <w:b/>
        </w:rPr>
        <w:t>Risk Control Specialist</w:t>
      </w:r>
    </w:p>
    <w:p>
      <w:pPr>
        <w:pStyle w:val="Normal"/>
        <w:rPr>
          <w:b/>
        </w:rPr>
      </w:pPr>
      <w:r>
        <w:rPr>
          <w:b/>
        </w:rPr>
        <w:t>SONAT INC</w:t>
      </w:r>
    </w:p>
    <w:p>
      <w:pPr>
        <w:pStyle w:val="Normal"/>
        <w:rPr>
          <w:b/>
        </w:rPr>
      </w:pPr>
      <w:r>
        <w:rPr>
          <w:b/>
        </w:rPr>
      </w:r>
    </w:p>
    <w:p>
      <w:pPr>
        <w:pStyle w:val="Normal"/>
        <w:rPr/>
      </w:pPr>
      <w:r>
        <w:rPr/>
        <w:t>3.40</w:t>
        <w:tab/>
        <w:t>Afternoon break</w:t>
      </w:r>
    </w:p>
    <w:p>
      <w:pPr>
        <w:pStyle w:val="Normal"/>
        <w:rPr/>
      </w:pPr>
      <w:r>
        <w:rPr/>
      </w:r>
    </w:p>
    <w:p>
      <w:pPr>
        <w:pStyle w:val="Normal"/>
        <w:rPr/>
      </w:pPr>
      <w:r>
        <w:rPr/>
        <w:t>4.10</w:t>
      </w:r>
    </w:p>
    <w:p>
      <w:pPr>
        <w:pStyle w:val="Normal"/>
        <w:rPr>
          <w:b/>
        </w:rPr>
      </w:pPr>
      <w:r>
        <w:rPr>
          <w:b/>
        </w:rPr>
        <w:t>8. CALCULATING AND MANAGING CREDIT RISK FOR A PORTFOLIO OF CONTRACTS</w:t>
      </w:r>
    </w:p>
    <w:p>
      <w:pPr>
        <w:pStyle w:val="Normal"/>
        <w:numPr>
          <w:ilvl w:val="0"/>
          <w:numId w:val="11"/>
        </w:numPr>
        <w:rPr/>
      </w:pPr>
      <w:r>
        <w:rPr/>
        <w:t>Identifying factors leading to an unbalanced portfolio</w:t>
      </w:r>
    </w:p>
    <w:p>
      <w:pPr>
        <w:pStyle w:val="Normal"/>
        <w:ind w:firstLine="360" w:end="0"/>
        <w:rPr/>
      </w:pPr>
      <w:r>
        <w:rPr/>
        <w:t xml:space="preserve">       </w:t>
      </w:r>
      <w:r>
        <w:rPr/>
        <w:t>- excessive reliance on one company or industry</w:t>
      </w:r>
    </w:p>
    <w:p>
      <w:pPr>
        <w:pStyle w:val="Normal"/>
        <w:ind w:firstLine="360" w:end="0"/>
        <w:rPr/>
      </w:pPr>
      <w:r>
        <w:rPr/>
        <w:tab/>
        <w:t>- double exposure to a counterparty</w:t>
      </w:r>
    </w:p>
    <w:p>
      <w:pPr>
        <w:pStyle w:val="Normal"/>
        <w:numPr>
          <w:ilvl w:val="0"/>
          <w:numId w:val="85"/>
        </w:numPr>
        <w:rPr/>
      </w:pPr>
      <w:r>
        <w:rPr/>
        <w:t>Establishing balanced exposures across a portfolio</w:t>
      </w:r>
    </w:p>
    <w:p>
      <w:pPr>
        <w:pStyle w:val="Normal"/>
        <w:rPr/>
      </w:pPr>
      <w:r>
        <w:rPr/>
        <w:tab/>
        <w:t>- changing operational procedures</w:t>
      </w:r>
    </w:p>
    <w:p>
      <w:pPr>
        <w:pStyle w:val="Normal"/>
        <w:rPr/>
      </w:pPr>
      <w:r>
        <w:rPr/>
        <w:tab/>
        <w:t>- clarifying terms of sale to eliminate unintended credit exposure</w:t>
      </w:r>
    </w:p>
    <w:p>
      <w:pPr>
        <w:pStyle w:val="Normal"/>
        <w:rPr/>
      </w:pPr>
      <w:r>
        <w:rPr/>
        <w:tab/>
        <w:t>- pricing credit risk into products and services</w:t>
      </w:r>
    </w:p>
    <w:p>
      <w:pPr>
        <w:pStyle w:val="Normal"/>
        <w:rPr/>
      </w:pPr>
      <w:r>
        <w:rPr/>
        <w:tab/>
        <w:t>- establishing credit policies and control procedures</w:t>
      </w:r>
    </w:p>
    <w:p>
      <w:pPr>
        <w:pStyle w:val="Normal"/>
        <w:numPr>
          <w:ilvl w:val="0"/>
          <w:numId w:val="38"/>
        </w:numPr>
        <w:rPr/>
      </w:pPr>
      <w:r>
        <w:rPr/>
        <w:t>Calculating default probabilities for a whole portfolio</w:t>
      </w:r>
    </w:p>
    <w:p>
      <w:pPr>
        <w:pStyle w:val="Normal"/>
        <w:numPr>
          <w:ilvl w:val="0"/>
          <w:numId w:val="67"/>
        </w:numPr>
        <w:rPr/>
      </w:pPr>
      <w:r>
        <w:rPr/>
        <w:t>Effectively calculating enterprise wide credit exposure</w:t>
      </w:r>
    </w:p>
    <w:p>
      <w:pPr>
        <w:pStyle w:val="Normal"/>
        <w:numPr>
          <w:ilvl w:val="0"/>
          <w:numId w:val="113"/>
        </w:numPr>
        <w:rPr/>
      </w:pPr>
      <w:r>
        <w:rPr/>
        <w:t>Combine retail and wholesale risk to evaluate total exposure</w:t>
      </w:r>
    </w:p>
    <w:p>
      <w:pPr>
        <w:pStyle w:val="Normal"/>
        <w:rPr>
          <w:b/>
        </w:rPr>
      </w:pPr>
      <w:r>
        <w:rPr>
          <w:b/>
        </w:rPr>
        <w:t xml:space="preserve">Speaker to be confirmed </w:t>
        <w:tab/>
        <w:tab/>
        <w:t>Name</w:t>
      </w:r>
    </w:p>
    <w:p>
      <w:pPr>
        <w:pStyle w:val="Normal"/>
        <w:ind w:firstLine="720" w:start="2160" w:end="0"/>
        <w:rPr>
          <w:b/>
        </w:rPr>
      </w:pPr>
      <w:r>
        <w:rPr>
          <w:b/>
        </w:rPr>
        <w:t>Title</w:t>
      </w:r>
    </w:p>
    <w:p>
      <w:pPr>
        <w:pStyle w:val="Heading1"/>
        <w:ind w:firstLine="720" w:start="2160" w:end="0"/>
        <w:rPr/>
      </w:pPr>
      <w:r>
        <w:rPr/>
        <w:t>Company</w:t>
      </w:r>
    </w:p>
    <w:p>
      <w:pPr>
        <w:pStyle w:val="Normal"/>
        <w:rPr/>
      </w:pPr>
      <w:r>
        <w:rPr/>
      </w:r>
    </w:p>
    <w:p>
      <w:pPr>
        <w:pStyle w:val="Normal"/>
        <w:rPr/>
      </w:pPr>
      <w:r>
        <w:rPr/>
        <w:t>4.50</w:t>
      </w:r>
    </w:p>
    <w:p>
      <w:pPr>
        <w:pStyle w:val="Normal"/>
        <w:rPr>
          <w:b/>
        </w:rPr>
      </w:pPr>
      <w:r>
        <w:rPr>
          <w:b/>
        </w:rPr>
        <w:t>9. APPLYING STRESS-TESTING TO MINIMIZE CREDIT RISK</w:t>
      </w:r>
    </w:p>
    <w:p>
      <w:pPr>
        <w:pStyle w:val="Normal"/>
        <w:numPr>
          <w:ilvl w:val="0"/>
          <w:numId w:val="45"/>
        </w:numPr>
        <w:rPr/>
      </w:pPr>
      <w:r>
        <w:rPr/>
        <w:t xml:space="preserve">Comparing and contrasting the range of stress-testing methods    </w:t>
      </w:r>
    </w:p>
    <w:p>
      <w:pPr>
        <w:pStyle w:val="Normal"/>
        <w:ind w:firstLine="720" w:end="0"/>
        <w:rPr/>
      </w:pPr>
      <w:r>
        <w:rPr/>
        <w:t>- VAR</w:t>
      </w:r>
    </w:p>
    <w:p>
      <w:pPr>
        <w:pStyle w:val="Normal"/>
        <w:ind w:firstLine="720" w:end="0"/>
        <w:rPr/>
      </w:pPr>
      <w:r>
        <w:rPr/>
        <w:t xml:space="preserve">- the Greeks </w:t>
      </w:r>
    </w:p>
    <w:p>
      <w:pPr>
        <w:pStyle w:val="Normal"/>
        <w:ind w:firstLine="720" w:end="0"/>
        <w:rPr/>
      </w:pPr>
      <w:r>
        <w:rPr/>
        <w:t>-exchange price models</w:t>
      </w:r>
    </w:p>
    <w:p>
      <w:pPr>
        <w:pStyle w:val="Normal"/>
        <w:rPr>
          <w:b/>
        </w:rPr>
      </w:pPr>
      <w:r>
        <w:rPr/>
        <w:t xml:space="preserve"> </w:t>
      </w:r>
      <w:r>
        <w:rPr/>
        <w:tab/>
        <w:t>- the forward curve</w:t>
      </w:r>
    </w:p>
    <w:p>
      <w:pPr>
        <w:pStyle w:val="Normal"/>
        <w:numPr>
          <w:ilvl w:val="0"/>
          <w:numId w:val="26"/>
        </w:numPr>
        <w:rPr/>
      </w:pPr>
      <w:r>
        <w:rPr/>
        <w:t>Identifying which subjective inputs are being used by market players</w:t>
      </w:r>
    </w:p>
    <w:p>
      <w:pPr>
        <w:pStyle w:val="Normal"/>
        <w:numPr>
          <w:ilvl w:val="0"/>
          <w:numId w:val="104"/>
        </w:numPr>
        <w:rPr/>
      </w:pPr>
      <w:r>
        <w:rPr/>
        <w:t xml:space="preserve">Understanding how stress-testing highlights the weakness in a model </w:t>
      </w:r>
    </w:p>
    <w:p>
      <w:pPr>
        <w:pStyle w:val="Normal"/>
        <w:numPr>
          <w:ilvl w:val="0"/>
          <w:numId w:val="46"/>
        </w:numPr>
        <w:rPr/>
      </w:pPr>
      <w:r>
        <w:rPr/>
        <w:t>Identifying and applying relevant inputs to stress-test : historical scenarios</w:t>
      </w:r>
    </w:p>
    <w:p>
      <w:pPr>
        <w:pStyle w:val="Normal"/>
        <w:rPr>
          <w:b/>
        </w:rPr>
      </w:pPr>
      <w:r>
        <w:rPr/>
        <w:tab/>
        <w:tab/>
        <w:tab/>
        <w:tab/>
        <w:tab/>
        <w:t xml:space="preserve">                        hypothetical scenarios</w:t>
      </w:r>
    </w:p>
    <w:p>
      <w:pPr>
        <w:pStyle w:val="Normal"/>
        <w:numPr>
          <w:ilvl w:val="0"/>
          <w:numId w:val="68"/>
        </w:numPr>
        <w:rPr/>
      </w:pPr>
      <w:r>
        <w:rPr/>
        <w:t>Stress-testing a portfolio</w:t>
      </w:r>
    </w:p>
    <w:p>
      <w:pPr>
        <w:pStyle w:val="Normal"/>
        <w:numPr>
          <w:ilvl w:val="0"/>
          <w:numId w:val="109"/>
        </w:numPr>
        <w:rPr/>
      </w:pPr>
      <w:r>
        <w:rPr/>
        <w:t>Practical example: developing a stress-testing scenario</w:t>
      </w:r>
    </w:p>
    <w:p>
      <w:pPr>
        <w:pStyle w:val="Normal"/>
        <w:rPr>
          <w:b/>
        </w:rPr>
      </w:pPr>
      <w:r>
        <w:rPr>
          <w:b/>
        </w:rPr>
        <w:t>Leslie McNew</w:t>
      </w:r>
    </w:p>
    <w:p>
      <w:pPr>
        <w:pStyle w:val="Normal"/>
        <w:rPr>
          <w:b/>
        </w:rPr>
      </w:pPr>
      <w:r>
        <w:rPr>
          <w:b/>
        </w:rPr>
        <w:t>Vice president of trading control &amp; risk management</w:t>
      </w:r>
    </w:p>
    <w:p>
      <w:pPr>
        <w:pStyle w:val="Normal"/>
        <w:rPr>
          <w:b/>
        </w:rPr>
      </w:pPr>
      <w:r>
        <w:rPr>
          <w:b/>
        </w:rPr>
        <w:t>PG&amp;E ENERGY TRADING</w:t>
      </w:r>
    </w:p>
    <w:p>
      <w:pPr>
        <w:pStyle w:val="Normal"/>
        <w:rPr>
          <w:b/>
        </w:rPr>
      </w:pPr>
      <w:r>
        <w:rPr>
          <w:b/>
        </w:rPr>
      </w:r>
    </w:p>
    <w:p>
      <w:pPr>
        <w:pStyle w:val="Normal"/>
        <w:rPr/>
      </w:pPr>
      <w:r>
        <w:rPr/>
        <w:t>5.30</w:t>
        <w:tab/>
        <w:t>Closing remarks from the chair</w:t>
      </w:r>
    </w:p>
    <w:p>
      <w:pPr>
        <w:pStyle w:val="Normal"/>
        <w:rPr/>
      </w:pPr>
      <w:r>
        <w:rPr/>
      </w:r>
    </w:p>
    <w:p>
      <w:pPr>
        <w:pStyle w:val="Normal"/>
        <w:rPr/>
      </w:pPr>
      <w:r>
        <w:rPr/>
        <w:t>5.40</w:t>
        <w:tab/>
        <w:t>End of day one</w:t>
      </w:r>
    </w:p>
    <w:p>
      <w:pPr>
        <w:pStyle w:val="Heading2"/>
        <w:ind w:hanging="0" w:start="0"/>
        <w:rPr/>
      </w:pPr>
      <w:r>
        <w:rPr/>
      </w:r>
    </w:p>
    <w:p>
      <w:pPr>
        <w:pStyle w:val="Normal"/>
        <w:rPr>
          <w:b/>
        </w:rPr>
      </w:pPr>
      <w:r>
        <w:rPr>
          <w:b/>
        </w:rPr>
        <w:t>Day two Friday 28 January 2000</w:t>
      </w:r>
    </w:p>
    <w:p>
      <w:pPr>
        <w:pStyle w:val="Normal"/>
        <w:rPr>
          <w:b/>
        </w:rPr>
      </w:pPr>
      <w:r>
        <w:rPr>
          <w:b/>
        </w:rPr>
      </w:r>
    </w:p>
    <w:p>
      <w:pPr>
        <w:pStyle w:val="Normal"/>
        <w:ind w:firstLine="720" w:end="0"/>
        <w:rPr>
          <w:b/>
        </w:rPr>
      </w:pPr>
      <w:r>
        <w:rPr>
          <w:b/>
        </w:rPr>
        <w:t xml:space="preserve">Chairman: </w:t>
      </w:r>
    </w:p>
    <w:p>
      <w:pPr>
        <w:pStyle w:val="Normal"/>
        <w:ind w:firstLine="720" w:end="0"/>
        <w:rPr>
          <w:b/>
        </w:rPr>
      </w:pPr>
      <w:r>
        <w:rPr>
          <w:b/>
        </w:rPr>
        <w:t>Frank Hilton</w:t>
      </w:r>
    </w:p>
    <w:p>
      <w:pPr>
        <w:pStyle w:val="Normal"/>
        <w:ind w:firstLine="720" w:end="0"/>
        <w:rPr>
          <w:b/>
        </w:rPr>
      </w:pPr>
      <w:r>
        <w:rPr>
          <w:b/>
        </w:rPr>
        <w:t>Managing Director, Credit Risk Management</w:t>
      </w:r>
    </w:p>
    <w:p>
      <w:pPr>
        <w:pStyle w:val="Normal"/>
        <w:ind w:firstLine="720" w:end="0"/>
        <w:rPr>
          <w:b/>
        </w:rPr>
      </w:pPr>
      <w:r>
        <w:rPr>
          <w:b/>
        </w:rPr>
        <w:t>American Electric Power</w:t>
      </w:r>
    </w:p>
    <w:p>
      <w:pPr>
        <w:pStyle w:val="Normal"/>
        <w:rPr>
          <w:b/>
        </w:rPr>
      </w:pPr>
      <w:r>
        <w:rPr>
          <w:b/>
        </w:rPr>
      </w:r>
    </w:p>
    <w:p>
      <w:pPr>
        <w:pStyle w:val="Normal"/>
        <w:rPr/>
      </w:pPr>
      <w:r>
        <w:rPr/>
        <w:t>8.30</w:t>
        <w:tab/>
        <w:t>Registration</w:t>
      </w:r>
    </w:p>
    <w:p>
      <w:pPr>
        <w:pStyle w:val="Normal"/>
        <w:rPr/>
      </w:pPr>
      <w:r>
        <w:rPr/>
      </w:r>
    </w:p>
    <w:p>
      <w:pPr>
        <w:pStyle w:val="Normal"/>
        <w:rPr/>
      </w:pPr>
      <w:r>
        <w:rPr/>
        <w:t>9.00</w:t>
        <w:tab/>
        <w:t>Chairman's opening remarks</w:t>
      </w:r>
    </w:p>
    <w:p>
      <w:pPr>
        <w:pStyle w:val="Normal"/>
        <w:rPr>
          <w:b/>
        </w:rPr>
      </w:pPr>
      <w:r>
        <w:rPr>
          <w:b/>
        </w:rPr>
      </w:r>
    </w:p>
    <w:p>
      <w:pPr>
        <w:pStyle w:val="Normal"/>
        <w:rPr/>
      </w:pPr>
      <w:r>
        <w:rPr/>
        <w:t>9.10</w:t>
      </w:r>
    </w:p>
    <w:p>
      <w:pPr>
        <w:pStyle w:val="Normal"/>
        <w:rPr>
          <w:b/>
        </w:rPr>
      </w:pPr>
      <w:r>
        <w:rPr>
          <w:b/>
        </w:rPr>
        <w:t>10. UNDERSTANDING AND APPLYING C-VAR TO ENHANCE RISK MANAGEMENT</w:t>
      </w:r>
    </w:p>
    <w:p>
      <w:pPr>
        <w:pStyle w:val="Normal"/>
        <w:numPr>
          <w:ilvl w:val="0"/>
          <w:numId w:val="84"/>
        </w:numPr>
        <w:rPr/>
      </w:pPr>
      <w:r>
        <w:rPr/>
        <w:t>Defining C-VAR</w:t>
      </w:r>
    </w:p>
    <w:p>
      <w:pPr>
        <w:pStyle w:val="Normal"/>
        <w:numPr>
          <w:ilvl w:val="0"/>
          <w:numId w:val="88"/>
        </w:numPr>
        <w:rPr/>
      </w:pPr>
      <w:r>
        <w:rPr/>
        <w:t>Techniques to calculate C-VAR</w:t>
      </w:r>
    </w:p>
    <w:p>
      <w:pPr>
        <w:pStyle w:val="Normal"/>
        <w:numPr>
          <w:ilvl w:val="0"/>
          <w:numId w:val="25"/>
        </w:numPr>
        <w:rPr/>
      </w:pPr>
      <w:r>
        <w:rPr/>
        <w:t>Calculating portfolio C-VAR</w:t>
      </w:r>
    </w:p>
    <w:p>
      <w:pPr>
        <w:pStyle w:val="Normal"/>
        <w:numPr>
          <w:ilvl w:val="0"/>
          <w:numId w:val="105"/>
        </w:numPr>
        <w:rPr/>
      </w:pPr>
      <w:r>
        <w:rPr/>
        <w:t>Using C-VAR in Monte-Carlo simulations</w:t>
      </w:r>
    </w:p>
    <w:p>
      <w:pPr>
        <w:pStyle w:val="Normal"/>
        <w:numPr>
          <w:ilvl w:val="0"/>
          <w:numId w:val="33"/>
        </w:numPr>
        <w:rPr/>
      </w:pPr>
      <w:r>
        <w:rPr/>
        <w:t xml:space="preserve">Using correlations in C-VAR </w:t>
      </w:r>
    </w:p>
    <w:p>
      <w:pPr>
        <w:pStyle w:val="Normal"/>
        <w:numPr>
          <w:ilvl w:val="0"/>
          <w:numId w:val="49"/>
        </w:numPr>
        <w:rPr/>
      </w:pPr>
      <w:r>
        <w:rPr/>
        <w:t xml:space="preserve">Addressing the problems of lack of historical data and volatility </w:t>
      </w:r>
    </w:p>
    <w:p>
      <w:pPr>
        <w:pStyle w:val="Normal"/>
        <w:numPr>
          <w:ilvl w:val="0"/>
          <w:numId w:val="94"/>
        </w:numPr>
        <w:rPr/>
      </w:pPr>
      <w:r>
        <w:rPr/>
        <w:t>Practically implementing C-VAR</w:t>
      </w:r>
    </w:p>
    <w:p>
      <w:pPr>
        <w:pStyle w:val="Normal"/>
        <w:rPr>
          <w:b/>
        </w:rPr>
      </w:pPr>
      <w:r>
        <w:rPr>
          <w:b/>
        </w:rPr>
        <w:t>Karin Hjalmers</w:t>
      </w:r>
    </w:p>
    <w:p>
      <w:pPr>
        <w:pStyle w:val="Normal"/>
        <w:rPr>
          <w:b/>
        </w:rPr>
      </w:pPr>
      <w:r>
        <w:rPr>
          <w:b/>
        </w:rPr>
        <w:t>Risk Manager</w:t>
      </w:r>
    </w:p>
    <w:p>
      <w:pPr>
        <w:pStyle w:val="Normal"/>
        <w:rPr>
          <w:b/>
        </w:rPr>
      </w:pPr>
      <w:r>
        <w:rPr>
          <w:b/>
        </w:rPr>
        <w:t>CITIZENS POWER</w:t>
      </w:r>
    </w:p>
    <w:p>
      <w:pPr>
        <w:pStyle w:val="Normal"/>
        <w:rPr>
          <w:b/>
        </w:rPr>
      </w:pPr>
      <w:r>
        <w:rPr>
          <w:b/>
        </w:rPr>
      </w:r>
    </w:p>
    <w:p>
      <w:pPr>
        <w:pStyle w:val="Normal"/>
        <w:rPr/>
      </w:pPr>
      <w:r>
        <w:rPr/>
        <w:t>9.50</w:t>
      </w:r>
    </w:p>
    <w:p>
      <w:pPr>
        <w:pStyle w:val="Normal"/>
        <w:rPr>
          <w:b/>
        </w:rPr>
      </w:pPr>
      <w:r>
        <w:rPr>
          <w:b/>
        </w:rPr>
        <w:t>11. EFFECTIVELY INTEGRATING CREDIT RISK AND MARKET RISK</w:t>
      </w:r>
    </w:p>
    <w:p>
      <w:pPr>
        <w:pStyle w:val="Normal"/>
        <w:numPr>
          <w:ilvl w:val="0"/>
          <w:numId w:val="14"/>
        </w:numPr>
        <w:rPr/>
      </w:pPr>
      <w:r>
        <w:rPr/>
        <w:t>Balancing credit risk and market risk to achieve the most reliable estimation of total risk</w:t>
      </w:r>
    </w:p>
    <w:p>
      <w:pPr>
        <w:pStyle w:val="Normal"/>
        <w:rPr/>
      </w:pPr>
      <w:r>
        <w:rPr/>
        <w:t xml:space="preserve">       </w:t>
      </w:r>
      <w:r>
        <w:rPr/>
        <w:t>calculating current and potential exposure</w:t>
      </w:r>
    </w:p>
    <w:p>
      <w:pPr>
        <w:pStyle w:val="Normal"/>
        <w:numPr>
          <w:ilvl w:val="0"/>
          <w:numId w:val="116"/>
        </w:numPr>
        <w:rPr/>
      </w:pPr>
      <w:r>
        <w:rPr/>
        <w:t>Incorporating market risk into a credit risk model</w:t>
      </w:r>
    </w:p>
    <w:p>
      <w:pPr>
        <w:pStyle w:val="Normal"/>
        <w:numPr>
          <w:ilvl w:val="0"/>
          <w:numId w:val="107"/>
        </w:numPr>
        <w:rPr/>
      </w:pPr>
      <w:r>
        <w:rPr/>
        <w:t>Calculating probability of default using credit risk and market risk</w:t>
      </w:r>
    </w:p>
    <w:p>
      <w:pPr>
        <w:pStyle w:val="Normal"/>
        <w:numPr>
          <w:ilvl w:val="0"/>
          <w:numId w:val="16"/>
        </w:numPr>
        <w:rPr/>
      </w:pPr>
      <w:r>
        <w:rPr/>
        <w:t>Refining business practice to reflect credit risk and market risk evaluations</w:t>
      </w:r>
    </w:p>
    <w:p>
      <w:pPr>
        <w:pStyle w:val="Normal"/>
        <w:numPr>
          <w:ilvl w:val="0"/>
          <w:numId w:val="71"/>
        </w:numPr>
        <w:rPr/>
      </w:pPr>
      <w:r>
        <w:rPr/>
        <w:t>Improving credit and market risk applications to enhance credit ratings</w:t>
      </w:r>
    </w:p>
    <w:p>
      <w:pPr>
        <w:pStyle w:val="Normal"/>
        <w:rPr>
          <w:b/>
        </w:rPr>
      </w:pPr>
      <w:r>
        <w:rPr>
          <w:b/>
        </w:rPr>
        <w:t>Frank Hilton</w:t>
      </w:r>
    </w:p>
    <w:p>
      <w:pPr>
        <w:pStyle w:val="Normal"/>
        <w:rPr>
          <w:b/>
        </w:rPr>
      </w:pPr>
      <w:r>
        <w:rPr>
          <w:b/>
        </w:rPr>
        <w:t>Managing director, credit risk management</w:t>
      </w:r>
    </w:p>
    <w:p>
      <w:pPr>
        <w:pStyle w:val="Normal"/>
        <w:rPr>
          <w:b/>
        </w:rPr>
      </w:pPr>
      <w:r>
        <w:rPr>
          <w:b/>
        </w:rPr>
        <w:t>AMERICAN ELECTRIC POWER</w:t>
      </w:r>
    </w:p>
    <w:p>
      <w:pPr>
        <w:pStyle w:val="Normal"/>
        <w:rPr>
          <w:b/>
        </w:rPr>
      </w:pPr>
      <w:r>
        <w:rPr>
          <w:b/>
        </w:rPr>
      </w:r>
    </w:p>
    <w:p>
      <w:pPr>
        <w:pStyle w:val="Normal"/>
        <w:rPr/>
      </w:pPr>
      <w:r>
        <w:rPr/>
        <w:t>10.30</w:t>
        <w:tab/>
        <w:t>Morning break</w:t>
      </w:r>
    </w:p>
    <w:p>
      <w:pPr>
        <w:pStyle w:val="Normal"/>
        <w:rPr/>
      </w:pPr>
      <w:r>
        <w:rPr/>
      </w:r>
    </w:p>
    <w:p>
      <w:pPr>
        <w:pStyle w:val="Normal"/>
        <w:rPr/>
      </w:pPr>
      <w:r>
        <w:rPr/>
        <w:t>11.00</w:t>
      </w:r>
    </w:p>
    <w:p>
      <w:pPr>
        <w:pStyle w:val="Normal"/>
        <w:rPr>
          <w:b/>
        </w:rPr>
      </w:pPr>
      <w:r>
        <w:rPr>
          <w:b/>
        </w:rPr>
        <w:t>12. DEVELOPING AND CONSOLIDATING AN INFORMATION TECHNOLOGY SYSTEM FOR EFFECTIVE CREDIT RISK MANAGEMENT</w:t>
      </w:r>
    </w:p>
    <w:p>
      <w:pPr>
        <w:pStyle w:val="Normal"/>
        <w:numPr>
          <w:ilvl w:val="0"/>
          <w:numId w:val="54"/>
        </w:numPr>
        <w:rPr/>
      </w:pPr>
      <w:r>
        <w:rPr/>
        <w:t>Identifying key criteria for an IT system</w:t>
      </w:r>
    </w:p>
    <w:p>
      <w:pPr>
        <w:pStyle w:val="Normal"/>
        <w:numPr>
          <w:ilvl w:val="0"/>
          <w:numId w:val="51"/>
        </w:numPr>
        <w:rPr/>
      </w:pPr>
      <w:r>
        <w:rPr/>
        <w:t xml:space="preserve">Comparing the relative benefits of building versus buying </w:t>
      </w:r>
    </w:p>
    <w:p>
      <w:pPr>
        <w:pStyle w:val="Normal"/>
        <w:numPr>
          <w:ilvl w:val="0"/>
          <w:numId w:val="19"/>
        </w:numPr>
        <w:rPr/>
      </w:pPr>
      <w:r>
        <w:rPr/>
        <w:t xml:space="preserve">Avoiding potential pitfalls when developing a system </w:t>
      </w:r>
    </w:p>
    <w:p>
      <w:pPr>
        <w:pStyle w:val="Normal"/>
        <w:numPr>
          <w:ilvl w:val="0"/>
          <w:numId w:val="91"/>
        </w:numPr>
        <w:rPr/>
      </w:pPr>
      <w:r>
        <w:rPr/>
        <w:t>Explaining IT credit methodology</w:t>
      </w:r>
    </w:p>
    <w:p>
      <w:pPr>
        <w:pStyle w:val="Normal"/>
        <w:numPr>
          <w:ilvl w:val="0"/>
          <w:numId w:val="7"/>
        </w:numPr>
        <w:rPr/>
      </w:pPr>
      <w:r>
        <w:rPr/>
        <w:t>Determining</w:t>
      </w:r>
      <w:r>
        <w:rPr>
          <w:b/>
        </w:rPr>
        <w:t xml:space="preserve"> </w:t>
      </w:r>
      <w:r>
        <w:rPr/>
        <w:t>relevant</w:t>
      </w:r>
      <w:r>
        <w:rPr>
          <w:b/>
        </w:rPr>
        <w:t xml:space="preserve"> </w:t>
      </w:r>
      <w:r>
        <w:rPr/>
        <w:t xml:space="preserve">input </w:t>
      </w:r>
    </w:p>
    <w:p>
      <w:pPr>
        <w:pStyle w:val="Normal"/>
        <w:numPr>
          <w:ilvl w:val="0"/>
          <w:numId w:val="8"/>
        </w:numPr>
        <w:rPr/>
      </w:pPr>
      <w:r>
        <w:rPr/>
        <w:t>Overcoming lack of historical data</w:t>
      </w:r>
    </w:p>
    <w:p>
      <w:pPr>
        <w:pStyle w:val="Normal"/>
        <w:numPr>
          <w:ilvl w:val="0"/>
          <w:numId w:val="118"/>
        </w:numPr>
        <w:rPr/>
      </w:pPr>
      <w:r>
        <w:rPr/>
        <w:t xml:space="preserve">Building an internal scoring method </w:t>
      </w:r>
    </w:p>
    <w:p>
      <w:pPr>
        <w:pStyle w:val="Normal"/>
        <w:numPr>
          <w:ilvl w:val="0"/>
          <w:numId w:val="55"/>
        </w:numPr>
        <w:rPr/>
      </w:pPr>
      <w:r>
        <w:rPr/>
        <w:t>Overcoming the obstacles to full integration of IT systems</w:t>
      </w:r>
    </w:p>
    <w:p>
      <w:pPr>
        <w:pStyle w:val="Normal"/>
        <w:numPr>
          <w:ilvl w:val="0"/>
          <w:numId w:val="121"/>
        </w:numPr>
        <w:rPr/>
      </w:pPr>
      <w:r>
        <w:rPr/>
        <w:t>Potential problems of external and internal compatibility</w:t>
      </w:r>
    </w:p>
    <w:p>
      <w:pPr>
        <w:pStyle w:val="Normal"/>
        <w:numPr>
          <w:ilvl w:val="0"/>
          <w:numId w:val="30"/>
        </w:numPr>
        <w:rPr/>
      </w:pPr>
      <w:r>
        <w:rPr/>
        <w:t>Developing a data warehouse to improve credit risk management</w:t>
      </w:r>
    </w:p>
    <w:p>
      <w:pPr>
        <w:pStyle w:val="Normal"/>
        <w:numPr>
          <w:ilvl w:val="0"/>
          <w:numId w:val="114"/>
        </w:numPr>
        <w:rPr/>
      </w:pPr>
      <w:r>
        <w:rPr/>
        <w:t>Improving and refining I.T systems</w:t>
      </w:r>
    </w:p>
    <w:p>
      <w:pPr>
        <w:pStyle w:val="Normal"/>
        <w:rPr>
          <w:b/>
        </w:rPr>
      </w:pPr>
      <w:r>
        <w:rPr>
          <w:b/>
        </w:rPr>
        <w:t>John Warner</w:t>
      </w:r>
    </w:p>
    <w:p>
      <w:pPr>
        <w:pStyle w:val="Normal"/>
        <w:rPr>
          <w:b/>
        </w:rPr>
      </w:pPr>
      <w:r>
        <w:rPr>
          <w:b/>
        </w:rPr>
        <w:t>IS Director</w:t>
      </w:r>
    </w:p>
    <w:p>
      <w:pPr>
        <w:pStyle w:val="Normal"/>
        <w:rPr>
          <w:b/>
        </w:rPr>
      </w:pPr>
      <w:r>
        <w:rPr>
          <w:b/>
        </w:rPr>
        <w:t>KOCH INDUSTRIES</w:t>
      </w:r>
    </w:p>
    <w:p>
      <w:pPr>
        <w:pStyle w:val="Normal"/>
        <w:rPr>
          <w:b/>
        </w:rPr>
      </w:pPr>
      <w:r>
        <w:rPr>
          <w:b/>
        </w:rPr>
      </w:r>
    </w:p>
    <w:p>
      <w:pPr>
        <w:pStyle w:val="Normal"/>
        <w:rPr/>
      </w:pPr>
      <w:r>
        <w:rPr/>
        <w:t>11.40</w:t>
      </w:r>
    </w:p>
    <w:p>
      <w:pPr>
        <w:pStyle w:val="Normal"/>
        <w:rPr>
          <w:b/>
        </w:rPr>
      </w:pPr>
      <w:r>
        <w:rPr>
          <w:b/>
        </w:rPr>
        <w:t xml:space="preserve">13. SUCCESSFULLY ESTABLISHING A CREDIT RISK FUNCTION IN A POWER COMPANY </w:t>
      </w:r>
    </w:p>
    <w:p>
      <w:pPr>
        <w:pStyle w:val="Normal"/>
        <w:numPr>
          <w:ilvl w:val="0"/>
          <w:numId w:val="41"/>
        </w:numPr>
        <w:rPr/>
      </w:pPr>
      <w:r>
        <w:rPr/>
        <w:t>Comparing and contrasting the different approaches of a variety of market players</w:t>
      </w:r>
    </w:p>
    <w:p>
      <w:pPr>
        <w:pStyle w:val="Normal"/>
        <w:numPr>
          <w:ilvl w:val="0"/>
          <w:numId w:val="65"/>
        </w:numPr>
        <w:rPr/>
      </w:pPr>
      <w:r>
        <w:rPr/>
        <w:t>Determining where the functions of risk and credit risk departments should lie</w:t>
      </w:r>
    </w:p>
    <w:p>
      <w:pPr>
        <w:pStyle w:val="Normal"/>
        <w:numPr>
          <w:ilvl w:val="0"/>
          <w:numId w:val="21"/>
        </w:numPr>
        <w:rPr/>
      </w:pPr>
      <w:r>
        <w:rPr/>
        <w:t>Incorporating a credit risk function into a power company's infrastructure</w:t>
      </w:r>
    </w:p>
    <w:p>
      <w:pPr>
        <w:pStyle w:val="Normal"/>
        <w:numPr>
          <w:ilvl w:val="0"/>
          <w:numId w:val="106"/>
        </w:numPr>
        <w:rPr/>
      </w:pPr>
      <w:r>
        <w:rPr/>
        <w:t xml:space="preserve">Ensuring effective exchange of credit risk information within a company </w:t>
      </w:r>
    </w:p>
    <w:p>
      <w:pPr>
        <w:pStyle w:val="Normal"/>
        <w:numPr>
          <w:ilvl w:val="0"/>
          <w:numId w:val="44"/>
        </w:numPr>
        <w:rPr/>
      </w:pPr>
      <w:r>
        <w:rPr/>
        <w:t>Educating senior management</w:t>
      </w:r>
    </w:p>
    <w:p>
      <w:pPr>
        <w:pStyle w:val="Normal"/>
        <w:numPr>
          <w:ilvl w:val="0"/>
          <w:numId w:val="110"/>
        </w:numPr>
        <w:rPr/>
      </w:pPr>
      <w:r>
        <w:rPr/>
        <w:t>Establishing reporting lines</w:t>
      </w:r>
    </w:p>
    <w:p>
      <w:pPr>
        <w:pStyle w:val="Normal"/>
        <w:numPr>
          <w:ilvl w:val="0"/>
          <w:numId w:val="73"/>
        </w:numPr>
        <w:rPr/>
      </w:pPr>
      <w:r>
        <w:rPr/>
        <w:t>Preventing excessive overlap of job functions</w:t>
      </w:r>
    </w:p>
    <w:p>
      <w:pPr>
        <w:pStyle w:val="Normal"/>
        <w:numPr>
          <w:ilvl w:val="0"/>
          <w:numId w:val="100"/>
        </w:numPr>
        <w:rPr/>
      </w:pPr>
      <w:r>
        <w:rPr/>
        <w:t>Lessons learned from the approach of financial institutions</w:t>
      </w:r>
    </w:p>
    <w:p>
      <w:pPr>
        <w:pStyle w:val="Normal"/>
        <w:rPr>
          <w:b/>
        </w:rPr>
      </w:pPr>
      <w:r>
        <w:rPr>
          <w:b/>
        </w:rPr>
        <w:t>George Travers</w:t>
      </w:r>
    </w:p>
    <w:p>
      <w:pPr>
        <w:pStyle w:val="Normal"/>
        <w:rPr>
          <w:b/>
        </w:rPr>
      </w:pPr>
      <w:r>
        <w:rPr>
          <w:b/>
        </w:rPr>
        <w:t>Senior Manager</w:t>
      </w:r>
    </w:p>
    <w:p>
      <w:pPr>
        <w:pStyle w:val="Normal"/>
        <w:rPr>
          <w:b/>
        </w:rPr>
      </w:pPr>
      <w:r>
        <w:rPr>
          <w:b/>
        </w:rPr>
        <w:t>DELOITTE &amp; TOUCHE LLP</w:t>
      </w:r>
    </w:p>
    <w:p>
      <w:pPr>
        <w:pStyle w:val="Normal"/>
        <w:rPr>
          <w:b/>
        </w:rPr>
      </w:pPr>
      <w:r>
        <w:rPr>
          <w:b/>
        </w:rPr>
      </w:r>
    </w:p>
    <w:p>
      <w:pPr>
        <w:pStyle w:val="Normal"/>
        <w:rPr/>
      </w:pPr>
      <w:r>
        <w:rPr/>
        <w:t>12.20</w:t>
        <w:tab/>
        <w:t>Lunch</w:t>
      </w:r>
    </w:p>
    <w:p>
      <w:pPr>
        <w:pStyle w:val="Normal"/>
        <w:rPr/>
      </w:pPr>
      <w:r>
        <w:rPr/>
      </w:r>
    </w:p>
    <w:p>
      <w:pPr>
        <w:pStyle w:val="Normal"/>
        <w:rPr>
          <w:b/>
        </w:rPr>
      </w:pPr>
      <w:r>
        <w:rPr/>
        <w:t>1.40</w:t>
      </w:r>
    </w:p>
    <w:p>
      <w:pPr>
        <w:pStyle w:val="Normal"/>
        <w:rPr>
          <w:b/>
        </w:rPr>
      </w:pPr>
      <w:r>
        <w:rPr>
          <w:b/>
        </w:rPr>
        <w:t>14. ASSESSING THE APPLICABILITY OF PRICING CREDIT RISK TO THE POWER MARKET</w:t>
      </w:r>
    </w:p>
    <w:p>
      <w:pPr>
        <w:pStyle w:val="Normal"/>
        <w:numPr>
          <w:ilvl w:val="0"/>
          <w:numId w:val="24"/>
        </w:numPr>
        <w:rPr/>
      </w:pPr>
      <w:r>
        <w:rPr/>
        <w:t>Determining whether to price credit risk</w:t>
      </w:r>
    </w:p>
    <w:p>
      <w:pPr>
        <w:pStyle w:val="Normal"/>
        <w:rPr/>
      </w:pPr>
      <w:r>
        <w:rPr>
          <w:b/>
        </w:rPr>
        <w:t xml:space="preserve">      </w:t>
      </w:r>
      <w:r>
        <w:rPr>
          <w:b/>
        </w:rPr>
        <w:tab/>
        <w:t>-</w:t>
      </w:r>
      <w:r>
        <w:rPr/>
        <w:t>balancing short term gains and long term stability</w:t>
      </w:r>
    </w:p>
    <w:p>
      <w:pPr>
        <w:pStyle w:val="Normal"/>
        <w:ind w:firstLine="720" w:end="0"/>
        <w:rPr/>
      </w:pPr>
      <w:r>
        <w:rPr/>
        <w:t>-mark-to-market risk</w:t>
      </w:r>
    </w:p>
    <w:p>
      <w:pPr>
        <w:pStyle w:val="Normal"/>
        <w:ind w:firstLine="720" w:end="0"/>
        <w:rPr/>
      </w:pPr>
      <w:r>
        <w:rPr/>
        <w:t>- potential risk</w:t>
      </w:r>
    </w:p>
    <w:p>
      <w:pPr>
        <w:pStyle w:val="Normal"/>
        <w:ind w:firstLine="720" w:end="0"/>
        <w:rPr/>
      </w:pPr>
      <w:r>
        <w:rPr/>
        <w:t>-settlement risk</w:t>
      </w:r>
    </w:p>
    <w:p>
      <w:pPr>
        <w:pStyle w:val="Normal"/>
        <w:rPr/>
      </w:pPr>
      <w:r>
        <w:rPr/>
        <w:t>Combating the principle problems associated with pricing credit risk</w:t>
      </w:r>
    </w:p>
    <w:p>
      <w:pPr>
        <w:pStyle w:val="Normal"/>
        <w:numPr>
          <w:ilvl w:val="0"/>
          <w:numId w:val="63"/>
        </w:numPr>
        <w:tabs>
          <w:tab w:val="clear" w:pos="720"/>
          <w:tab w:val="left" w:pos="1080" w:leader="none"/>
        </w:tabs>
        <w:ind w:hanging="360" w:start="720" w:end="0"/>
        <w:rPr/>
      </w:pPr>
      <w:r>
        <w:rPr/>
        <w:t xml:space="preserve">structure of the trading business </w:t>
      </w:r>
    </w:p>
    <w:p>
      <w:pPr>
        <w:pStyle w:val="Normal"/>
        <w:numPr>
          <w:ilvl w:val="0"/>
          <w:numId w:val="63"/>
        </w:numPr>
        <w:tabs>
          <w:tab w:val="clear" w:pos="720"/>
          <w:tab w:val="left" w:pos="1080" w:leader="none"/>
        </w:tabs>
        <w:ind w:hanging="360" w:start="720" w:end="0"/>
        <w:rPr/>
      </w:pPr>
      <w:r>
        <w:rPr/>
        <w:t>rapidly changing market</w:t>
      </w:r>
    </w:p>
    <w:p>
      <w:pPr>
        <w:pStyle w:val="Normal"/>
        <w:numPr>
          <w:ilvl w:val="0"/>
          <w:numId w:val="63"/>
        </w:numPr>
        <w:tabs>
          <w:tab w:val="clear" w:pos="720"/>
          <w:tab w:val="left" w:pos="1080" w:leader="none"/>
        </w:tabs>
        <w:ind w:hanging="360" w:start="720" w:end="0"/>
        <w:rPr/>
      </w:pPr>
      <w:r>
        <w:rPr/>
        <w:t>pricing yourself out of the market</w:t>
      </w:r>
    </w:p>
    <w:p>
      <w:pPr>
        <w:pStyle w:val="Normal"/>
        <w:numPr>
          <w:ilvl w:val="0"/>
          <w:numId w:val="81"/>
        </w:numPr>
        <w:rPr/>
      </w:pPr>
      <w:r>
        <w:rPr/>
        <w:t>Discussing whether credit pricing is a realistic option for the power market</w:t>
      </w:r>
    </w:p>
    <w:p>
      <w:pPr>
        <w:pStyle w:val="Heading1"/>
        <w:ind w:hanging="0" w:start="0"/>
        <w:rPr/>
      </w:pPr>
      <w:r>
        <w:rPr/>
        <w:t>Name</w:t>
      </w:r>
    </w:p>
    <w:p>
      <w:pPr>
        <w:pStyle w:val="Normal"/>
        <w:rPr>
          <w:b/>
        </w:rPr>
      </w:pPr>
      <w:r>
        <w:rPr>
          <w:b/>
        </w:rPr>
        <w:t>Title</w:t>
      </w:r>
    </w:p>
    <w:p>
      <w:pPr>
        <w:pStyle w:val="Normal"/>
        <w:rPr>
          <w:b/>
        </w:rPr>
      </w:pPr>
      <w:r>
        <w:rPr>
          <w:b/>
        </w:rPr>
        <w:t>Company</w:t>
      </w:r>
    </w:p>
    <w:p>
      <w:pPr>
        <w:pStyle w:val="Normal"/>
        <w:rPr>
          <w:b/>
        </w:rPr>
      </w:pPr>
      <w:r>
        <w:rPr>
          <w:b/>
        </w:rPr>
      </w:r>
    </w:p>
    <w:p>
      <w:pPr>
        <w:pStyle w:val="Normal"/>
        <w:ind w:firstLine="90" w:end="0"/>
        <w:rPr/>
      </w:pPr>
      <w:r>
        <w:rPr/>
        <w:t>2.20</w:t>
        <w:tab/>
        <w:t>Afternoon break</w:t>
      </w:r>
    </w:p>
    <w:p>
      <w:pPr>
        <w:pStyle w:val="Normal"/>
        <w:ind w:firstLine="90" w:end="0"/>
        <w:rPr/>
      </w:pPr>
      <w:r>
        <w:rPr/>
      </w:r>
    </w:p>
    <w:p>
      <w:pPr>
        <w:pStyle w:val="Normal"/>
        <w:ind w:firstLine="90" w:end="0"/>
        <w:rPr>
          <w:b/>
        </w:rPr>
      </w:pPr>
      <w:r>
        <w:rPr/>
        <w:t>2.40</w:t>
        <w:tab/>
      </w:r>
    </w:p>
    <w:p>
      <w:pPr>
        <w:pStyle w:val="Normal"/>
        <w:rPr>
          <w:b/>
        </w:rPr>
      </w:pPr>
      <w:r>
        <w:rPr>
          <w:b/>
        </w:rPr>
        <w:t>15. FORECASTING THE DEVELOPMENT OF STANDARD CONTRACTS AND IMPLICATIONS FOR CREDIT RISK MANAGEMENT</w:t>
      </w:r>
    </w:p>
    <w:p>
      <w:pPr>
        <w:pStyle w:val="Normal"/>
        <w:numPr>
          <w:ilvl w:val="0"/>
          <w:numId w:val="115"/>
        </w:numPr>
        <w:rPr/>
      </w:pPr>
      <w:r>
        <w:rPr/>
        <w:t>Determining an effective format for a standardized contract</w:t>
      </w:r>
    </w:p>
    <w:p>
      <w:pPr>
        <w:pStyle w:val="Normal"/>
        <w:rPr/>
      </w:pPr>
      <w:r>
        <w:rPr/>
        <w:tab/>
        <w:t>- ISDA master agreements</w:t>
      </w:r>
    </w:p>
    <w:p>
      <w:pPr>
        <w:pStyle w:val="Normal"/>
        <w:rPr/>
      </w:pPr>
      <w:r>
        <w:rPr/>
        <w:tab/>
        <w:t>- gas industry templates</w:t>
      </w:r>
    </w:p>
    <w:p>
      <w:pPr>
        <w:pStyle w:val="Normal"/>
        <w:numPr>
          <w:ilvl w:val="0"/>
          <w:numId w:val="10"/>
        </w:numPr>
        <w:rPr/>
      </w:pPr>
      <w:r>
        <w:rPr/>
        <w:t xml:space="preserve">Clarifying vocabulary to avoid confusion  </w:t>
      </w:r>
    </w:p>
    <w:p>
      <w:pPr>
        <w:pStyle w:val="Normal"/>
        <w:numPr>
          <w:ilvl w:val="0"/>
          <w:numId w:val="22"/>
        </w:numPr>
        <w:rPr/>
      </w:pPr>
      <w:r>
        <w:rPr/>
        <w:t xml:space="preserve">Incorporating the physical nature of power into an effective contract format </w:t>
      </w:r>
    </w:p>
    <w:p>
      <w:pPr>
        <w:pStyle w:val="Normal"/>
        <w:numPr>
          <w:ilvl w:val="0"/>
          <w:numId w:val="75"/>
        </w:numPr>
        <w:rPr/>
      </w:pPr>
      <w:r>
        <w:rPr/>
        <w:t>Practical solutions to immediately remedy excessive credit risk in contracts</w:t>
        <w:tab/>
        <w:tab/>
        <w:tab/>
        <w:tab/>
      </w:r>
    </w:p>
    <w:p>
      <w:pPr>
        <w:pStyle w:val="Normal"/>
        <w:numPr>
          <w:ilvl w:val="0"/>
          <w:numId w:val="57"/>
        </w:numPr>
        <w:rPr/>
      </w:pPr>
      <w:r>
        <w:rPr/>
        <w:t>Developing watertight documentation to avoid credit risk exposure</w:t>
      </w:r>
    </w:p>
    <w:p>
      <w:pPr>
        <w:pStyle w:val="Normal"/>
        <w:rPr>
          <w:b/>
        </w:rPr>
      </w:pPr>
      <w:r>
        <w:rPr>
          <w:b/>
        </w:rPr>
        <w:t>Christopher J. Bernard</w:t>
      </w:r>
    </w:p>
    <w:p>
      <w:pPr>
        <w:pStyle w:val="Normal"/>
        <w:rPr>
          <w:b/>
        </w:rPr>
      </w:pPr>
      <w:r>
        <w:rPr>
          <w:b/>
        </w:rPr>
        <w:t>General counsel</w:t>
      </w:r>
    </w:p>
    <w:p>
      <w:pPr>
        <w:pStyle w:val="Normal"/>
        <w:rPr>
          <w:b/>
        </w:rPr>
      </w:pPr>
      <w:r>
        <w:rPr>
          <w:b/>
        </w:rPr>
        <w:t>ENTERGY POWER MARKETING CORP</w:t>
      </w:r>
    </w:p>
    <w:p>
      <w:pPr>
        <w:pStyle w:val="Normal"/>
        <w:rPr>
          <w:b/>
        </w:rPr>
      </w:pPr>
      <w:r>
        <w:rPr>
          <w:b/>
        </w:rPr>
      </w:r>
    </w:p>
    <w:p>
      <w:pPr>
        <w:pStyle w:val="Normal"/>
        <w:rPr/>
      </w:pPr>
      <w:r>
        <w:rPr/>
        <w:t>3.20</w:t>
        <w:tab/>
        <w:t>Closing remarks from the chair</w:t>
      </w:r>
    </w:p>
    <w:p>
      <w:pPr>
        <w:pStyle w:val="Normal"/>
        <w:rPr/>
      </w:pPr>
      <w:r>
        <w:rPr/>
      </w:r>
    </w:p>
    <w:p>
      <w:pPr>
        <w:pStyle w:val="Normal"/>
        <w:rPr/>
      </w:pPr>
      <w:r>
        <w:rPr/>
        <w:t>3.30</w:t>
        <w:tab/>
        <w:t>Close of conference</w:t>
      </w:r>
    </w:p>
    <w:p>
      <w:pPr>
        <w:pStyle w:val="Normal"/>
        <w:rPr/>
      </w:pPr>
      <w:r>
        <w:rPr/>
      </w:r>
    </w:p>
    <w:p>
      <w:pPr>
        <w:pStyle w:val="Normal"/>
        <w:jc w:val="center"/>
        <w:rPr>
          <w:b/>
        </w:rPr>
      </w:pPr>
      <w:r>
        <w:rPr>
          <w:b/>
        </w:rPr>
      </w:r>
      <w:r>
        <w:br w:type="page"/>
      </w:r>
    </w:p>
    <w:p>
      <w:pPr>
        <w:pStyle w:val="Normal"/>
        <w:jc w:val="center"/>
        <w:rPr>
          <w:b/>
        </w:rPr>
      </w:pPr>
      <w:r>
        <w:rPr>
          <w:b/>
        </w:rPr>
        <w:t>PRE-CONFERENCE SEMINAR</w:t>
      </w:r>
    </w:p>
    <w:p>
      <w:pPr>
        <w:pStyle w:val="Heading3"/>
        <w:ind w:hanging="0" w:start="0"/>
        <w:rPr/>
      </w:pPr>
      <w:r>
        <w:rPr/>
        <w:t>Minimising risk in power trading contracts</w:t>
      </w:r>
    </w:p>
    <w:p>
      <w:pPr>
        <w:pStyle w:val="Normal"/>
        <w:jc w:val="center"/>
        <w:rPr/>
      </w:pPr>
      <w:r>
        <w:rPr>
          <w:b/>
          <w:sz w:val="28"/>
        </w:rPr>
        <w:t>26</w:t>
      </w:r>
      <w:r>
        <w:rPr>
          <w:b/>
          <w:sz w:val="28"/>
          <w:vertAlign w:val="superscript"/>
        </w:rPr>
        <w:t>th</w:t>
      </w:r>
      <w:r>
        <w:rPr>
          <w:b/>
          <w:sz w:val="28"/>
        </w:rPr>
        <w:t xml:space="preserve"> January 2000</w:t>
      </w:r>
    </w:p>
    <w:p>
      <w:pPr>
        <w:pStyle w:val="Normal"/>
        <w:jc w:val="center"/>
        <w:rPr>
          <w:b/>
          <w:sz w:val="28"/>
        </w:rPr>
      </w:pPr>
      <w:r>
        <w:rPr>
          <w:b/>
          <w:sz w:val="28"/>
        </w:rPr>
      </w:r>
    </w:p>
    <w:p>
      <w:pPr>
        <w:pStyle w:val="Normal"/>
        <w:jc w:val="center"/>
        <w:rPr>
          <w:b/>
          <w:sz w:val="28"/>
        </w:rPr>
      </w:pPr>
      <w:r>
        <w:rPr>
          <w:b/>
          <w:sz w:val="28"/>
        </w:rPr>
      </w:r>
    </w:p>
    <w:p>
      <w:pPr>
        <w:pStyle w:val="Normal"/>
        <w:rPr/>
      </w:pPr>
      <w:r>
        <w:rPr/>
        <w:t>8.30</w:t>
        <w:tab/>
        <w:t>Registration</w:t>
      </w:r>
    </w:p>
    <w:p>
      <w:pPr>
        <w:pStyle w:val="Normal"/>
        <w:rPr/>
      </w:pPr>
      <w:r>
        <w:rPr/>
      </w:r>
    </w:p>
    <w:p>
      <w:pPr>
        <w:pStyle w:val="Normal"/>
        <w:rPr>
          <w:b/>
        </w:rPr>
      </w:pPr>
      <w:r>
        <w:rPr/>
        <w:t>9.00</w:t>
      </w:r>
    </w:p>
    <w:p>
      <w:pPr>
        <w:pStyle w:val="Normal"/>
        <w:rPr>
          <w:b/>
        </w:rPr>
      </w:pPr>
      <w:r>
        <w:rPr>
          <w:b/>
        </w:rPr>
        <w:t>1. ADDRESSING THE IMPORTANCE OF ESTABLISHING CREDIT AGREEMENTS AND CREDIT PROVISIONS IN TRADING AGREEMENTS</w:t>
      </w:r>
    </w:p>
    <w:p>
      <w:pPr>
        <w:pStyle w:val="Normal"/>
        <w:numPr>
          <w:ilvl w:val="0"/>
          <w:numId w:val="15"/>
        </w:numPr>
        <w:rPr/>
      </w:pPr>
      <w:r>
        <w:rPr/>
        <w:t>Ensuring your credit agreement is legally binding</w:t>
      </w:r>
    </w:p>
    <w:p>
      <w:pPr>
        <w:pStyle w:val="Normal"/>
        <w:numPr>
          <w:ilvl w:val="0"/>
          <w:numId w:val="60"/>
        </w:numPr>
        <w:rPr/>
      </w:pPr>
      <w:r>
        <w:rPr/>
        <w:t>Examining the benefits and the limitations of collateral versus credit enhancement  techniques</w:t>
      </w:r>
    </w:p>
    <w:p>
      <w:pPr>
        <w:pStyle w:val="Normal"/>
        <w:numPr>
          <w:ilvl w:val="0"/>
          <w:numId w:val="60"/>
        </w:numPr>
        <w:rPr/>
      </w:pPr>
      <w:r>
        <w:rPr/>
        <w:tab/>
        <w:t>- letters of credit</w:t>
      </w:r>
    </w:p>
    <w:p>
      <w:pPr>
        <w:pStyle w:val="Normal"/>
        <w:rPr/>
      </w:pPr>
      <w:r>
        <w:rPr/>
        <w:tab/>
        <w:t>- parental guarantees</w:t>
      </w:r>
    </w:p>
    <w:p>
      <w:pPr>
        <w:pStyle w:val="Normal"/>
        <w:numPr>
          <w:ilvl w:val="0"/>
          <w:numId w:val="58"/>
        </w:numPr>
        <w:rPr/>
      </w:pPr>
      <w:r>
        <w:rPr/>
        <w:t>Limiting credit risk exposure with effective provisions for:       default</w:t>
      </w:r>
    </w:p>
    <w:p>
      <w:pPr>
        <w:pStyle w:val="Normal"/>
        <w:ind w:firstLine="720" w:start="4680" w:end="0"/>
        <w:rPr/>
      </w:pPr>
      <w:r>
        <w:rPr/>
        <w:t>termination</w:t>
      </w:r>
    </w:p>
    <w:p>
      <w:pPr>
        <w:pStyle w:val="Normal"/>
        <w:ind w:firstLine="720" w:start="4680" w:end="0"/>
        <w:rPr/>
      </w:pPr>
      <w:r>
        <w:rPr/>
        <w:t>notice</w:t>
      </w:r>
    </w:p>
    <w:p>
      <w:pPr>
        <w:pStyle w:val="Normal"/>
        <w:ind w:firstLine="720" w:start="4680" w:end="0"/>
        <w:rPr/>
      </w:pPr>
      <w:r>
        <w:rPr/>
        <w:t>liquidation</w:t>
      </w:r>
    </w:p>
    <w:p>
      <w:pPr>
        <w:pStyle w:val="Normal"/>
        <w:ind w:firstLine="720" w:start="4680" w:end="0"/>
        <w:rPr/>
      </w:pPr>
      <w:r>
        <w:rPr/>
        <w:t>netting/set-off</w:t>
      </w:r>
    </w:p>
    <w:p>
      <w:pPr>
        <w:pStyle w:val="Normal"/>
        <w:ind w:firstLine="720" w:start="4680" w:end="0"/>
        <w:rPr/>
      </w:pPr>
      <w:r>
        <w:rPr/>
        <w:t>security/creditworthiness</w:t>
      </w:r>
    </w:p>
    <w:p>
      <w:pPr>
        <w:pStyle w:val="Normal"/>
        <w:ind w:firstLine="720" w:start="4680" w:end="0"/>
        <w:rPr/>
      </w:pPr>
      <w:r>
        <w:rPr/>
        <w:t>authority representations</w:t>
      </w:r>
    </w:p>
    <w:p>
      <w:pPr>
        <w:pStyle w:val="Normal"/>
        <w:ind w:firstLine="720" w:start="4680" w:end="0"/>
        <w:jc w:val="both"/>
        <w:rPr/>
      </w:pPr>
      <w:r>
        <w:rPr/>
        <w:t>bookouts</w:t>
      </w:r>
    </w:p>
    <w:p>
      <w:pPr>
        <w:pStyle w:val="Normal"/>
        <w:ind w:firstLine="720" w:start="4680" w:end="0"/>
        <w:rPr/>
      </w:pPr>
      <w:r>
        <w:rPr/>
      </w:r>
    </w:p>
    <w:p>
      <w:pPr>
        <w:pStyle w:val="Normal"/>
        <w:numPr>
          <w:ilvl w:val="0"/>
          <w:numId w:val="12"/>
        </w:numPr>
        <w:rPr/>
      </w:pPr>
      <w:r>
        <w:rPr/>
        <w:t>Protecting enforcement in bankruptcies</w:t>
      </w:r>
    </w:p>
    <w:p>
      <w:pPr>
        <w:pStyle w:val="Normal"/>
        <w:numPr>
          <w:ilvl w:val="0"/>
          <w:numId w:val="90"/>
        </w:numPr>
        <w:rPr/>
      </w:pPr>
      <w:r>
        <w:rPr/>
        <w:t>Explaining how the ability to minimise risk is tied to the right to ask for credit</w:t>
      </w:r>
    </w:p>
    <w:p>
      <w:pPr>
        <w:pStyle w:val="Normal"/>
        <w:numPr>
          <w:ilvl w:val="0"/>
          <w:numId w:val="83"/>
        </w:numPr>
        <w:rPr/>
      </w:pPr>
      <w:r>
        <w:rPr/>
        <w:t>Collateral provisions and guarantees</w:t>
      </w:r>
    </w:p>
    <w:p>
      <w:pPr>
        <w:pStyle w:val="Normal"/>
        <w:numPr>
          <w:ilvl w:val="0"/>
          <w:numId w:val="83"/>
        </w:numPr>
        <w:rPr/>
      </w:pPr>
      <w:r>
        <w:rPr/>
        <w:t xml:space="preserve">Agreeing collateral up front </w:t>
      </w:r>
    </w:p>
    <w:p>
      <w:pPr>
        <w:pStyle w:val="Normal"/>
        <w:numPr>
          <w:ilvl w:val="0"/>
          <w:numId w:val="42"/>
        </w:numPr>
        <w:rPr/>
      </w:pPr>
      <w:r>
        <w:rPr/>
        <w:t>Minimising extra costs incurred by physical obligations when a counterparty defaults</w:t>
      </w:r>
    </w:p>
    <w:p>
      <w:pPr>
        <w:pStyle w:val="Normal"/>
        <w:numPr>
          <w:ilvl w:val="0"/>
          <w:numId w:val="29"/>
        </w:numPr>
        <w:rPr/>
      </w:pPr>
      <w:r>
        <w:rPr/>
        <w:t xml:space="preserve">Learning lessons from financial contracts and applying them to physical contracts </w:t>
        <w:tab/>
        <w:t xml:space="preserve"> </w:t>
      </w:r>
    </w:p>
    <w:p>
      <w:pPr>
        <w:pStyle w:val="Normal"/>
        <w:numPr>
          <w:ilvl w:val="0"/>
          <w:numId w:val="52"/>
        </w:numPr>
        <w:rPr/>
      </w:pPr>
      <w:r>
        <w:rPr/>
        <w:t xml:space="preserve">Dealing with the problems of negotiating an agreed market price </w:t>
      </w:r>
    </w:p>
    <w:p>
      <w:pPr>
        <w:pStyle w:val="Normal"/>
        <w:rPr>
          <w:b/>
        </w:rPr>
      </w:pPr>
      <w:r>
        <w:rPr>
          <w:b/>
        </w:rPr>
        <w:t>Elaine Walsh</w:t>
      </w:r>
    </w:p>
    <w:p>
      <w:pPr>
        <w:pStyle w:val="Normal"/>
        <w:rPr>
          <w:b/>
        </w:rPr>
      </w:pPr>
      <w:r>
        <w:rPr>
          <w:b/>
        </w:rPr>
        <w:t>Counsel</w:t>
      </w:r>
    </w:p>
    <w:p>
      <w:pPr>
        <w:pStyle w:val="Normal"/>
        <w:rPr>
          <w:b/>
        </w:rPr>
      </w:pPr>
      <w:r>
        <w:rPr>
          <w:b/>
        </w:rPr>
        <w:t>CITIZENS POWER</w:t>
      </w:r>
    </w:p>
    <w:p>
      <w:pPr>
        <w:pStyle w:val="Normal"/>
        <w:rPr>
          <w:b/>
        </w:rPr>
      </w:pPr>
      <w:r>
        <w:rPr>
          <w:b/>
        </w:rPr>
      </w:r>
    </w:p>
    <w:p>
      <w:pPr>
        <w:pStyle w:val="Normal"/>
        <w:rPr/>
      </w:pPr>
      <w:r>
        <w:rPr/>
        <w:t xml:space="preserve">10.00 </w:t>
        <w:tab/>
        <w:t>Morning break</w:t>
      </w:r>
    </w:p>
    <w:p>
      <w:pPr>
        <w:pStyle w:val="Normal"/>
        <w:rPr/>
      </w:pPr>
      <w:r>
        <w:rPr/>
      </w:r>
    </w:p>
    <w:p>
      <w:pPr>
        <w:pStyle w:val="Normal"/>
        <w:rPr/>
      </w:pPr>
      <w:r>
        <w:rPr/>
        <w:t>10.30</w:t>
      </w:r>
    </w:p>
    <w:p>
      <w:pPr>
        <w:pStyle w:val="Normal"/>
        <w:rPr>
          <w:b/>
        </w:rPr>
      </w:pPr>
      <w:r>
        <w:rPr>
          <w:b/>
        </w:rPr>
        <w:t>2. USING MASTER CONTRACTS TO MITIGATE CREDIT RISK</w:t>
      </w:r>
    </w:p>
    <w:p>
      <w:pPr>
        <w:pStyle w:val="Normal"/>
        <w:numPr>
          <w:ilvl w:val="0"/>
          <w:numId w:val="9"/>
        </w:numPr>
        <w:rPr/>
      </w:pPr>
      <w:r>
        <w:rPr/>
        <w:t xml:space="preserve">Adapting the ISDA template for energy commodities:       physical issues </w:t>
      </w:r>
    </w:p>
    <w:p>
      <w:pPr>
        <w:pStyle w:val="Normal"/>
        <w:rPr/>
      </w:pPr>
      <w:r>
        <w:rPr/>
        <w:tab/>
        <w:tab/>
        <w:tab/>
        <w:tab/>
        <w:tab/>
        <w:tab/>
        <w:tab/>
        <w:t>legal issues</w:t>
      </w:r>
    </w:p>
    <w:p>
      <w:pPr>
        <w:pStyle w:val="Normal"/>
        <w:numPr>
          <w:ilvl w:val="0"/>
          <w:numId w:val="64"/>
        </w:numPr>
        <w:rPr/>
      </w:pPr>
      <w:r>
        <w:rPr/>
        <w:t>Assessing the applicability of other template formats to the power industry:   WSPP</w:t>
      </w:r>
    </w:p>
    <w:p>
      <w:pPr>
        <w:pStyle w:val="Normal"/>
        <w:rPr/>
      </w:pPr>
      <w:r>
        <w:rPr/>
        <w:tab/>
        <w:tab/>
        <w:tab/>
        <w:tab/>
        <w:tab/>
        <w:tab/>
        <w:tab/>
        <w:tab/>
        <w:tab/>
        <w:t xml:space="preserve">  EEI</w:t>
      </w:r>
    </w:p>
    <w:p>
      <w:pPr>
        <w:pStyle w:val="Normal"/>
        <w:rPr/>
      </w:pPr>
      <w:r>
        <w:rPr/>
        <w:tab/>
        <w:tab/>
        <w:tab/>
        <w:tab/>
        <w:tab/>
        <w:tab/>
        <w:tab/>
        <w:tab/>
        <w:tab/>
        <w:t xml:space="preserve">  ERCOT</w:t>
      </w:r>
    </w:p>
    <w:p>
      <w:pPr>
        <w:pStyle w:val="Normal"/>
        <w:rPr/>
      </w:pPr>
      <w:r>
        <w:rPr>
          <w:rFonts w:eastAsia="Symbol" w:cs="Symbol" w:ascii="Symbol" w:hAnsi="Symbol"/>
        </w:rPr>
        <w:sym w:font="Symbol" w:char="f0b7"/>
      </w:r>
      <w:r>
        <w:rPr/>
        <w:t xml:space="preserve">     </w:t>
      </w:r>
      <w:r>
        <w:rPr/>
        <w:t xml:space="preserve">Addressing the problems posed by the physical nature of the industry in developing an effective </w:t>
      </w:r>
    </w:p>
    <w:p>
      <w:pPr>
        <w:pStyle w:val="Normal"/>
        <w:rPr/>
      </w:pPr>
      <w:r>
        <w:rPr/>
        <w:t xml:space="preserve">       </w:t>
      </w:r>
      <w:r>
        <w:rPr/>
        <w:t>contract format</w:t>
      </w:r>
    </w:p>
    <w:p>
      <w:pPr>
        <w:pStyle w:val="Normal"/>
        <w:rPr>
          <w:b/>
        </w:rPr>
      </w:pPr>
      <w:r>
        <w:rPr>
          <w:b/>
        </w:rPr>
        <w:t>Elaine Walsh</w:t>
      </w:r>
    </w:p>
    <w:p>
      <w:pPr>
        <w:pStyle w:val="Normal"/>
        <w:rPr>
          <w:b/>
        </w:rPr>
      </w:pPr>
      <w:r>
        <w:rPr>
          <w:b/>
        </w:rPr>
        <w:t>Counsel</w:t>
      </w:r>
    </w:p>
    <w:p>
      <w:pPr>
        <w:pStyle w:val="Normal"/>
        <w:rPr>
          <w:b/>
        </w:rPr>
      </w:pPr>
      <w:r>
        <w:rPr>
          <w:b/>
        </w:rPr>
        <w:t>CITIZENS POWER</w:t>
      </w:r>
    </w:p>
    <w:p>
      <w:pPr>
        <w:pStyle w:val="Normal"/>
        <w:rPr>
          <w:b/>
        </w:rPr>
      </w:pPr>
      <w:r>
        <w:rPr>
          <w:b/>
        </w:rPr>
      </w:r>
    </w:p>
    <w:p>
      <w:pPr>
        <w:pStyle w:val="Normal"/>
        <w:rPr/>
      </w:pPr>
      <w:r>
        <w:rPr/>
        <w:t>11.30</w:t>
      </w:r>
    </w:p>
    <w:p>
      <w:pPr>
        <w:pStyle w:val="Normal"/>
        <w:rPr>
          <w:b/>
        </w:rPr>
      </w:pPr>
      <w:r>
        <w:rPr>
          <w:b/>
        </w:rPr>
        <w:t>3. MAINTAINING AND MANAGING YOUR PORTFOLIO TO MINIMISE RISK</w:t>
      </w:r>
    </w:p>
    <w:p>
      <w:pPr>
        <w:pStyle w:val="Normal"/>
        <w:numPr>
          <w:ilvl w:val="0"/>
          <w:numId w:val="89"/>
        </w:numPr>
        <w:rPr>
          <w:b/>
        </w:rPr>
      </w:pPr>
      <w:r>
        <w:rPr/>
        <w:t>Effectively balancing your portfolio to limit risk</w:t>
      </w:r>
    </w:p>
    <w:p>
      <w:pPr>
        <w:pStyle w:val="Normal"/>
        <w:numPr>
          <w:ilvl w:val="0"/>
          <w:numId w:val="99"/>
        </w:numPr>
        <w:rPr/>
      </w:pPr>
      <w:r>
        <w:rPr/>
        <w:t>Minimising risk with back to back products</w:t>
      </w:r>
    </w:p>
    <w:p>
      <w:pPr>
        <w:pStyle w:val="Normal"/>
        <w:numPr>
          <w:ilvl w:val="0"/>
          <w:numId w:val="17"/>
        </w:numPr>
        <w:rPr/>
      </w:pPr>
      <w:r>
        <w:rPr/>
        <w:t>Combating the additional exposure of being a physical player</w:t>
      </w:r>
    </w:p>
    <w:p>
      <w:pPr>
        <w:pStyle w:val="Normal"/>
        <w:numPr>
          <w:ilvl w:val="0"/>
          <w:numId w:val="37"/>
        </w:numPr>
        <w:rPr/>
      </w:pPr>
      <w:r>
        <w:rPr/>
        <w:t>Addressing the issue of hidden risk and double exposure in your portfolio</w:t>
      </w:r>
    </w:p>
    <w:p>
      <w:pPr>
        <w:pStyle w:val="Heading1"/>
        <w:ind w:hanging="0" w:start="0"/>
        <w:rPr/>
      </w:pPr>
      <w:r>
        <w:rPr/>
        <w:t>Name</w:t>
      </w:r>
    </w:p>
    <w:p>
      <w:pPr>
        <w:pStyle w:val="Normal"/>
        <w:rPr>
          <w:b/>
        </w:rPr>
      </w:pPr>
      <w:r>
        <w:rPr>
          <w:b/>
        </w:rPr>
        <w:t>Title</w:t>
      </w:r>
    </w:p>
    <w:p>
      <w:pPr>
        <w:pStyle w:val="Normal"/>
        <w:rPr>
          <w:b/>
        </w:rPr>
      </w:pPr>
      <w:r>
        <w:rPr>
          <w:b/>
        </w:rPr>
        <w:t>Company</w:t>
      </w:r>
    </w:p>
    <w:p>
      <w:pPr>
        <w:pStyle w:val="Normal"/>
        <w:rPr/>
      </w:pPr>
      <w:r>
        <w:rPr/>
      </w:r>
    </w:p>
    <w:p>
      <w:pPr>
        <w:pStyle w:val="Normal"/>
        <w:rPr/>
      </w:pPr>
      <w:r>
        <w:rPr/>
        <w:t>12.45</w:t>
        <w:tab/>
        <w:t>Lunch</w:t>
      </w:r>
    </w:p>
    <w:p>
      <w:pPr>
        <w:pStyle w:val="Normal"/>
        <w:rPr/>
      </w:pPr>
      <w:r>
        <w:rPr/>
      </w:r>
    </w:p>
    <w:p>
      <w:pPr>
        <w:pStyle w:val="Normal"/>
        <w:rPr/>
      </w:pPr>
      <w:r>
        <w:rPr/>
        <w:t>1.50</w:t>
      </w:r>
    </w:p>
    <w:p>
      <w:pPr>
        <w:pStyle w:val="Normal"/>
        <w:rPr>
          <w:b/>
        </w:rPr>
      </w:pPr>
      <w:r>
        <w:rPr>
          <w:b/>
        </w:rPr>
        <w:t xml:space="preserve">4. INTEGRATING EFFECTIVE CREDIT ENHANCEMENT TECHNIQUES INTO CONTRACTS </w:t>
      </w:r>
    </w:p>
    <w:p>
      <w:pPr>
        <w:pStyle w:val="Normal"/>
        <w:numPr>
          <w:ilvl w:val="0"/>
          <w:numId w:val="2"/>
        </w:numPr>
        <w:rPr/>
      </w:pPr>
      <w:r>
        <w:rPr/>
        <w:t xml:space="preserve">Avoiding legal loopholes and achieving watertight documentation </w:t>
      </w:r>
    </w:p>
    <w:p>
      <w:pPr>
        <w:pStyle w:val="Normal"/>
        <w:numPr>
          <w:ilvl w:val="0"/>
          <w:numId w:val="43"/>
        </w:numPr>
        <w:rPr/>
      </w:pPr>
      <w:r>
        <w:rPr/>
        <w:t>Netting</w:t>
      </w:r>
    </w:p>
    <w:p>
      <w:pPr>
        <w:pStyle w:val="Normal"/>
        <w:numPr>
          <w:ilvl w:val="0"/>
          <w:numId w:val="69"/>
        </w:numPr>
        <w:rPr/>
      </w:pPr>
      <w:r>
        <w:rPr/>
        <w:t>Letters of Credit</w:t>
      </w:r>
    </w:p>
    <w:p>
      <w:pPr>
        <w:pStyle w:val="Normal"/>
        <w:numPr>
          <w:ilvl w:val="0"/>
          <w:numId w:val="95"/>
        </w:numPr>
        <w:rPr/>
      </w:pPr>
      <w:r>
        <w:rPr/>
        <w:t>Collateral agreements</w:t>
      </w:r>
    </w:p>
    <w:p>
      <w:pPr>
        <w:pStyle w:val="Normal"/>
        <w:numPr>
          <w:ilvl w:val="0"/>
          <w:numId w:val="4"/>
        </w:numPr>
        <w:rPr/>
      </w:pPr>
      <w:r>
        <w:rPr/>
        <w:t>Sleeving</w:t>
      </w:r>
    </w:p>
    <w:p>
      <w:pPr>
        <w:pStyle w:val="Normal"/>
        <w:numPr>
          <w:ilvl w:val="0"/>
          <w:numId w:val="53"/>
        </w:numPr>
        <w:rPr/>
      </w:pPr>
      <w:r>
        <w:rPr/>
        <w:t>Parental guarantees</w:t>
      </w:r>
    </w:p>
    <w:p>
      <w:pPr>
        <w:pStyle w:val="Normal"/>
        <w:numPr>
          <w:ilvl w:val="0"/>
          <w:numId w:val="119"/>
        </w:numPr>
        <w:rPr/>
      </w:pPr>
      <w:r>
        <w:rPr/>
        <w:t>Pricing credit risk</w:t>
      </w:r>
    </w:p>
    <w:p>
      <w:pPr>
        <w:pStyle w:val="Normal"/>
        <w:numPr>
          <w:ilvl w:val="0"/>
          <w:numId w:val="39"/>
        </w:numPr>
        <w:rPr/>
      </w:pPr>
      <w:r>
        <w:rPr/>
        <w:t>Establishing secured and unsecured credit lines</w:t>
      </w:r>
    </w:p>
    <w:p>
      <w:pPr>
        <w:pStyle w:val="Normal"/>
        <w:numPr>
          <w:ilvl w:val="0"/>
          <w:numId w:val="47"/>
        </w:numPr>
        <w:rPr/>
      </w:pPr>
      <w:r>
        <w:rPr/>
        <w:t xml:space="preserve">Overcoming the problems of vocabulary and definition </w:t>
      </w:r>
    </w:p>
    <w:p>
      <w:pPr>
        <w:pStyle w:val="Normal"/>
        <w:rPr>
          <w:b/>
        </w:rPr>
      </w:pPr>
      <w:r>
        <w:rPr>
          <w:b/>
        </w:rPr>
        <w:t>Joseph P Limone</w:t>
      </w:r>
    </w:p>
    <w:p>
      <w:pPr>
        <w:pStyle w:val="Normal"/>
        <w:rPr>
          <w:b/>
        </w:rPr>
      </w:pPr>
      <w:r>
        <w:rPr>
          <w:b/>
        </w:rPr>
        <w:t>General Counsel</w:t>
      </w:r>
    </w:p>
    <w:p>
      <w:pPr>
        <w:pStyle w:val="Normal"/>
        <w:rPr>
          <w:b/>
        </w:rPr>
      </w:pPr>
      <w:r>
        <w:rPr>
          <w:b/>
        </w:rPr>
        <w:t>MERCHANT ENERGY GROUP OF THE AMERICAS INC</w:t>
      </w:r>
    </w:p>
    <w:p>
      <w:pPr>
        <w:pStyle w:val="Normal"/>
        <w:rPr>
          <w:b/>
        </w:rPr>
      </w:pPr>
      <w:r>
        <w:rPr>
          <w:b/>
        </w:rPr>
      </w:r>
    </w:p>
    <w:p>
      <w:pPr>
        <w:pStyle w:val="Normal"/>
        <w:rPr/>
      </w:pPr>
      <w:r>
        <w:rPr/>
        <w:t>2.50</w:t>
        <w:tab/>
        <w:t>Afternoon break</w:t>
      </w:r>
    </w:p>
    <w:p>
      <w:pPr>
        <w:pStyle w:val="Normal"/>
        <w:rPr/>
      </w:pPr>
      <w:r>
        <w:rPr/>
      </w:r>
    </w:p>
    <w:p>
      <w:pPr>
        <w:pStyle w:val="Normal"/>
        <w:rPr/>
      </w:pPr>
      <w:r>
        <w:rPr/>
        <w:t>3.20</w:t>
      </w:r>
    </w:p>
    <w:p>
      <w:pPr>
        <w:pStyle w:val="Normal"/>
        <w:rPr>
          <w:b/>
        </w:rPr>
      </w:pPr>
      <w:r>
        <w:rPr>
          <w:b/>
        </w:rPr>
        <w:t>5. ESTABLISHING EFFECTIVE COLLATERAL MANAGEMENT STRATEGIES</w:t>
      </w:r>
    </w:p>
    <w:p>
      <w:pPr>
        <w:pStyle w:val="Normal"/>
        <w:numPr>
          <w:ilvl w:val="0"/>
          <w:numId w:val="120"/>
        </w:numPr>
        <w:rPr/>
      </w:pPr>
      <w:r>
        <w:rPr/>
        <w:t xml:space="preserve">Managing different forms of collateral </w:t>
      </w:r>
    </w:p>
    <w:p>
      <w:pPr>
        <w:pStyle w:val="Normal"/>
        <w:numPr>
          <w:ilvl w:val="0"/>
          <w:numId w:val="6"/>
        </w:numPr>
        <w:rPr/>
      </w:pPr>
      <w:r>
        <w:rPr/>
        <w:t>Using collateral guarantees</w:t>
      </w:r>
    </w:p>
    <w:p>
      <w:pPr>
        <w:pStyle w:val="Normal"/>
        <w:numPr>
          <w:ilvl w:val="0"/>
          <w:numId w:val="40"/>
        </w:numPr>
        <w:rPr/>
      </w:pPr>
      <w:r>
        <w:rPr/>
        <w:t>Administrative procedures for controlling collateral</w:t>
      </w:r>
    </w:p>
    <w:p>
      <w:pPr>
        <w:pStyle w:val="Normal"/>
        <w:numPr>
          <w:ilvl w:val="0"/>
          <w:numId w:val="112"/>
        </w:numPr>
        <w:rPr/>
      </w:pPr>
      <w:r>
        <w:rPr/>
        <w:t>Dealing with the costs of collateral maintenance</w:t>
      </w:r>
    </w:p>
    <w:p>
      <w:pPr>
        <w:pStyle w:val="Normal"/>
        <w:numPr>
          <w:ilvl w:val="0"/>
          <w:numId w:val="80"/>
        </w:numPr>
        <w:rPr/>
      </w:pPr>
      <w:r>
        <w:rPr/>
        <w:t>Creating and using a collateral management mechanisms (Covar):</w:t>
      </w:r>
    </w:p>
    <w:p>
      <w:pPr>
        <w:pStyle w:val="Normal"/>
        <w:ind w:firstLine="720" w:end="0"/>
        <w:rPr/>
      </w:pPr>
      <w:r>
        <w:rPr/>
        <w:t>-re-hypothecating collateral between companies</w:t>
      </w:r>
    </w:p>
    <w:p>
      <w:pPr>
        <w:pStyle w:val="Normal"/>
        <w:numPr>
          <w:ilvl w:val="0"/>
          <w:numId w:val="62"/>
        </w:numPr>
        <w:rPr/>
      </w:pPr>
      <w:r>
        <w:rPr/>
        <w:t>Addressing the problems of designing a collateral management mechanism</w:t>
      </w:r>
    </w:p>
    <w:p>
      <w:pPr>
        <w:pStyle w:val="Normal"/>
        <w:numPr>
          <w:ilvl w:val="0"/>
          <w:numId w:val="92"/>
        </w:numPr>
        <w:rPr/>
      </w:pPr>
      <w:r>
        <w:rPr/>
        <w:t>Benefiting from a collateral management mechanism: speed; financial efficiency</w:t>
        <w:tab/>
      </w:r>
    </w:p>
    <w:p>
      <w:pPr>
        <w:pStyle w:val="Heading1"/>
        <w:ind w:hanging="0" w:start="0"/>
        <w:rPr/>
      </w:pPr>
      <w:r>
        <w:rPr/>
        <w:t>Name</w:t>
      </w:r>
    </w:p>
    <w:p>
      <w:pPr>
        <w:pStyle w:val="Normal"/>
        <w:rPr>
          <w:b/>
        </w:rPr>
      </w:pPr>
      <w:r>
        <w:rPr>
          <w:b/>
        </w:rPr>
        <w:t>Title</w:t>
      </w:r>
    </w:p>
    <w:p>
      <w:pPr>
        <w:pStyle w:val="Normal"/>
        <w:rPr>
          <w:b/>
        </w:rPr>
      </w:pPr>
      <w:r>
        <w:rPr>
          <w:b/>
        </w:rPr>
        <w:t>Company</w:t>
      </w:r>
    </w:p>
    <w:p>
      <w:pPr>
        <w:pStyle w:val="Normal"/>
        <w:rPr/>
      </w:pPr>
      <w:r>
        <w:rPr/>
      </w:r>
    </w:p>
    <w:p>
      <w:pPr>
        <w:pStyle w:val="Normal"/>
        <w:rPr/>
      </w:pPr>
      <w:r>
        <w:rPr/>
        <w:t>4.20</w:t>
        <w:tab/>
        <w:t>Close of seminar</w:t>
      </w:r>
    </w:p>
    <w:p>
      <w:pPr>
        <w:pStyle w:val="Normal"/>
        <w:rPr/>
      </w:pPr>
      <w:r>
        <w:rPr/>
      </w:r>
    </w:p>
    <w:p>
      <w:pPr>
        <w:pStyle w:val="Normal"/>
        <w:rPr/>
      </w:pPr>
      <w:r>
        <w:rPr/>
      </w:r>
    </w:p>
    <w:p>
      <w:pPr>
        <w:pStyle w:val="Normal"/>
        <w:jc w:val="center"/>
        <w:rPr>
          <w:sz w:val="24"/>
        </w:rPr>
      </w:pPr>
      <w:r>
        <w:rPr>
          <w:sz w:val="24"/>
        </w:rPr>
      </w:r>
    </w:p>
    <w:sectPr>
      <w:headerReference w:type="default" r:id="rId2"/>
      <w:headerReference w:type="first" r:id="rId3"/>
      <w:footerReference w:type="default" r:id="rId4"/>
      <w:footerReference w:type="first" r:id="rId5"/>
      <w:type w:val="nextPage"/>
      <w:pgSz w:w="11906" w:h="16838"/>
      <w:pgMar w:left="1435" w:right="1435" w:gutter="0" w:header="720" w:top="1435" w:footer="720" w:bottom="143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right" w:pos="8306" w:leader="none"/>
      </w:tabs>
      <w:rPr/>
    </w:pPr>
    <w:r>
      <w:rPr>
        <w:sz w:val="14"/>
        <w:lang w:val="en-CA"/>
      </w:rPr>
      <w:t>Haymarket House, 28 - 29 Haymarket, London SW1Y 4RX</w:t>
    </w:r>
    <w:r>
      <w:rPr>
        <w:rFonts w:cs="Arial" w:ascii="Arial" w:hAnsi="Arial"/>
        <w:sz w:val="14"/>
      </w:rPr>
      <w:t xml:space="preserve">     Tel +44 (0)171 484 9700  Fax +44 (0)171 484 9800</w:t>
    </w:r>
    <w:r>
      <mc:AlternateContent>
        <mc:Choice Requires="wps">
          <w:drawing>
            <wp:anchor behindDoc="1" distT="0" distB="0" distL="114935" distR="114935" simplePos="0" locked="0" layoutInCell="1" allowOverlap="1" relativeHeight="3">
              <wp:simplePos x="0" y="0"/>
              <wp:positionH relativeFrom="column">
                <wp:posOffset>4343400</wp:posOffset>
              </wp:positionH>
              <wp:positionV relativeFrom="paragraph">
                <wp:posOffset>-260350</wp:posOffset>
              </wp:positionV>
              <wp:extent cx="1126490" cy="702310"/>
              <wp:effectExtent l="0" t="0" r="0" b="0"/>
              <wp:wrapNone/>
              <wp:docPr id="2" name="Frame1"/>
              <a:graphic xmlns:a="http://schemas.openxmlformats.org/drawingml/2006/main">
                <a:graphicData uri="http://schemas.microsoft.com/office/word/2010/wordprocessingShape">
                  <wps:wsp>
                    <wps:cNvSpPr txBox="1"/>
                    <wps:spPr>
                      <a:xfrm>
                        <a:off x="0" y="0"/>
                        <a:ext cx="1126490" cy="702310"/>
                      </a:xfrm>
                      <a:prstGeom prst="rect"/>
                      <a:solidFill>
                        <a:srgbClr val="FFFFFF"/>
                      </a:solidFill>
                    </wps:spPr>
                    <wps:txbx>
                      <w:txbxContent>
                        <w:p>
                          <w:pPr>
                            <w:pStyle w:val="Normal"/>
                            <w:rPr/>
                          </w:pPr>
                          <w:r>
                            <w:rPr/>
                            <w:drawing>
                              <wp:inline distT="0" distB="0" distL="0" distR="0">
                                <wp:extent cx="1106805" cy="68643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6" t="-10" r="-6" b="-10"/>
                                        <a:stretch>
                                          <a:fillRect/>
                                        </a:stretch>
                                      </pic:blipFill>
                                      <pic:spPr bwMode="auto">
                                        <a:xfrm>
                                          <a:off x="0" y="0"/>
                                          <a:ext cx="1106805" cy="68643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8.7pt;height:55.3pt;mso-wrap-distance-left:9.05pt;mso-wrap-distance-right:9.05pt;mso-wrap-distance-top:0pt;mso-wrap-distance-bottom:0pt;margin-top:-20.5pt;mso-position-vertical-relative:text;margin-left:342pt;mso-position-horizontal-relative:text">
              <v:textbox inset="0.0145833333333333in,0.0145833333333333in,0.0145833333333333in,0.0145833333333333in">
                <w:txbxContent>
                  <w:p>
                    <w:pPr>
                      <w:pStyle w:val="Normal"/>
                      <w:rPr/>
                    </w:pPr>
                    <w:r>
                      <w:rPr/>
                      <w:drawing>
                        <wp:inline distT="0" distB="0" distL="0" distR="0">
                          <wp:extent cx="1106805" cy="68643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6" t="-10" r="-6" b="-10"/>
                                  <a:stretch>
                                    <a:fillRect/>
                                  </a:stretch>
                                </pic:blipFill>
                                <pic:spPr bwMode="auto">
                                  <a:xfrm>
                                    <a:off x="0" y="0"/>
                                    <a:ext cx="1106805" cy="686435"/>
                                  </a:xfrm>
                                  <a:prstGeom prst="rect">
                                    <a:avLst/>
                                  </a:prstGeom>
                                  <a:noFill/>
                                </pic:spPr>
                              </pic:pic>
                            </a:graphicData>
                          </a:graphic>
                        </wp:inline>
                      </w:drawing>
                    </w:r>
                  </w:p>
                </w:txbxContent>
              </v:textbox>
              <w10:wrap type="none"/>
            </v:rect>
          </w:pict>
        </mc:Fallback>
      </mc:AlternateContent>
    </w:r>
  </w:p>
  <w:p>
    <w:pPr>
      <w:pStyle w:val="Footer"/>
      <w:jc w:val="center"/>
      <w:rPr>
        <w:rFonts w:ascii="Arial" w:hAnsi="Arial" w:cs="Arial"/>
        <w:sz w:val="6"/>
      </w:rPr>
    </w:pPr>
    <w:r>
      <w:rPr>
        <w:rFonts w:cs="Arial" w:ascii="Arial" w:hAnsi="Arial"/>
        <w:sz w:val="6"/>
      </w:rPr>
    </w:r>
  </w:p>
  <w:p>
    <w:pPr>
      <w:pStyle w:val="Footer"/>
      <w:rPr>
        <w:rFonts w:ascii="Arial" w:hAnsi="Arial" w:cs="Arial"/>
        <w:sz w:val="11"/>
      </w:rPr>
    </w:pPr>
    <w:r>
      <w:rPr>
        <w:rFonts w:cs="Arial" w:ascii="Arial" w:hAnsi="Arial"/>
        <w:sz w:val="11"/>
      </w:rPr>
      <w:t>Financial Engineering Ltd. Registered in England &amp; Wales No. 2246228. VAT No. GB 681 3190 38</w:t>
    </w:r>
  </w:p>
  <w:p>
    <w:pPr>
      <w:pStyle w:val="Footer"/>
      <w:rPr>
        <w:rFonts w:ascii="Arial" w:hAnsi="Arial" w:cs="Arial"/>
        <w:sz w:val="11"/>
      </w:rPr>
    </w:pPr>
    <w:r>
      <w:rPr>
        <w:rFonts w:cs="Arial" w:ascii="Arial" w:hAnsi="Arial"/>
        <w:sz w:val="1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1966595" cy="120713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18" t="-30" r="-18" b="-30"/>
                  <a:stretch>
                    <a:fillRect/>
                  </a:stretch>
                </pic:blipFill>
                <pic:spPr bwMode="auto">
                  <a:xfrm>
                    <a:off x="0" y="0"/>
                    <a:ext cx="1966595" cy="120713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360"/>
        </w:tabs>
        <w:ind w:start="360" w:hanging="360"/>
      </w:pPr>
      <w:rPr>
        <w:rFonts w:ascii="Symbol" w:hAnsi="Symbol" w:cs="Symbol" w:hint="default"/>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360"/>
        </w:tabs>
        <w:ind w:start="360" w:hanging="360"/>
      </w:pPr>
      <w:rPr>
        <w:rFonts w:ascii="Symbol" w:hAnsi="Symbol" w:cs="Symbol" w:hint="default"/>
      </w:rPr>
    </w:lvl>
  </w:abstractNum>
  <w:abstractNum w:abstractNumId="78">
    <w:lvl w:ilvl="0">
      <w:start w:val="1"/>
      <w:numFmt w:val="bullet"/>
      <w:lvlText w:val=""/>
      <w:lvlJc w:val="start"/>
      <w:pPr>
        <w:tabs>
          <w:tab w:val="num" w:pos="360"/>
        </w:tabs>
        <w:ind w:start="360" w:hanging="360"/>
      </w:pPr>
      <w:rPr>
        <w:rFonts w:ascii="Symbol" w:hAnsi="Symbol" w:cs="Symbol" w:hint="default"/>
      </w:rPr>
    </w:lvl>
  </w:abstractNum>
  <w:abstractNum w:abstractNumId="79">
    <w:lvl w:ilvl="0">
      <w:start w:val="1"/>
      <w:numFmt w:val="bullet"/>
      <w:lvlText w:val=""/>
      <w:lvlJc w:val="start"/>
      <w:pPr>
        <w:tabs>
          <w:tab w:val="num" w:pos="360"/>
        </w:tabs>
        <w:ind w:start="360" w:hanging="360"/>
      </w:pPr>
      <w:rPr>
        <w:rFonts w:ascii="Symbol" w:hAnsi="Symbol" w:cs="Symbol" w:hint="default"/>
      </w:rPr>
    </w:lvl>
  </w:abstractNum>
  <w:abstractNum w:abstractNumId="80">
    <w:lvl w:ilvl="0">
      <w:start w:val="1"/>
      <w:numFmt w:val="bullet"/>
      <w:lvlText w:val=""/>
      <w:lvlJc w:val="start"/>
      <w:pPr>
        <w:tabs>
          <w:tab w:val="num" w:pos="360"/>
        </w:tabs>
        <w:ind w:start="360" w:hanging="360"/>
      </w:pPr>
      <w:rPr>
        <w:rFonts w:ascii="Symbol" w:hAnsi="Symbol" w:cs="Symbol" w:hint="default"/>
      </w:rPr>
    </w:lvl>
  </w:abstractNum>
  <w:abstractNum w:abstractNumId="81">
    <w:lvl w:ilvl="0">
      <w:start w:val="1"/>
      <w:numFmt w:val="bullet"/>
      <w:lvlText w:val=""/>
      <w:lvlJc w:val="start"/>
      <w:pPr>
        <w:tabs>
          <w:tab w:val="num" w:pos="360"/>
        </w:tabs>
        <w:ind w:start="360" w:hanging="360"/>
      </w:pPr>
      <w:rPr>
        <w:rFonts w:ascii="Symbol" w:hAnsi="Symbol" w:cs="Symbol" w:hint="default"/>
      </w:rPr>
    </w:lvl>
  </w:abstractNum>
  <w:abstractNum w:abstractNumId="82">
    <w:lvl w:ilvl="0">
      <w:start w:val="1"/>
      <w:numFmt w:val="bullet"/>
      <w:lvlText w:val=""/>
      <w:lvlJc w:val="start"/>
      <w:pPr>
        <w:tabs>
          <w:tab w:val="num" w:pos="360"/>
        </w:tabs>
        <w:ind w:start="360" w:hanging="360"/>
      </w:pPr>
      <w:rPr>
        <w:rFonts w:ascii="Symbol" w:hAnsi="Symbol" w:cs="Symbol"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bullet"/>
      <w:lvlText w:val=""/>
      <w:lvlJc w:val="start"/>
      <w:pPr>
        <w:tabs>
          <w:tab w:val="num" w:pos="360"/>
        </w:tabs>
        <w:ind w:start="360" w:hanging="360"/>
      </w:pPr>
      <w:rPr>
        <w:rFonts w:ascii="Symbol" w:hAnsi="Symbol" w:cs="Symbol" w:hint="default"/>
      </w:rPr>
    </w:lvl>
  </w:abstractNum>
  <w:abstractNum w:abstractNumId="85">
    <w:lvl w:ilvl="0">
      <w:start w:val="1"/>
      <w:numFmt w:val="bullet"/>
      <w:lvlText w:val=""/>
      <w:lvlJc w:val="start"/>
      <w:pPr>
        <w:tabs>
          <w:tab w:val="num" w:pos="360"/>
        </w:tabs>
        <w:ind w:start="360" w:hanging="360"/>
      </w:pPr>
      <w:rPr>
        <w:rFonts w:ascii="Symbol" w:hAnsi="Symbol" w:cs="Symbol" w:hint="default"/>
      </w:rPr>
    </w:lvl>
  </w:abstractNum>
  <w:abstractNum w:abstractNumId="86">
    <w:lvl w:ilvl="0">
      <w:start w:val="1"/>
      <w:numFmt w:val="bullet"/>
      <w:lvlText w:val=""/>
      <w:lvlJc w:val="start"/>
      <w:pPr>
        <w:tabs>
          <w:tab w:val="num" w:pos="360"/>
        </w:tabs>
        <w:ind w:start="360" w:hanging="360"/>
      </w:pPr>
      <w:rPr>
        <w:rFonts w:ascii="Symbol" w:hAnsi="Symbol" w:cs="Symbol" w:hint="default"/>
      </w:rPr>
    </w:lvl>
  </w:abstractNum>
  <w:abstractNum w:abstractNumId="87">
    <w:lvl w:ilvl="0">
      <w:start w:val="1"/>
      <w:numFmt w:val="bullet"/>
      <w:lvlText w:val=""/>
      <w:lvlJc w:val="start"/>
      <w:pPr>
        <w:tabs>
          <w:tab w:val="num" w:pos="360"/>
        </w:tabs>
        <w:ind w:start="360" w:hanging="360"/>
      </w:pPr>
      <w:rPr>
        <w:rFonts w:ascii="Symbol" w:hAnsi="Symbol" w:cs="Symbol" w:hint="default"/>
      </w:rPr>
    </w:lvl>
  </w:abstractNum>
  <w:abstractNum w:abstractNumId="88">
    <w:lvl w:ilvl="0">
      <w:start w:val="1"/>
      <w:numFmt w:val="bullet"/>
      <w:lvlText w:val=""/>
      <w:lvlJc w:val="start"/>
      <w:pPr>
        <w:tabs>
          <w:tab w:val="num" w:pos="360"/>
        </w:tabs>
        <w:ind w:start="360" w:hanging="360"/>
      </w:pPr>
      <w:rPr>
        <w:rFonts w:ascii="Symbol" w:hAnsi="Symbol" w:cs="Symbol" w:hint="default"/>
      </w:rPr>
    </w:lvl>
  </w:abstractNum>
  <w:abstractNum w:abstractNumId="89">
    <w:lvl w:ilvl="0">
      <w:start w:val="1"/>
      <w:numFmt w:val="bullet"/>
      <w:lvlText w:val=""/>
      <w:lvlJc w:val="start"/>
      <w:pPr>
        <w:tabs>
          <w:tab w:val="num" w:pos="360"/>
        </w:tabs>
        <w:ind w:start="360" w:hanging="360"/>
      </w:pPr>
      <w:rPr>
        <w:rFonts w:ascii="Symbol" w:hAnsi="Symbol" w:cs="Symbol" w:hint="default"/>
      </w:r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start w:val="1"/>
      <w:numFmt w:val="bullet"/>
      <w:lvlText w:val=""/>
      <w:lvlJc w:val="start"/>
      <w:pPr>
        <w:tabs>
          <w:tab w:val="num" w:pos="360"/>
        </w:tabs>
        <w:ind w:start="360" w:hanging="360"/>
      </w:pPr>
      <w:rPr>
        <w:rFonts w:ascii="Symbol" w:hAnsi="Symbol" w:cs="Symbol" w:hint="default"/>
      </w:rPr>
    </w:lvl>
  </w:abstractNum>
  <w:abstractNum w:abstractNumId="92">
    <w:lvl w:ilvl="0">
      <w:start w:val="1"/>
      <w:numFmt w:val="bullet"/>
      <w:lvlText w:val=""/>
      <w:lvlJc w:val="start"/>
      <w:pPr>
        <w:tabs>
          <w:tab w:val="num" w:pos="360"/>
        </w:tabs>
        <w:ind w:start="360" w:hanging="360"/>
      </w:pPr>
      <w:rPr>
        <w:rFonts w:ascii="Symbol" w:hAnsi="Symbol" w:cs="Symbol" w:hint="default"/>
      </w:rPr>
    </w:lvl>
  </w:abstractNum>
  <w:abstractNum w:abstractNumId="93">
    <w:lvl w:ilvl="0">
      <w:start w:val="1"/>
      <w:numFmt w:val="bullet"/>
      <w:lvlText w:val=""/>
      <w:lvlJc w:val="start"/>
      <w:pPr>
        <w:tabs>
          <w:tab w:val="num" w:pos="360"/>
        </w:tabs>
        <w:ind w:start="360" w:hanging="360"/>
      </w:pPr>
      <w:rPr>
        <w:rFonts w:ascii="Symbol" w:hAnsi="Symbol" w:cs="Symbol" w:hint="default"/>
      </w:rPr>
    </w:lvl>
  </w:abstractNum>
  <w:abstractNum w:abstractNumId="94">
    <w:lvl w:ilvl="0">
      <w:start w:val="1"/>
      <w:numFmt w:val="bullet"/>
      <w:lvlText w:val=""/>
      <w:lvlJc w:val="start"/>
      <w:pPr>
        <w:tabs>
          <w:tab w:val="num" w:pos="360"/>
        </w:tabs>
        <w:ind w:start="360" w:hanging="360"/>
      </w:pPr>
      <w:rPr>
        <w:rFonts w:ascii="Symbol" w:hAnsi="Symbol" w:cs="Symbol" w:hint="default"/>
      </w:rPr>
    </w:lvl>
  </w:abstractNum>
  <w:abstractNum w:abstractNumId="95">
    <w:lvl w:ilvl="0">
      <w:start w:val="1"/>
      <w:numFmt w:val="bullet"/>
      <w:lvlText w:val=""/>
      <w:lvlJc w:val="start"/>
      <w:pPr>
        <w:tabs>
          <w:tab w:val="num" w:pos="360"/>
        </w:tabs>
        <w:ind w:start="360" w:hanging="360"/>
      </w:pPr>
      <w:rPr>
        <w:rFonts w:ascii="Symbol" w:hAnsi="Symbol" w:cs="Symbol" w:hint="default"/>
      </w:rPr>
    </w:lvl>
  </w:abstractNum>
  <w:abstractNum w:abstractNumId="96">
    <w:lvl w:ilvl="0">
      <w:start w:val="1"/>
      <w:numFmt w:val="bullet"/>
      <w:lvlText w:val=""/>
      <w:lvlJc w:val="start"/>
      <w:pPr>
        <w:tabs>
          <w:tab w:val="num" w:pos="360"/>
        </w:tabs>
        <w:ind w:start="360" w:hanging="360"/>
      </w:pPr>
      <w:rPr>
        <w:rFonts w:ascii="Symbol" w:hAnsi="Symbol" w:cs="Symbol" w:hint="default"/>
      </w:rPr>
    </w:lvl>
  </w:abstractNum>
  <w:abstractNum w:abstractNumId="97">
    <w:lvl w:ilvl="0">
      <w:start w:val="1"/>
      <w:numFmt w:val="bullet"/>
      <w:lvlText w:val=""/>
      <w:lvlJc w:val="start"/>
      <w:pPr>
        <w:tabs>
          <w:tab w:val="num" w:pos="360"/>
        </w:tabs>
        <w:ind w:start="360" w:hanging="360"/>
      </w:pPr>
      <w:rPr>
        <w:rFonts w:ascii="Symbol" w:hAnsi="Symbol" w:cs="Symbol" w:hint="default"/>
      </w:rPr>
    </w:lvl>
  </w:abstractNum>
  <w:abstractNum w:abstractNumId="98">
    <w:lvl w:ilvl="0">
      <w:start w:val="1"/>
      <w:numFmt w:val="bullet"/>
      <w:lvlText w:val=""/>
      <w:lvlJc w:val="start"/>
      <w:pPr>
        <w:tabs>
          <w:tab w:val="num" w:pos="360"/>
        </w:tabs>
        <w:ind w:start="360" w:hanging="360"/>
      </w:pPr>
      <w:rPr>
        <w:rFonts w:ascii="Symbol" w:hAnsi="Symbol" w:cs="Symbol" w:hint="default"/>
      </w:rPr>
    </w:lvl>
  </w:abstractNum>
  <w:abstractNum w:abstractNumId="99">
    <w:lvl w:ilvl="0">
      <w:start w:val="1"/>
      <w:numFmt w:val="bullet"/>
      <w:lvlText w:val=""/>
      <w:lvlJc w:val="start"/>
      <w:pPr>
        <w:tabs>
          <w:tab w:val="num" w:pos="360"/>
        </w:tabs>
        <w:ind w:start="360" w:hanging="360"/>
      </w:pPr>
      <w:rPr>
        <w:rFonts w:ascii="Symbol" w:hAnsi="Symbol" w:cs="Symbol" w:hint="default"/>
      </w:rPr>
    </w:lvl>
  </w:abstractNum>
  <w:abstractNum w:abstractNumId="100">
    <w:lvl w:ilvl="0">
      <w:start w:val="1"/>
      <w:numFmt w:val="bullet"/>
      <w:lvlText w:val=""/>
      <w:lvlJc w:val="start"/>
      <w:pPr>
        <w:tabs>
          <w:tab w:val="num" w:pos="360"/>
        </w:tabs>
        <w:ind w:start="360" w:hanging="360"/>
      </w:pPr>
      <w:rPr>
        <w:rFonts w:ascii="Symbol" w:hAnsi="Symbol" w:cs="Symbol" w:hint="default"/>
      </w:rPr>
    </w:lvl>
  </w:abstractNum>
  <w:abstractNum w:abstractNumId="101">
    <w:lvl w:ilvl="0">
      <w:start w:val="1"/>
      <w:numFmt w:val="bullet"/>
      <w:lvlText w:val=""/>
      <w:lvlJc w:val="start"/>
      <w:pPr>
        <w:tabs>
          <w:tab w:val="num" w:pos="360"/>
        </w:tabs>
        <w:ind w:start="360" w:hanging="360"/>
      </w:pPr>
      <w:rPr>
        <w:rFonts w:ascii="Symbol" w:hAnsi="Symbol" w:cs="Symbol" w:hint="default"/>
      </w:rPr>
    </w:lvl>
  </w:abstractNum>
  <w:abstractNum w:abstractNumId="102">
    <w:lvl w:ilvl="0">
      <w:start w:val="1"/>
      <w:numFmt w:val="bullet"/>
      <w:lvlText w:val=""/>
      <w:lvlJc w:val="start"/>
      <w:pPr>
        <w:tabs>
          <w:tab w:val="num" w:pos="360"/>
        </w:tabs>
        <w:ind w:start="360" w:hanging="360"/>
      </w:pPr>
      <w:rPr>
        <w:rFonts w:ascii="Symbol" w:hAnsi="Symbol" w:cs="Symbol" w:hint="default"/>
      </w:rPr>
    </w:lvl>
  </w:abstractNum>
  <w:abstractNum w:abstractNumId="103">
    <w:lvl w:ilvl="0">
      <w:start w:val="1"/>
      <w:numFmt w:val="bullet"/>
      <w:lvlText w:val=""/>
      <w:lvlJc w:val="start"/>
      <w:pPr>
        <w:tabs>
          <w:tab w:val="num" w:pos="360"/>
        </w:tabs>
        <w:ind w:start="360" w:hanging="360"/>
      </w:pPr>
      <w:rPr>
        <w:rFonts w:ascii="Symbol" w:hAnsi="Symbol" w:cs="Symbol" w:hint="default"/>
      </w:rPr>
    </w:lvl>
  </w:abstractNum>
  <w:abstractNum w:abstractNumId="104">
    <w:lvl w:ilvl="0">
      <w:start w:val="1"/>
      <w:numFmt w:val="bullet"/>
      <w:lvlText w:val=""/>
      <w:lvlJc w:val="start"/>
      <w:pPr>
        <w:tabs>
          <w:tab w:val="num" w:pos="360"/>
        </w:tabs>
        <w:ind w:start="360" w:hanging="360"/>
      </w:pPr>
      <w:rPr>
        <w:rFonts w:ascii="Symbol" w:hAnsi="Symbol" w:cs="Symbol" w:hint="default"/>
      </w:rPr>
    </w:lvl>
  </w:abstractNum>
  <w:abstractNum w:abstractNumId="105">
    <w:lvl w:ilvl="0">
      <w:start w:val="1"/>
      <w:numFmt w:val="bullet"/>
      <w:lvlText w:val=""/>
      <w:lvlJc w:val="start"/>
      <w:pPr>
        <w:tabs>
          <w:tab w:val="num" w:pos="360"/>
        </w:tabs>
        <w:ind w:start="360" w:hanging="360"/>
      </w:pPr>
      <w:rPr>
        <w:rFonts w:ascii="Symbol" w:hAnsi="Symbol" w:cs="Symbol" w:hint="default"/>
      </w:rPr>
    </w:lvl>
  </w:abstractNum>
  <w:abstractNum w:abstractNumId="106">
    <w:lvl w:ilvl="0">
      <w:start w:val="1"/>
      <w:numFmt w:val="bullet"/>
      <w:lvlText w:val=""/>
      <w:lvlJc w:val="start"/>
      <w:pPr>
        <w:tabs>
          <w:tab w:val="num" w:pos="360"/>
        </w:tabs>
        <w:ind w:start="360" w:hanging="360"/>
      </w:pPr>
      <w:rPr>
        <w:rFonts w:ascii="Symbol" w:hAnsi="Symbol" w:cs="Symbol" w:hint="default"/>
      </w:rPr>
    </w:lvl>
  </w:abstractNum>
  <w:abstractNum w:abstractNumId="107">
    <w:lvl w:ilvl="0">
      <w:start w:val="1"/>
      <w:numFmt w:val="bullet"/>
      <w:lvlText w:val=""/>
      <w:lvlJc w:val="start"/>
      <w:pPr>
        <w:tabs>
          <w:tab w:val="num" w:pos="360"/>
        </w:tabs>
        <w:ind w:start="360" w:hanging="360"/>
      </w:pPr>
      <w:rPr>
        <w:rFonts w:ascii="Symbol" w:hAnsi="Symbol" w:cs="Symbol" w:hint="default"/>
      </w:rPr>
    </w:lvl>
  </w:abstractNum>
  <w:abstractNum w:abstractNumId="108">
    <w:lvl w:ilvl="0">
      <w:start w:val="1"/>
      <w:numFmt w:val="bullet"/>
      <w:lvlText w:val=""/>
      <w:lvlJc w:val="start"/>
      <w:pPr>
        <w:tabs>
          <w:tab w:val="num" w:pos="360"/>
        </w:tabs>
        <w:ind w:start="360" w:hanging="360"/>
      </w:pPr>
      <w:rPr>
        <w:rFonts w:ascii="Symbol" w:hAnsi="Symbol" w:cs="Symbol" w:hint="default"/>
      </w:rPr>
    </w:lvl>
  </w:abstractNum>
  <w:abstractNum w:abstractNumId="109">
    <w:lvl w:ilvl="0">
      <w:start w:val="1"/>
      <w:numFmt w:val="bullet"/>
      <w:lvlText w:val=""/>
      <w:lvlJc w:val="start"/>
      <w:pPr>
        <w:tabs>
          <w:tab w:val="num" w:pos="360"/>
        </w:tabs>
        <w:ind w:start="360" w:hanging="360"/>
      </w:pPr>
      <w:rPr>
        <w:rFonts w:ascii="Symbol" w:hAnsi="Symbol" w:cs="Symbol" w:hint="default"/>
      </w:rPr>
    </w:lvl>
  </w:abstractNum>
  <w:abstractNum w:abstractNumId="110">
    <w:lvl w:ilvl="0">
      <w:start w:val="1"/>
      <w:numFmt w:val="bullet"/>
      <w:lvlText w:val=""/>
      <w:lvlJc w:val="start"/>
      <w:pPr>
        <w:tabs>
          <w:tab w:val="num" w:pos="360"/>
        </w:tabs>
        <w:ind w:start="360" w:hanging="360"/>
      </w:pPr>
      <w:rPr>
        <w:rFonts w:ascii="Symbol" w:hAnsi="Symbol" w:cs="Symbol" w:hint="default"/>
      </w:rPr>
    </w:lvl>
  </w:abstractNum>
  <w:abstractNum w:abstractNumId="111">
    <w:lvl w:ilvl="0">
      <w:start w:val="1"/>
      <w:numFmt w:val="bullet"/>
      <w:lvlText w:val=""/>
      <w:lvlJc w:val="start"/>
      <w:pPr>
        <w:tabs>
          <w:tab w:val="num" w:pos="360"/>
        </w:tabs>
        <w:ind w:start="360" w:hanging="360"/>
      </w:pPr>
      <w:rPr>
        <w:rFonts w:ascii="Symbol" w:hAnsi="Symbol" w:cs="Symbol" w:hint="default"/>
      </w:rPr>
    </w:lvl>
  </w:abstractNum>
  <w:abstractNum w:abstractNumId="112">
    <w:lvl w:ilvl="0">
      <w:start w:val="1"/>
      <w:numFmt w:val="bullet"/>
      <w:lvlText w:val=""/>
      <w:lvlJc w:val="start"/>
      <w:pPr>
        <w:tabs>
          <w:tab w:val="num" w:pos="360"/>
        </w:tabs>
        <w:ind w:start="360" w:hanging="360"/>
      </w:pPr>
      <w:rPr>
        <w:rFonts w:ascii="Symbol" w:hAnsi="Symbol" w:cs="Symbol" w:hint="default"/>
      </w:rPr>
    </w:lvl>
  </w:abstractNum>
  <w:abstractNum w:abstractNumId="113">
    <w:lvl w:ilvl="0">
      <w:start w:val="1"/>
      <w:numFmt w:val="bullet"/>
      <w:lvlText w:val=""/>
      <w:lvlJc w:val="start"/>
      <w:pPr>
        <w:tabs>
          <w:tab w:val="num" w:pos="360"/>
        </w:tabs>
        <w:ind w:start="360" w:hanging="360"/>
      </w:pPr>
      <w:rPr>
        <w:rFonts w:ascii="Symbol" w:hAnsi="Symbol" w:cs="Symbol" w:hint="default"/>
      </w:rPr>
    </w:lvl>
  </w:abstractNum>
  <w:abstractNum w:abstractNumId="114">
    <w:lvl w:ilvl="0">
      <w:start w:val="1"/>
      <w:numFmt w:val="bullet"/>
      <w:lvlText w:val=""/>
      <w:lvlJc w:val="start"/>
      <w:pPr>
        <w:tabs>
          <w:tab w:val="num" w:pos="360"/>
        </w:tabs>
        <w:ind w:start="36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rPr>
    </w:lvl>
  </w:abstractNum>
  <w:abstractNum w:abstractNumId="116">
    <w:lvl w:ilvl="0">
      <w:start w:val="1"/>
      <w:numFmt w:val="bullet"/>
      <w:lvlText w:val=""/>
      <w:lvlJc w:val="start"/>
      <w:pPr>
        <w:tabs>
          <w:tab w:val="num" w:pos="360"/>
        </w:tabs>
        <w:ind w:start="360" w:hanging="360"/>
      </w:pPr>
      <w:rPr>
        <w:rFonts w:ascii="Symbol" w:hAnsi="Symbol" w:cs="Symbol" w:hint="default"/>
      </w:rPr>
    </w:lvl>
  </w:abstractNum>
  <w:abstractNum w:abstractNumId="117">
    <w:lvl w:ilvl="0">
      <w:start w:val="1"/>
      <w:numFmt w:val="bullet"/>
      <w:lvlText w:val=""/>
      <w:lvlJc w:val="start"/>
      <w:pPr>
        <w:tabs>
          <w:tab w:val="num" w:pos="360"/>
        </w:tabs>
        <w:ind w:start="360" w:hanging="360"/>
      </w:pPr>
      <w:rPr>
        <w:rFonts w:ascii="Symbol" w:hAnsi="Symbol" w:cs="Symbol" w:hint="default"/>
      </w:rPr>
    </w:lvl>
  </w:abstractNum>
  <w:abstractNum w:abstractNumId="118">
    <w:lvl w:ilvl="0">
      <w:start w:val="1"/>
      <w:numFmt w:val="bullet"/>
      <w:lvlText w:val=""/>
      <w:lvlJc w:val="start"/>
      <w:pPr>
        <w:tabs>
          <w:tab w:val="num" w:pos="360"/>
        </w:tabs>
        <w:ind w:start="360" w:hanging="360"/>
      </w:pPr>
      <w:rPr>
        <w:rFonts w:ascii="Symbol" w:hAnsi="Symbol" w:cs="Symbol" w:hint="default"/>
      </w:rPr>
    </w:lvl>
  </w:abstractNum>
  <w:abstractNum w:abstractNumId="119">
    <w:lvl w:ilvl="0">
      <w:start w:val="1"/>
      <w:numFmt w:val="bullet"/>
      <w:lvlText w:val=""/>
      <w:lvlJc w:val="start"/>
      <w:pPr>
        <w:tabs>
          <w:tab w:val="num" w:pos="360"/>
        </w:tabs>
        <w:ind w:start="360" w:hanging="360"/>
      </w:pPr>
      <w:rPr>
        <w:rFonts w:ascii="Symbol" w:hAnsi="Symbol" w:cs="Symbol" w:hint="default"/>
      </w:rPr>
    </w:lvl>
  </w:abstractNum>
  <w:abstractNum w:abstractNumId="120">
    <w:lvl w:ilvl="0">
      <w:start w:val="1"/>
      <w:numFmt w:val="bullet"/>
      <w:lvlText w:val=""/>
      <w:lvlJc w:val="start"/>
      <w:pPr>
        <w:tabs>
          <w:tab w:val="num" w:pos="360"/>
        </w:tabs>
        <w:ind w:start="360" w:hanging="360"/>
      </w:pPr>
      <w:rPr>
        <w:rFonts w:ascii="Symbol" w:hAnsi="Symbol" w:cs="Symbol" w:hint="default"/>
      </w:rPr>
    </w:lvl>
  </w:abstractNum>
  <w:abstractNum w:abstractNumId="1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outlineLvl w:val="1"/>
    </w:pPr>
    <w:rPr>
      <w:b/>
      <w:u w:val="single"/>
      <w:lang w:val="en-US" w:eastAsia="en-US"/>
    </w:rPr>
  </w:style>
  <w:style w:type="paragraph" w:styleId="Heading3">
    <w:name w:val="heading 3"/>
    <w:basedOn w:val="Normal"/>
    <w:next w:val="Normal"/>
    <w:qFormat/>
    <w:pPr>
      <w:keepNext w:val="true"/>
      <w:numPr>
        <w:ilvl w:val="2"/>
        <w:numId w:val="1"/>
      </w:numPr>
      <w:jc w:val="center"/>
      <w:outlineLvl w:val="2"/>
    </w:pPr>
    <w:rPr>
      <w:b/>
      <w:sz w:val="36"/>
      <w:lang w:val="en-US"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b/>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b/>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Tms Rmn" w:hAnsi="Tms Rmn" w:cs="Tms Rm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1999-08-26T08:22:00Z</dcterms:created>
  <dc:creator>Risk</dc:creator>
  <dc:description/>
  <dc:language>en-CA</dc:language>
  <cp:lastModifiedBy>Helen Evans</cp:lastModifiedBy>
  <cp:lastPrinted>1999-09-01T17:17:00Z</cp:lastPrinted>
  <dcterms:modified xsi:type="dcterms:W3CDTF">1999-09-13T14:23:00Z</dcterms:modified>
  <cp:revision>39</cp:revision>
  <dc:subject/>
  <dc:title>To:	</dc:title>
</cp:coreProperties>
</file>