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end"/>
        <w:rPr>
          <w:b/>
          <w:u w:val="double"/>
        </w:rPr>
      </w:pPr>
      <w:r>
        <w:rPr>
          <w:b/>
          <w:u w:val="double"/>
        </w:rPr>
        <w:t>DRAFT 08/28/00</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end"/>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TAX INDEMNIFICATION AGREEMENT (this </w:t>
      </w:r>
      <w:r>
        <w:rPr>
          <w:rFonts w:cs="WP TypographicSymbols" w:ascii="WP TypographicSymbols" w:hAnsi="WP TypographicSymbols"/>
        </w:rPr>
        <w:t>A</w:t>
      </w:r>
      <w:r>
        <w:rPr/>
        <w:t>Agreement</w:t>
      </w:r>
      <w:r>
        <w:rPr>
          <w:rFonts w:cs="WP TypographicSymbols" w:ascii="WP TypographicSymbols" w:hAnsi="WP TypographicSymbols"/>
        </w:rPr>
        <w:t>@</w:t>
      </w:r>
      <w:r>
        <w:rPr/>
        <w:t xml:space="preserve">) dated as of </w:t>
      </w:r>
      <w:r>
        <w:rPr>
          <w:strike/>
        </w:rPr>
        <w:t>June 29</w:t>
      </w:r>
      <w:r>
        <w:rPr/>
        <w:t xml:space="preserve"> </w:t>
      </w:r>
      <w:r>
        <w:rPr>
          <w:b/>
          <w:u w:val="double"/>
        </w:rPr>
        <w:t>September [__]</w:t>
      </w:r>
      <w:r>
        <w:rPr/>
        <w:t>, 2000 is by and between Enron Corp., an Oregon corporation (</w:t>
      </w:r>
      <w:r>
        <w:rPr>
          <w:rFonts w:cs="WP TypographicSymbols" w:ascii="WP TypographicSymbols" w:hAnsi="WP TypographicSymbols"/>
        </w:rPr>
        <w:t>A</w:t>
      </w:r>
      <w:r>
        <w:rPr/>
        <w:t>Indemnitor</w:t>
      </w:r>
      <w:r>
        <w:rPr>
          <w:rFonts w:cs="WP TypographicSymbols" w:ascii="WP TypographicSymbols" w:hAnsi="WP TypographicSymbols"/>
        </w:rPr>
        <w:t>@</w:t>
      </w:r>
      <w:r>
        <w:rPr/>
        <w:t>), and LJM2-</w:t>
      </w:r>
      <w:r>
        <w:rPr>
          <w:strike/>
        </w:rPr>
        <w:t>Timberwolf</w:t>
      </w:r>
      <w:r>
        <w:rPr/>
        <w:t xml:space="preserve"> </w:t>
      </w:r>
      <w:r>
        <w:rPr>
          <w:b/>
          <w:u w:val="double"/>
        </w:rPr>
        <w:t>Bobcat</w:t>
      </w:r>
      <w:r>
        <w:rPr/>
        <w:t>, LLC, a Delaware limited liability company (</w:t>
      </w:r>
      <w:r>
        <w:rPr>
          <w:rFonts w:cs="WP TypographicSymbols" w:ascii="WP TypographicSymbols" w:hAnsi="WP TypographicSymbols"/>
        </w:rPr>
        <w:t>A</w:t>
      </w:r>
      <w:r>
        <w:rPr/>
        <w:t>LJM2</w:t>
      </w:r>
      <w:r>
        <w:rPr>
          <w:rFonts w:cs="WP TypographicSymbols" w:ascii="WP TypographicSymbols" w:hAnsi="WP TypographicSymbols"/>
        </w:rPr>
        <w:t>@</w:t>
      </w:r>
      <w:r>
        <w:rPr/>
        <w:t>).</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center" w:pos="4680" w:leader="none"/>
          <w:tab w:val="left" w:pos="4876" w:leader="none"/>
          <w:tab w:val="left" w:pos="5596" w:leader="none"/>
          <w:tab w:val="left" w:pos="6316" w:leader="none"/>
          <w:tab w:val="left" w:pos="7036" w:leader="none"/>
          <w:tab w:val="left" w:pos="7756" w:leader="none"/>
          <w:tab w:val="left" w:pos="8476" w:leader="none"/>
        </w:tabs>
        <w:jc w:val="both"/>
        <w:rPr/>
      </w:pPr>
      <w:r>
        <w:rPr/>
        <w:tab/>
      </w:r>
      <w:r>
        <w:rPr>
          <w:u w:val="single"/>
        </w:rPr>
        <w:t>PREAMBLE</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t xml:space="preserve">LJM2 and </w:t>
      </w:r>
      <w:r>
        <w:rPr>
          <w:strike/>
        </w:rPr>
        <w:t>Grizzly</w:t>
      </w:r>
      <w:r>
        <w:rPr/>
        <w:t xml:space="preserve"> </w:t>
      </w:r>
      <w:r>
        <w:rPr>
          <w:b/>
          <w:u w:val="double"/>
        </w:rPr>
        <w:t>Roadrunner</w:t>
      </w:r>
      <w:r>
        <w:rPr/>
        <w:t xml:space="preserve"> I</w:t>
      </w:r>
      <w:r>
        <w:rPr>
          <w:strike/>
        </w:rPr>
        <w:t>,</w:t>
      </w:r>
      <w:r>
        <w:rPr/>
        <w:t xml:space="preserve"> LLC, a Delaware limited liability company wholly-owned by Indemnitor, as members, and BSCS XXIII, Inc., a Delaware corporation, as manager, entered into the Amended and Restated Limited Liability Company Agreement of </w:t>
      </w:r>
      <w:r>
        <w:rPr>
          <w:strike/>
        </w:rPr>
        <w:t>Timberwolf</w:t>
      </w:r>
      <w:r>
        <w:rPr/>
        <w:t xml:space="preserve"> </w:t>
      </w:r>
      <w:r>
        <w:rPr>
          <w:b/>
          <w:u w:val="double"/>
        </w:rPr>
        <w:t>Bobcat</w:t>
      </w:r>
      <w:r>
        <w:rPr/>
        <w:t xml:space="preserve"> I</w:t>
      </w:r>
      <w:r>
        <w:rPr>
          <w:strike/>
        </w:rPr>
        <w:t>,</w:t>
      </w:r>
      <w:r>
        <w:rPr/>
        <w:t xml:space="preserve"> LLC (the </w:t>
      </w:r>
      <w:r>
        <w:rPr>
          <w:rFonts w:cs="WP TypographicSymbols" w:ascii="WP TypographicSymbols" w:hAnsi="WP TypographicSymbols"/>
        </w:rPr>
        <w:t>A</w:t>
      </w:r>
      <w:r>
        <w:rPr/>
        <w:t>LLC Agreement</w:t>
      </w:r>
      <w:r>
        <w:rPr>
          <w:rFonts w:cs="WP TypographicSymbols" w:ascii="WP TypographicSymbols" w:hAnsi="WP TypographicSymbols"/>
        </w:rPr>
        <w:t>@</w:t>
      </w:r>
      <w:r>
        <w:rPr/>
        <w:t xml:space="preserve">) as of </w:t>
      </w:r>
      <w:r>
        <w:rPr>
          <w:strike/>
        </w:rPr>
        <w:t>June 29</w:t>
      </w:r>
      <w:r>
        <w:rPr/>
        <w:t xml:space="preserve"> </w:t>
      </w:r>
      <w:r>
        <w:rPr>
          <w:b/>
          <w:u w:val="double"/>
        </w:rPr>
        <w:t>September [__]</w:t>
      </w:r>
      <w:r>
        <w:rPr/>
        <w:t>, 2000.  Indemnitor has agreed to indemnify LJM2 for certain tax consequences as described herein.</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t>Accordingly, in consideration of the mutual covenants herein contained, and other good and valuable consideration, the receipt of which is acknowledged hereby, the parties hereto do hereby agree as follows:</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center" w:pos="4680" w:leader="none"/>
          <w:tab w:val="left" w:pos="4876" w:leader="none"/>
          <w:tab w:val="left" w:pos="5596" w:leader="none"/>
          <w:tab w:val="left" w:pos="6316" w:leader="none"/>
          <w:tab w:val="left" w:pos="7036" w:leader="none"/>
          <w:tab w:val="left" w:pos="7756" w:leader="none"/>
          <w:tab w:val="left" w:pos="8476" w:leader="none"/>
        </w:tabs>
        <w:jc w:val="both"/>
        <w:rPr/>
      </w:pPr>
      <w:r>
        <w:rPr/>
        <w:tab/>
      </w:r>
      <w:r>
        <w:rPr>
          <w:u w:val="single"/>
        </w:rPr>
        <w:t>AGREEMENT</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u w:val="single"/>
        </w:rPr>
      </w:pPr>
      <w:r>
        <w:rPr>
          <w:u w:val="single"/>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t>1.</w:t>
        <w:tab/>
      </w:r>
      <w:r>
        <w:rPr>
          <w:u w:val="single"/>
        </w:rPr>
        <w:t>Definitions</w:t>
      </w:r>
      <w:r>
        <w:rPr/>
        <w:t>.  For the purposes of this Agreement, the following terms shall have the following meanings.  Capitalized terms not otherwise defined herein shall have the meaning assigned them in the LLC Agreement.  In addition, as used herein:</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rFonts w:cs="WP TypographicSymbols" w:ascii="WP TypographicSymbols" w:hAnsi="WP TypographicSymbols"/>
        </w:rPr>
        <w:t>A</w:t>
      </w:r>
      <w:r>
        <w:rPr>
          <w:u w:val="single"/>
        </w:rPr>
        <w:t>After-Tax Basis</w:t>
      </w:r>
      <w:r>
        <w:rPr>
          <w:rFonts w:cs="WP TypographicSymbols" w:ascii="WP TypographicSymbols" w:hAnsi="WP TypographicSymbols"/>
          <w:u w:val="single"/>
        </w:rPr>
        <w:t>@</w:t>
      </w:r>
      <w:r>
        <w:rPr/>
        <w:t xml:space="preserve"> means, in respect of any amount received or accrued by any Person (the </w:t>
      </w:r>
      <w:r>
        <w:rPr>
          <w:rFonts w:cs="WP TypographicSymbols" w:ascii="WP TypographicSymbols" w:hAnsi="WP TypographicSymbols"/>
        </w:rPr>
        <w:t>A</w:t>
      </w:r>
      <w:r>
        <w:rPr/>
        <w:t>base amount</w:t>
      </w:r>
      <w:r>
        <w:rPr>
          <w:rFonts w:cs="WP TypographicSymbols" w:ascii="WP TypographicSymbols" w:hAnsi="WP TypographicSymbols"/>
        </w:rPr>
        <w:t>@</w:t>
      </w:r>
      <w:r>
        <w:rPr/>
        <w:t>), the base amount supplemented by a further payment, if necessary, to such Person such that, after reduction for all federal income taxes imposed on such Person as a result of the receipt or accrual of the base amount and such further payment (after giving effect to all deductions and credits, if any, actually utilized by such Person arising from the event or circumstance giving rise to the base amount), the net amount received by such Person shall be equal to the base amount.  For this purpose, LJM2 shall be assumed to be subject to United States federal income tax at the Tax Rate for the relevant period or periods.</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rFonts w:cs="WP TypographicSymbols" w:ascii="WP TypographicSymbols" w:hAnsi="WP TypographicSymbols"/>
        </w:rPr>
        <w:t>A</w:t>
      </w:r>
      <w:r>
        <w:rPr>
          <w:u w:val="single"/>
        </w:rPr>
        <w:t>Dissolution Year</w:t>
      </w:r>
      <w:r>
        <w:rPr>
          <w:rFonts w:cs="WP TypographicSymbols" w:ascii="WP TypographicSymbols" w:hAnsi="WP TypographicSymbols"/>
        </w:rPr>
        <w:t>@</w:t>
      </w:r>
      <w:r>
        <w:rPr/>
        <w:t xml:space="preserve"> means the taxable year in which the Company is dissolved pursuant to Section 11.1 of the LLC Agreement. </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rFonts w:cs="WP TypographicSymbols" w:ascii="WP TypographicSymbols" w:hAnsi="WP TypographicSymbols"/>
        </w:rPr>
        <w:t>A</w:t>
      </w:r>
      <w:r>
        <w:rPr>
          <w:u w:val="single"/>
        </w:rPr>
        <w:t>Distributed Amount</w:t>
      </w:r>
      <w:r>
        <w:rPr>
          <w:rFonts w:cs="WP TypographicSymbols" w:ascii="WP TypographicSymbols" w:hAnsi="WP TypographicSymbols"/>
        </w:rPr>
        <w:t>@</w:t>
      </w:r>
      <w:r>
        <w:rPr/>
        <w:t xml:space="preserve"> means the amount distributed pursuant to Section 5.1(c)(i) of the LLC Agreement, to the extent of the first $30,000,000 so distributed.</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rFonts w:cs="WP TypographicSymbols" w:ascii="WP TypographicSymbols" w:hAnsi="WP TypographicSymbols"/>
        </w:rPr>
        <w:t>A</w:t>
      </w:r>
      <w:r>
        <w:rPr>
          <w:u w:val="single"/>
        </w:rPr>
        <w:t>Final Determination</w:t>
      </w:r>
      <w:r>
        <w:rPr>
          <w:rFonts w:cs="WP TypographicSymbols" w:ascii="WP TypographicSymbols" w:hAnsi="WP TypographicSymbols"/>
        </w:rPr>
        <w:t>@</w:t>
      </w:r>
      <w:r>
        <w:rPr/>
        <w:t xml:space="preserve"> means (i) a decision, judgment, decree or other order by any court of competent jurisdiction, which decision, judgment, decree or other order has become final after all appeals allowable by law and hereunder by either party to the action have been exhausted or the time for filing such appeals has expired, or (ii) a closing agreement entered into under section 7121 of the Code, in each case in respect of a partnership item of LJM2 determined at the partnership level in accordance with sections 6221 through 6234 of the Code. </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rFonts w:cs="WP TypographicSymbols" w:ascii="WP TypographicSymbols" w:hAnsi="WP TypographicSymbols"/>
        </w:rPr>
        <w:t>A</w:t>
      </w:r>
      <w:r>
        <w:rPr>
          <w:u w:val="single"/>
        </w:rPr>
        <w:t>Flowthrough Entity</w:t>
      </w:r>
      <w:r>
        <w:rPr>
          <w:rFonts w:cs="WP TypographicSymbols" w:ascii="WP TypographicSymbols" w:hAnsi="WP TypographicSymbols"/>
        </w:rPr>
        <w:t>@</w:t>
      </w:r>
      <w:r>
        <w:rPr/>
        <w:t xml:space="preserve"> means an entity that is classified, for federal tax purposes, as a partnership, grantor trust or S corporation or an entity that is disregarded as separate from its owner.</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rFonts w:cs="WP TypographicSymbols" w:ascii="WP TypographicSymbols" w:hAnsi="WP TypographicSymbols"/>
        </w:rPr>
        <w:t>A</w:t>
      </w:r>
      <w:r>
        <w:rPr>
          <w:u w:val="single"/>
        </w:rPr>
        <w:t>Inclusion Year</w:t>
      </w:r>
      <w:r>
        <w:rPr>
          <w:rFonts w:cs="WP TypographicSymbols" w:ascii="WP TypographicSymbols" w:hAnsi="WP TypographicSymbols"/>
        </w:rPr>
        <w:t>@</w:t>
      </w:r>
      <w:r>
        <w:rPr/>
        <w:t xml:space="preserve"> means a taxable year (other than the Dissolution Year) in which the Distributed Amount or any portion thereof is required to be included in income by LJM2 for federal income tax purposes.</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t xml:space="preserve"> </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rFonts w:cs="WP TypographicSymbols" w:ascii="WP TypographicSymbols" w:hAnsi="WP TypographicSymbols"/>
        </w:rPr>
        <w:t>A</w:t>
      </w:r>
      <w:r>
        <w:rPr>
          <w:u w:val="single"/>
        </w:rPr>
        <w:t>Indemnifiable Event</w:t>
      </w:r>
      <w:r>
        <w:rPr>
          <w:rFonts w:cs="WP TypographicSymbols" w:ascii="WP TypographicSymbols" w:hAnsi="WP TypographicSymbols"/>
        </w:rPr>
        <w:t>@</w:t>
      </w:r>
      <w:r>
        <w:rPr/>
        <w:t xml:space="preserve"> shall have the meaning set forth in Section 3(a)(1).</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rFonts w:cs="WP TypographicSymbols" w:ascii="WP TypographicSymbols" w:hAnsi="WP TypographicSymbols"/>
        </w:rPr>
        <w:t>A</w:t>
      </w:r>
      <w:r>
        <w:rPr>
          <w:u w:val="single"/>
        </w:rPr>
        <w:t>Indemnity Amount</w:t>
      </w:r>
      <w:r>
        <w:rPr>
          <w:rFonts w:cs="WP TypographicSymbols" w:ascii="WP TypographicSymbols" w:hAnsi="WP TypographicSymbols"/>
        </w:rPr>
        <w:t>@</w:t>
      </w:r>
      <w:r>
        <w:rPr/>
        <w:t xml:space="preserve"> shall have the meaning set forth in Section 3(a)(2).</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rFonts w:cs="WP TypographicSymbols" w:ascii="WP TypographicSymbols" w:hAnsi="WP TypographicSymbols"/>
        </w:rPr>
        <w:t>A</w:t>
      </w:r>
      <w:r>
        <w:rPr>
          <w:u w:val="single"/>
        </w:rPr>
        <w:t>Interest Rate</w:t>
      </w:r>
      <w:r>
        <w:rPr>
          <w:rFonts w:cs="WP TypographicSymbols" w:ascii="WP TypographicSymbols" w:hAnsi="WP TypographicSymbols"/>
        </w:rPr>
        <w:t>@</w:t>
      </w:r>
      <w:r>
        <w:rPr/>
        <w:t xml:space="preserve"> means the applicable federal rate, compounded annually, determined under section 1274(d) of the Code for the period to which the relevant payment obligation relates.</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rFonts w:cs="WP TypographicSymbols" w:ascii="WP TypographicSymbols" w:hAnsi="WP TypographicSymbols"/>
        </w:rPr>
        <w:t>A</w:t>
      </w:r>
      <w:r>
        <w:rPr>
          <w:u w:val="single"/>
        </w:rPr>
        <w:t>IRS</w:t>
      </w:r>
      <w:r>
        <w:rPr>
          <w:rFonts w:cs="WP TypographicSymbols" w:ascii="WP TypographicSymbols" w:hAnsi="WP TypographicSymbols"/>
        </w:rPr>
        <w:t>@</w:t>
      </w:r>
      <w:r>
        <w:rPr/>
        <w:t xml:space="preserve"> means the United States Internal Revenue Service.</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rFonts w:cs="WP TypographicSymbols" w:ascii="WP TypographicSymbols" w:hAnsi="WP TypographicSymbols"/>
        </w:rPr>
        <w:t>A</w:t>
      </w:r>
      <w:r>
        <w:rPr>
          <w:u w:val="single"/>
        </w:rPr>
        <w:t>Payment Date</w:t>
      </w:r>
      <w:r>
        <w:rPr>
          <w:rFonts w:cs="WP TypographicSymbols" w:ascii="WP TypographicSymbols" w:hAnsi="WP TypographicSymbols"/>
        </w:rPr>
        <w:t>@</w:t>
      </w:r>
      <w:r>
        <w:rPr/>
        <w:t xml:space="preserve"> shall have the meaning set forth in Section 3(b).</w:t>
        <w:tab/>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rFonts w:cs="WP TypographicSymbols" w:ascii="WP TypographicSymbols" w:hAnsi="WP TypographicSymbols"/>
        </w:rPr>
        <w:t>A</w:t>
      </w:r>
      <w:r>
        <w:rPr>
          <w:u w:val="single"/>
        </w:rPr>
        <w:t>Relevant Taxpayer</w:t>
      </w:r>
      <w:r>
        <w:rPr>
          <w:rFonts w:cs="WP TypographicSymbols" w:ascii="WP TypographicSymbols" w:hAnsi="WP TypographicSymbols"/>
        </w:rPr>
        <w:t>@</w:t>
      </w:r>
      <w:r>
        <w:rPr/>
        <w:t xml:space="preserve"> means (i) each member of LJM2 (“LJM2 Member”), and (ii) in the case of any LJM2 Member that is a Flowthrough Entity,  the ultimate member, partner, beneficiary or tax owner of such LJM2 Member or of any direct or indirect nominal owner of such LJM2 Member that itself is a Flowthrough Entity.</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40" w:end="0"/>
        <w:jc w:val="both"/>
        <w:rPr/>
      </w:pPr>
      <w:bookmarkStart w:id="0" w:name="QuickMark"/>
      <w:bookmarkEnd w:id="0"/>
      <w:r>
        <w:rPr>
          <w:rFonts w:cs="WP TypographicSymbols" w:ascii="WP TypographicSymbols" w:hAnsi="WP TypographicSymbols"/>
        </w:rPr>
        <w:t>A</w:t>
      </w:r>
      <w:r>
        <w:rPr>
          <w:u w:val="single"/>
        </w:rPr>
        <w:t>Revenue Agent</w:t>
      </w:r>
      <w:r>
        <w:rPr>
          <w:rFonts w:cs="WP TypographicSymbols" w:ascii="WP TypographicSymbols" w:hAnsi="WP TypographicSymbols"/>
          <w:u w:val="single"/>
        </w:rPr>
        <w:t>=</w:t>
      </w:r>
      <w:r>
        <w:rPr>
          <w:u w:val="single"/>
        </w:rPr>
        <w:t>s Report</w:t>
      </w:r>
      <w:r>
        <w:rPr>
          <w:rFonts w:cs="WP TypographicSymbols" w:ascii="WP TypographicSymbols" w:hAnsi="WP TypographicSymbols"/>
        </w:rPr>
        <w:t>@</w:t>
      </w:r>
      <w:r>
        <w:rPr/>
        <w:t xml:space="preserve"> means a report sent to a taxpayer under cover of a transmittal (30-day) letter relating to proposed adjustments in such taxpayer</w:t>
      </w:r>
      <w:r>
        <w:rPr>
          <w:rFonts w:cs="WP TypographicSymbols" w:ascii="WP TypographicSymbols" w:hAnsi="WP TypographicSymbols"/>
        </w:rPr>
        <w:t>=</w:t>
      </w:r>
      <w:r>
        <w:rPr/>
        <w:t>s United States federal income tax liability, referred to in Section 601.105(c)(2)(i) of the Regulations.</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rFonts w:cs="WP TypographicSymbols" w:ascii="WP TypographicSymbols" w:hAnsi="WP TypographicSymbols"/>
        </w:rPr>
        <w:t>A</w:t>
      </w:r>
      <w:r>
        <w:rPr>
          <w:u w:val="single"/>
        </w:rPr>
        <w:t>Tax Rate</w:t>
      </w:r>
      <w:r>
        <w:rPr>
          <w:rFonts w:cs="WP TypographicSymbols" w:ascii="WP TypographicSymbols" w:hAnsi="WP TypographicSymbols"/>
        </w:rPr>
        <w:t>@</w:t>
      </w:r>
      <w:r>
        <w:rPr/>
        <w:t xml:space="preserve"> means 40%.</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rFonts w:cs="WP TypographicSymbols" w:ascii="WP TypographicSymbols" w:hAnsi="WP TypographicSymbols"/>
        </w:rPr>
        <w:t>A</w:t>
      </w:r>
      <w:r>
        <w:rPr>
          <w:u w:val="single"/>
        </w:rPr>
        <w:t>Tax Requirements</w:t>
      </w:r>
      <w:r>
        <w:rPr>
          <w:rFonts w:cs="WP TypographicSymbols" w:ascii="WP TypographicSymbols" w:hAnsi="WP TypographicSymbols"/>
        </w:rPr>
        <w:t>@</w:t>
      </w:r>
      <w:r>
        <w:rPr/>
        <w:t xml:space="preserve">  means the tax characterizations and other requirements set forth in Section 2.</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rFonts w:cs="WP TypographicSymbols" w:ascii="WP TypographicSymbols" w:hAnsi="WP TypographicSymbols"/>
        </w:rPr>
        <w:t>A</w:t>
      </w:r>
      <w:r>
        <w:rPr>
          <w:u w:val="single"/>
        </w:rPr>
        <w:t>Time Value Amount</w:t>
      </w:r>
      <w:r>
        <w:rPr>
          <w:rFonts w:cs="WP TypographicSymbols" w:ascii="WP TypographicSymbols" w:hAnsi="WP TypographicSymbols"/>
        </w:rPr>
        <w:t>@</w:t>
      </w:r>
      <w:r>
        <w:rPr/>
        <w:t xml:space="preserve"> shall have the meaning set forth in Section 3(a)(2).</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t>“</w:t>
      </w:r>
      <w:r>
        <w:rPr>
          <w:u w:val="single"/>
        </w:rPr>
        <w:t>Underpayment Rate</w:t>
      </w:r>
      <w:r>
        <w:rPr/>
        <w:t>” means the interest rate specified in section 6621(a)(2) of the Code and determined as provided in section 6621(b) of the Code but without regard to section 6621(c) of the Code.</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t>2.</w:t>
        <w:tab/>
      </w:r>
      <w:r>
        <w:rPr>
          <w:u w:val="single"/>
        </w:rPr>
        <w:t>Tax Requirements</w:t>
      </w:r>
      <w:r>
        <w:rPr/>
        <w:t>.</w:t>
      </w:r>
      <w:r>
        <w:rPr>
          <w:b/>
        </w:rPr>
        <w:t xml:space="preserve"> </w:t>
      </w:r>
      <w:r>
        <w:rPr/>
        <w:t xml:space="preserve"> It is a condition precedent to Imdemnitor</w:t>
      </w:r>
      <w:r>
        <w:rPr>
          <w:rFonts w:cs="WP TypographicSymbols" w:ascii="WP TypographicSymbols" w:hAnsi="WP TypographicSymbols"/>
        </w:rPr>
        <w:t>=</w:t>
      </w:r>
      <w:r>
        <w:rPr/>
        <w:t>s obligation to indemnify LJM2 under this Agreement that LJM2 and each Relevant Taxpayer shall have complied with the following Tax Requirements:</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1276" w:end="0"/>
        <w:jc w:val="both"/>
        <w:rPr/>
      </w:pPr>
      <w:r>
        <w:rPr/>
        <w:t>(a)</w:t>
        <w:tab/>
        <w:t>It will treat the Company as an entity disregarded as separate from Indemnitor  under Section 301.7701-3 of the Treasury Regulations for federal tax purposes.</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1276" w:end="0"/>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1276" w:end="0"/>
        <w:jc w:val="both"/>
        <w:rPr/>
      </w:pPr>
      <w:r>
        <w:rPr/>
        <w:t>(b)</w:t>
        <w:tab/>
        <w:t>It will treat the Membership Interest of the LJM2 Member as evidence of an indebtedness owed by Indemnitor to LJM2 and not as an interest in a partnership for federal tax purposes.</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1276" w:end="0"/>
        <w:jc w:val="both"/>
        <w:rPr/>
      </w:pPr>
      <w:r>
        <w:rPr/>
        <w:t>(c)</w:t>
        <w:tab/>
        <w:t>It will treat the Distributed Amount as a payment of principal on indebtedness owed by Indemnitor to LJM2 for federal tax purposes.</w:t>
        <w:tab/>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1276" w:end="0"/>
        <w:jc w:val="both"/>
        <w:rPr/>
      </w:pPr>
      <w:r>
        <w:rPr/>
        <w:t>(d)</w:t>
        <w:tab/>
        <w:t>It will prepare and file all tax returns and information returns on a basis consistent with the characterizations set forth in (a), (b) and (c) above and will not take any contrary position on any tax return that is inconsistent with such characterizations.</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t>3.</w:t>
        <w:tab/>
      </w:r>
      <w:r>
        <w:rPr>
          <w:u w:val="single"/>
        </w:rPr>
        <w:t>Indemnification</w:t>
      </w:r>
      <w:r>
        <w:rPr/>
        <w:t>.</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1276" w:end="0"/>
        <w:jc w:val="both"/>
        <w:rPr/>
      </w:pPr>
      <w:r>
        <w:rPr/>
        <w:t>(a)</w:t>
        <w:tab/>
      </w:r>
      <w:r>
        <w:rPr>
          <w:u w:val="single"/>
        </w:rPr>
        <w:t>Obligation</w:t>
      </w:r>
      <w:r>
        <w:rPr/>
        <w:t xml:space="preserve">.  </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1996" w:end="0"/>
        <w:jc w:val="both"/>
        <w:rPr/>
      </w:pPr>
      <w:r>
        <w:rPr/>
        <w:t>(1)</w:t>
        <w:tab/>
      </w:r>
      <w:r>
        <w:rPr>
          <w:u w:val="single"/>
        </w:rPr>
        <w:t>Indemnifiable Event</w:t>
      </w:r>
      <w:r>
        <w:rPr/>
        <w:t xml:space="preserve">.  If there is a Final Determination to the effect that the Distributed Amount is includible in income for federal income tax purposes for one or more Inclusion Years (an </w:t>
      </w:r>
      <w:r>
        <w:rPr>
          <w:rFonts w:cs="WP TypographicSymbols" w:ascii="WP TypographicSymbols" w:hAnsi="WP TypographicSymbols"/>
        </w:rPr>
        <w:t>A</w:t>
      </w:r>
      <w:r>
        <w:rPr/>
        <w:t>Indemnifiable Event</w:t>
      </w:r>
      <w:r>
        <w:rPr>
          <w:rFonts w:cs="WP TypographicSymbols" w:ascii="WP TypographicSymbols" w:hAnsi="WP TypographicSymbols"/>
        </w:rPr>
        <w:t>@</w:t>
      </w:r>
      <w:r>
        <w:rPr/>
        <w:t>), Indemnitor shall be obligated, in accordance with the terms of this Agreement, to pay to LJM2 such amount as, on an After-Tax Basis, shall be equal to the Indemnity Amount.</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1996" w:end="0"/>
        <w:jc w:val="both"/>
        <w:rPr/>
      </w:pPr>
      <w:r>
        <w:rPr/>
        <w:t>(2)</w:t>
        <w:tab/>
      </w:r>
      <w:r>
        <w:rPr>
          <w:u w:val="single"/>
        </w:rPr>
        <w:t>Indemnity Amount</w:t>
      </w:r>
      <w:r>
        <w:rPr/>
        <w:t>.  The Indemnity Amount shall be determined as follows:</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2716" w:end="0"/>
        <w:jc w:val="both"/>
        <w:rPr/>
      </w:pPr>
      <w:r>
        <w:rPr/>
        <w:t>(i)</w:t>
        <w:tab/>
        <w:t>For any Inclusion Year in which the Distributed Amount (or portion thereof) is so included in income, multiply the Distributed Amount (or such portion thereof) by the Tax Rate.</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2716" w:end="0"/>
        <w:jc w:val="both"/>
        <w:rPr/>
      </w:pPr>
      <w:r>
        <w:rPr/>
        <w:t>(ii)</w:t>
        <w:tab/>
        <w:t xml:space="preserve">For each Inclusion Year in which the Distributed Amount (or portion thereof) is so included in income, compute an amount equal to interest at the Underpayment Rate on the amount determined in (i) above for the period from April 15th of the year following such Inclusion Year to the earlier of April 15th of the year following the Dissolution Year or the Payment Date (the </w:t>
      </w:r>
      <w:r>
        <w:rPr>
          <w:rFonts w:cs="WP TypographicSymbols" w:ascii="WP TypographicSymbols" w:hAnsi="WP TypographicSymbols"/>
        </w:rPr>
        <w:t>A</w:t>
      </w:r>
      <w:r>
        <w:rPr/>
        <w:t>Time Value Amount</w:t>
      </w:r>
      <w:r>
        <w:rPr>
          <w:rFonts w:cs="WP TypographicSymbols" w:ascii="WP TypographicSymbols" w:hAnsi="WP TypographicSymbols"/>
        </w:rPr>
        <w:t>@</w:t>
      </w:r>
      <w:r>
        <w:rPr/>
        <w:t xml:space="preserve">).  </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2716" w:end="0"/>
        <w:jc w:val="both"/>
        <w:rPr/>
      </w:pPr>
      <w:r>
        <w:rPr/>
        <w:t>(iii)</w:t>
        <w:tab/>
        <w:t>For each Inclusion Year in which the Distributed Amount (or portion thereof) is so included in income, compute an amount (if any) equal to interest at the Interest Rate on the Time Value Amount with respect to such Inclusion Year for the period (if any) from April 15th of the year following the Dissolution Year to the Payment Date.</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2716" w:end="0"/>
        <w:jc w:val="both"/>
        <w:rPr/>
      </w:pPr>
      <w:r>
        <w:rPr/>
        <w:t>(iv)</w:t>
        <w:tab/>
        <w:t xml:space="preserve">Add together the amounts determined in (ii) and (iii) above with respect to all Inclusion Years.  The result is the </w:t>
      </w:r>
      <w:r>
        <w:rPr>
          <w:rFonts w:cs="WP TypographicSymbols" w:ascii="WP TypographicSymbols" w:hAnsi="WP TypographicSymbols"/>
        </w:rPr>
        <w:t>A</w:t>
      </w:r>
      <w:r>
        <w:rPr/>
        <w:t>Indemnity Amount</w:t>
      </w:r>
      <w:r>
        <w:rPr>
          <w:rFonts w:cs="WP TypographicSymbols" w:ascii="WP TypographicSymbols" w:hAnsi="WP TypographicSymbols"/>
        </w:rPr>
        <w:t>@</w:t>
      </w:r>
      <w:r>
        <w:rPr/>
        <w:t>.</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1276" w:end="0"/>
        <w:jc w:val="both"/>
        <w:rPr/>
      </w:pPr>
      <w:r>
        <w:rPr/>
        <w:t>(b)</w:t>
        <w:tab/>
      </w:r>
      <w:r>
        <w:rPr>
          <w:u w:val="single"/>
        </w:rPr>
        <w:t>Date for Payment</w:t>
      </w:r>
      <w:r>
        <w:rPr/>
        <w:t>.  The amount payable by  Indemnitor pursuant to Section 3(a) shall be paid 10 Business Days after the date of a Final Determination with respect to the Indemnifiable Event.</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t>4.</w:t>
        <w:tab/>
      </w:r>
      <w:r>
        <w:rPr>
          <w:u w:val="single"/>
        </w:rPr>
        <w:t>Excluded Events</w:t>
      </w:r>
      <w:r>
        <w:rPr/>
        <w:t>.  Notwithstanding the foregoing, Indemnitor shall not be liable to LJM2 for indemnification under Section 3 if:</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1276" w:end="0"/>
        <w:jc w:val="both"/>
        <w:rPr/>
      </w:pPr>
      <w:r>
        <w:rPr/>
        <w:t>(a)</w:t>
        <w:tab/>
        <w:t xml:space="preserve">any of the Tax Requirements has not been fulfilled by LJM2 or a Relevant Taxpayer; or </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1276" w:end="0"/>
        <w:jc w:val="both"/>
        <w:rPr/>
      </w:pPr>
      <w:r>
        <w:rPr/>
        <w:t>(b)</w:t>
        <w:tab/>
        <w:t>LJM2 or a Relevant Taxpayer fails to take timely action in contesting a claim made by the IRS or other applicable taxing authority if required to take such action pursuant to Section 5.</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t>5.</w:t>
        <w:tab/>
      </w:r>
      <w:r>
        <w:rPr>
          <w:u w:val="single"/>
        </w:rPr>
        <w:t>Contests; Records</w:t>
      </w:r>
      <w:r>
        <w:rPr/>
        <w:t>.</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1276" w:end="0"/>
        <w:jc w:val="both"/>
        <w:rPr/>
      </w:pPr>
      <w:r>
        <w:rPr/>
        <w:t>(a)</w:t>
        <w:tab/>
      </w:r>
      <w:r>
        <w:rPr>
          <w:u w:val="single"/>
        </w:rPr>
        <w:t>Notice of Claim</w:t>
      </w:r>
      <w:r>
        <w:rPr/>
        <w:t>.  If LJM2 or any Relevant Taxpayer receives written notice (including in the form of a proposed Revenue Agent</w:t>
      </w:r>
      <w:r>
        <w:rPr>
          <w:rFonts w:cs="WP TypographicSymbols" w:ascii="WP TypographicSymbols" w:hAnsi="WP TypographicSymbols"/>
        </w:rPr>
        <w:t>=</w:t>
      </w:r>
      <w:r>
        <w:rPr/>
        <w:t>s Report) of any action by the IRS or other taxing authority that, if successful, could result in an Indemnifiable Event, LJM2 shall promptly notify Indemnitor in writing of such claim.</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1276" w:end="0"/>
        <w:jc w:val="both"/>
        <w:rPr/>
      </w:pPr>
      <w:r>
        <w:rPr/>
        <w:t>(b)</w:t>
        <w:tab/>
      </w:r>
      <w:r>
        <w:rPr>
          <w:u w:val="single"/>
        </w:rPr>
        <w:t>Agreement to Contest</w:t>
      </w:r>
      <w:r>
        <w:rPr/>
        <w:t>.  Except as set forth in Section 5(d) and provided the conditions set forth in Section 5(c) are satisfied, LJM2 agrees to contest (or join in contesting) in good faith such claim or proposed action and agrees not to settle such claim without the written approval of Indemnitor.  The conduct of the contest shall be controlled by LJM2 (or such other Person as LJM2 shall have designated), subject to Indemnitor</w:t>
      </w:r>
      <w:r>
        <w:rPr>
          <w:rFonts w:cs="WP TypographicSymbols" w:ascii="WP TypographicSymbols" w:hAnsi="WP TypographicSymbols"/>
        </w:rPr>
        <w:t>=</w:t>
      </w:r>
      <w:r>
        <w:rPr/>
        <w:t>s right of involvement set forth in this Section 5.</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keepNext w:val="true"/>
        <w:keepLines/>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1282" w:end="0"/>
        <w:jc w:val="both"/>
        <w:rPr/>
      </w:pPr>
      <w:r>
        <w:rPr/>
        <w:t>(c)</w:t>
        <w:tab/>
      </w:r>
      <w:r>
        <w:rPr>
          <w:u w:val="single"/>
        </w:rPr>
        <w:t>Conditions to Indemnified Party's Obligation to Contest and Not Settle</w:t>
      </w:r>
      <w:r>
        <w:rPr/>
        <w:t>.</w:t>
      </w:r>
    </w:p>
    <w:p>
      <w:pPr>
        <w:pStyle w:val="Normal"/>
        <w:keepNext w:val="true"/>
        <w:keepLines/>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t xml:space="preserve"> </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1996" w:end="0"/>
        <w:jc w:val="both"/>
        <w:rPr/>
      </w:pPr>
      <w:r>
        <w:rPr/>
        <w:t>(1)</w:t>
        <w:tab/>
        <w:t>Indemnitor shall have paid, on an After-Tax Basis, all reasonable out-of-pocket expenses (including attorney</w:t>
      </w:r>
      <w:r>
        <w:rPr>
          <w:rFonts w:cs="WP TypographicSymbols" w:ascii="WP TypographicSymbols" w:hAnsi="WP TypographicSymbols"/>
        </w:rPr>
        <w:t>=</w:t>
      </w:r>
      <w:r>
        <w:rPr/>
        <w:t>s fees and expenses) that LJM2 shall incur in connection with contesting such action or proposed action; and</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1996" w:end="0"/>
        <w:jc w:val="both"/>
        <w:rPr/>
      </w:pPr>
      <w:r>
        <w:rPr/>
        <w:t>(2)</w:t>
        <w:tab/>
        <w:t>the Indemnity Amount that would be payable hereunder (which shall include prospective exposure in future tax years attributable to the position being challenged) shall exceed U.S. $50,000.</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1276" w:end="0"/>
        <w:jc w:val="both"/>
        <w:rPr/>
      </w:pPr>
      <w:r>
        <w:rPr/>
        <w:t>(d)</w:t>
        <w:tab/>
      </w:r>
      <w:r>
        <w:rPr>
          <w:u w:val="single"/>
        </w:rPr>
        <w:t>Suits for Refund</w:t>
      </w:r>
      <w:r>
        <w:rPr/>
        <w:t>.  If LJM2 or its tax matters partner shall determine to pay the tax claimed and sue for a refund, Indemnitor must, to the extent necessary for the contest to proceed, promptly advance to LJM2 on an interest-free basis sufficient funds to pay the tax payable with respect thereto.</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1276" w:end="0"/>
        <w:jc w:val="both"/>
        <w:rPr/>
      </w:pPr>
      <w:r>
        <w:rPr/>
        <w:t>(e)</w:t>
        <w:tab/>
      </w:r>
      <w:r>
        <w:rPr>
          <w:u w:val="single"/>
        </w:rPr>
        <w:t>Supreme Court Appeals</w:t>
      </w:r>
      <w:r>
        <w:rPr/>
        <w:t>.  Notwithstanding any other provision of this Section 5, no appeal to the Supreme Court of the United States shall be required in contesting a tax claim or proposed action hereunder.</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1276" w:end="0"/>
        <w:jc w:val="both"/>
        <w:rPr/>
      </w:pPr>
      <w:r>
        <w:rPr/>
        <w:t>(f)</w:t>
        <w:tab/>
      </w:r>
      <w:r>
        <w:rPr>
          <w:u w:val="single"/>
        </w:rPr>
        <w:t>Time at Which Obligations Operative</w:t>
      </w:r>
      <w:r>
        <w:rPr/>
        <w:t>.  In any circumstance where judicial review shall be unavailable, Indemnitor</w:t>
      </w:r>
      <w:r>
        <w:rPr>
          <w:rFonts w:cs="WP TypographicSymbols" w:ascii="WP TypographicSymbols" w:hAnsi="WP TypographicSymbols"/>
        </w:rPr>
        <w:t>=</w:t>
      </w:r>
      <w:r>
        <w:rPr/>
        <w:t>s right to cause a contest hereunder, and LJM2's obligation to contest hereunder, shall become operative at the earliest time such a contest may, pursuant to law, be initiated, provided that Indemnitor has then satisfied all of the necessary preconditions to the exercise of its contest rights.</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1276" w:end="0"/>
        <w:jc w:val="both"/>
        <w:rPr/>
      </w:pPr>
      <w:r>
        <w:rPr/>
        <w:t>(g)</w:t>
        <w:tab/>
      </w:r>
      <w:r>
        <w:rPr>
          <w:u w:val="single"/>
        </w:rPr>
        <w:t>Records and Participation</w:t>
      </w:r>
      <w:r>
        <w:rPr/>
        <w:t>.  LJM2 shall provide Indemnitor with all documents and information related to the contest as may be reasonably requested by Indemnitor, shall keep Indemnitor fully informed, and will consult in good faith with (and consider in good faith suggestions by) Indemnitor and its counsel regarding relevant aspects of the progress and nature of any such contest, provided that nothing in this Agreement shall require LJM2 to provide Indemnitor with its or any Relevant Taxpayer</w:t>
      </w:r>
      <w:r>
        <w:rPr>
          <w:rFonts w:cs="WP TypographicSymbols" w:ascii="WP TypographicSymbols" w:hAnsi="WP TypographicSymbols"/>
        </w:rPr>
        <w:t>=</w:t>
      </w:r>
      <w:r>
        <w:rPr/>
        <w:t>s tax returns.</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t>6.</w:t>
        <w:tab/>
      </w:r>
      <w:r>
        <w:rPr>
          <w:u w:val="single"/>
        </w:rPr>
        <w:t>Notices</w:t>
      </w:r>
      <w:r>
        <w:rPr/>
        <w:t>.  All notices and other communications shall be given in the manner, to the respective addresses, and shall become effective as provided in the LLC Agreement except to the extent otherwise expressly provided herein.</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t>7.</w:t>
        <w:tab/>
      </w:r>
      <w:r>
        <w:rPr>
          <w:u w:val="single"/>
        </w:rPr>
        <w:t>Assignment</w:t>
      </w:r>
      <w:r>
        <w:rPr/>
        <w:t xml:space="preserve">.  The obligations and liabilities of Indemnitor and LJM2 arising under this Agreement are expressly made only for the benefit of, and shall be enforceable only by, Indemnitor and LJM2, respectively.  </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t>8.</w:t>
        <w:tab/>
      </w:r>
      <w:r>
        <w:rPr>
          <w:u w:val="single"/>
        </w:rPr>
        <w:t>Survival</w:t>
      </w:r>
      <w:r>
        <w:rPr/>
        <w:t>.  The obligations, rights and liabilities of Indemnitor and LJM2 hereunder shall continue in full force and effect notwithstanding the dissolution, liquidation or termination of the Company.</w:t>
      </w:r>
      <w:r>
        <w:rPr>
          <w:b/>
        </w:rPr>
        <w:t xml:space="preserve"> </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b/>
        </w:rPr>
      </w:pPr>
      <w:r>
        <w:rPr>
          <w:b/>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t>9.</w:t>
        <w:tab/>
      </w:r>
      <w:r>
        <w:rPr>
          <w:u w:val="single"/>
        </w:rPr>
        <w:t>Method of Payment</w:t>
      </w:r>
      <w:r>
        <w:rPr/>
        <w:t>.  All payments to be made to a party pursuant to this Agreement shall be made in United States Dollars by wire transfer to such bank account of such party as such party from time to time shall have directed in writing at least 5 Business Days prior to the due date thereof.</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t>10.</w:t>
        <w:tab/>
        <w:t>THE RIGHTS AND OBLIGATIONS OF EACH OF THE PARTIES UNDER THIS AGREEMENT SHALL BE GOVERNED BY AND CONSTRUED IN ACCORDANCE WITH THE LAWS OF THE STATE OF TEXAS.</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t>11.</w:t>
        <w:tab/>
      </w:r>
      <w:r>
        <w:rPr>
          <w:u w:val="single"/>
        </w:rPr>
        <w:t>Counterparts</w:t>
      </w:r>
      <w:r>
        <w:rPr/>
        <w:t>.  This Agreement may be executed in any number of counterparts, each of which so executed shall be deemed to be an original, and such counterparts together shall constitute and be one and the same instrument.</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556" w:end="0"/>
        <w:jc w:val="both"/>
        <w:rPr/>
      </w:pPr>
      <w:r>
        <w:rPr/>
        <w:t>12.</w:t>
        <w:tab/>
      </w:r>
      <w:r>
        <w:rPr>
          <w:u w:val="single"/>
        </w:rPr>
        <w:t>Miscellaneous</w:t>
      </w:r>
      <w:r>
        <w:rPr/>
        <w:t>.</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1276" w:end="0"/>
        <w:jc w:val="both"/>
        <w:rPr/>
      </w:pPr>
      <w:r>
        <w:rPr/>
        <w:t>(a)</w:t>
        <w:tab/>
      </w:r>
      <w:r>
        <w:rPr>
          <w:u w:val="single"/>
        </w:rPr>
        <w:t>Severability</w:t>
      </w:r>
      <w:r>
        <w:rPr/>
        <w:t>.  Any provision of this Agreement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 unless the provisions declared prohibited as unenforceable are essential to effectuate the intent of the parties with respect to the Agreement taken as a whole.  To the extent permitted by applicable Law, each of the parties hereto hereby agrees that any provision hereof that renders any other term or provision hereof invalid or unenforceable in any respect shall be modified, but only to the extent necessary to avoid rendering such other term or provision invalid or unenforceable, and such modification shall be accomplished in a manner that most nearly preserves the benefit of the parties' bargains hereunder.</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1276" w:end="0"/>
        <w:jc w:val="both"/>
        <w:rPr/>
      </w:pPr>
      <w:r>
        <w:rPr/>
        <w:t>(b)</w:t>
        <w:tab/>
      </w:r>
      <w:r>
        <w:rPr>
          <w:u w:val="single"/>
        </w:rPr>
        <w:t>Amendments</w:t>
      </w:r>
      <w:r>
        <w:rPr/>
        <w:t>.  Neither this Agreement nor any of the terms hereof may be terminated, amended, supplemented, waived or modified orally, but only by an instrument in writing signed by the party against which the enforcement of the termination, amendment, supplement, waiver or modification is sought.</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1276" w:end="0"/>
        <w:jc w:val="both"/>
        <w:rPr/>
      </w:pPr>
      <w:r>
        <w:rPr/>
        <w:t>(c)</w:t>
        <w:tab/>
      </w:r>
      <w:r>
        <w:rPr>
          <w:u w:val="single"/>
        </w:rPr>
        <w:t>Headings</w:t>
      </w:r>
      <w:r>
        <w:rPr/>
        <w:t>.  The section and paragraph headings in this Agreement are for convenience of reference only and shall not modify, define, expand or limit any of the terms or provisions hereof.</w:t>
      </w:r>
      <w:r>
        <w:br w:type="page"/>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1276" w:end="0"/>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4156" w:end="0"/>
        <w:jc w:val="both"/>
        <w:rPr/>
      </w:pPr>
      <w:r>
        <w:rPr/>
        <w:t>ENRON CORP.</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right" w:pos="9360" w:leader="none"/>
        </w:tabs>
        <w:ind w:firstLine="4156" w:end="0"/>
        <w:jc w:val="both"/>
        <w:rPr/>
      </w:pPr>
      <w:r>
        <w:rPr/>
        <w:t>By:</w:t>
        <w:tab/>
      </w:r>
      <w:r>
        <w:rPr>
          <w:strike/>
        </w:rPr>
        <w:t>_____________________</w:t>
      </w:r>
      <w:r>
        <w:rPr>
          <w:b/>
          <w:u w:val="double"/>
        </w:rPr>
        <w:t>____________________________________</w:t>
      </w:r>
      <w:r>
        <w:rPr/>
        <w:tab/>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right" w:pos="9360" w:leader="none"/>
        </w:tabs>
        <w:ind w:firstLine="4876" w:end="0"/>
        <w:jc w:val="both"/>
        <w:rPr/>
      </w:pPr>
      <w:r>
        <w:rPr/>
        <w:t>Name:</w:t>
        <w:tab/>
        <w:tab/>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right" w:pos="9360" w:leader="none"/>
        </w:tabs>
        <w:ind w:firstLine="4876" w:end="0"/>
        <w:jc w:val="both"/>
        <w:rPr/>
      </w:pPr>
      <w:r>
        <w:rPr/>
        <w:t>Title:</w:t>
        <w:tab/>
        <w:tab/>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r>
        <w:br w:type="page"/>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4156" w:end="0"/>
        <w:jc w:val="both"/>
        <w:rPr/>
      </w:pPr>
      <w:r>
        <w:rPr/>
        <w:t>LJM2-</w:t>
      </w:r>
      <w:r>
        <w:rPr>
          <w:strike/>
        </w:rPr>
        <w:t>TIMBERWOLF</w:t>
      </w:r>
      <w:r>
        <w:rPr/>
        <w:t xml:space="preserve"> </w:t>
      </w:r>
      <w:r>
        <w:rPr>
          <w:b/>
          <w:u w:val="double"/>
        </w:rPr>
        <w:t>BOBCAT</w:t>
      </w:r>
      <w:r>
        <w:rPr/>
        <w:t>, LLC</w:t>
      </w:r>
    </w:p>
    <w:p>
      <w:pPr>
        <w:pStyle w:val="Norma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ind w:firstLine="4156" w:end="0"/>
        <w:jc w:val="both"/>
        <w:rPr/>
      </w:pPr>
      <w:r>
        <w:rPr/>
      </w:r>
    </w:p>
    <w:p>
      <w:pPr>
        <w:pStyle w:val="Normal"/>
        <w:keepNext w:val="true"/>
        <w:keepLines/>
        <w:jc w:val="both"/>
        <w:rPr/>
      </w:pPr>
      <w:r>
        <w:rPr/>
        <w:tab/>
        <w:tab/>
        <w:tab/>
        <w:tab/>
        <w:tab/>
        <w:tab/>
        <w:t>LJM2 Co-Investment, L.P., its managing member</w:t>
      </w:r>
    </w:p>
    <w:p>
      <w:pPr>
        <w:pStyle w:val="Normal"/>
        <w:keepNext w:val="true"/>
        <w:keepLines/>
        <w:jc w:val="both"/>
        <w:rPr/>
      </w:pPr>
      <w:r>
        <w:rPr/>
      </w:r>
    </w:p>
    <w:p>
      <w:pPr>
        <w:pStyle w:val="Normal"/>
        <w:keepNext w:val="true"/>
        <w:keepLines/>
        <w:jc w:val="both"/>
        <w:rPr/>
      </w:pPr>
      <w:r>
        <w:rPr/>
        <w:tab/>
        <w:tab/>
        <w:tab/>
        <w:tab/>
        <w:tab/>
        <w:tab/>
        <w:t>By:</w:t>
        <w:tab/>
        <w:t>LJM2 Capital Management, L.P.,</w:t>
      </w:r>
    </w:p>
    <w:p>
      <w:pPr>
        <w:pStyle w:val="Normal"/>
        <w:keepNext w:val="true"/>
        <w:keepLines/>
        <w:jc w:val="both"/>
        <w:rPr/>
      </w:pPr>
      <w:r>
        <w:rPr/>
        <w:tab/>
        <w:tab/>
        <w:tab/>
        <w:tab/>
        <w:tab/>
        <w:tab/>
        <w:tab/>
        <w:t>its general partner</w:t>
      </w:r>
    </w:p>
    <w:p>
      <w:pPr>
        <w:pStyle w:val="Normal"/>
        <w:keepNext w:val="true"/>
        <w:keepLines/>
        <w:jc w:val="both"/>
        <w:rPr/>
      </w:pPr>
      <w:r>
        <w:rPr/>
      </w:r>
    </w:p>
    <w:p>
      <w:pPr>
        <w:pStyle w:val="Normal"/>
        <w:keepNext w:val="true"/>
        <w:keepLines/>
        <w:jc w:val="both"/>
        <w:rPr/>
      </w:pPr>
      <w:r>
        <w:rPr/>
        <w:tab/>
        <w:tab/>
        <w:tab/>
        <w:tab/>
        <w:tab/>
        <w:tab/>
        <w:t>By:</w:t>
        <w:tab/>
        <w:t>LJM2 Capital Management, LLC,</w:t>
      </w:r>
    </w:p>
    <w:p>
      <w:pPr>
        <w:pStyle w:val="Normal"/>
        <w:keepNext w:val="true"/>
        <w:keepLines/>
        <w:jc w:val="both"/>
        <w:rPr/>
      </w:pPr>
      <w:r>
        <w:rPr/>
        <w:tab/>
        <w:tab/>
        <w:tab/>
        <w:tab/>
        <w:tab/>
        <w:tab/>
        <w:tab/>
        <w:t>its general partner</w:t>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tab/>
        <w:tab/>
        <w:tab/>
        <w:tab/>
        <w:tab/>
        <w:tab/>
        <w:t xml:space="preserve">By: </w:t>
        <w:tab/>
        <w:t>_____________________________</w:t>
      </w:r>
    </w:p>
    <w:p>
      <w:pPr>
        <w:pStyle w:val="Normal"/>
        <w:keepNext w:val="true"/>
        <w:keepLines/>
        <w:jc w:val="both"/>
        <w:rPr/>
      </w:pPr>
      <w:r>
        <w:rPr/>
        <w:tab/>
        <w:tab/>
        <w:tab/>
        <w:tab/>
        <w:tab/>
        <w:tab/>
        <w:t xml:space="preserve">Name:  </w:t>
      </w:r>
    </w:p>
    <w:p>
      <w:pPr>
        <w:pStyle w:val="Normal"/>
        <w:keepNext w:val="true"/>
        <w:keepLines/>
        <w:jc w:val="both"/>
        <w:rPr/>
      </w:pPr>
      <w:r>
        <w:rPr/>
        <w:tab/>
        <w:tab/>
        <w:tab/>
        <w:tab/>
        <w:tab/>
        <w:tab/>
        <w:t>Title:</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t>------------------ COMPARISON OF FOOTERS ------------------</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t>-FOOTER 1-</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strike/>
        </w:rPr>
        <w:t>1</w:t>
      </w:r>
      <w:r>
        <w:rPr/>
        <w:t xml:space="preserve"> </w:t>
      </w:r>
      <w:r>
        <w:rPr>
          <w:b/>
          <w:u w:val="double"/>
        </w:rPr>
        <w:t>7</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pPr>
      <w:r>
        <w:rPr/>
        <w:t xml:space="preserve">Houston: </w:t>
      </w:r>
      <w:r>
        <w:rPr>
          <w:strike/>
        </w:rPr>
        <w:t>245790</w:t>
      </w:r>
      <w:r>
        <w:rPr/>
        <w:t xml:space="preserve"> </w:t>
      </w:r>
      <w:r>
        <w:rPr>
          <w:b/>
          <w:u w:val="double"/>
        </w:rPr>
        <w:t>307952</w:t>
      </w:r>
      <w:r>
        <w:rPr/>
        <w:t xml:space="preserve"> v </w:t>
      </w:r>
      <w:r>
        <w:rPr>
          <w:strike/>
        </w:rPr>
        <w:t>3</w:t>
      </w:r>
      <w:r>
        <w:rPr/>
        <w:t xml:space="preserve"> </w:t>
      </w:r>
      <w:r>
        <w:rPr>
          <w:b/>
          <w:u w:val="double"/>
        </w:rPr>
        <w:t>2</w:t>
      </w:r>
    </w:p>
    <w:p>
      <w:pPr>
        <w:pStyle w:val="Normal"/>
        <w:widowControl/>
        <w:tabs>
          <w:tab w:val="clear" w:pos="720"/>
          <w:tab w:val="left" w:pos="-1440" w:leader="none"/>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s>
        <w:jc w:val="both"/>
        <w:rPr>
          <w:b/>
          <w:u w:val="double"/>
        </w:rPr>
      </w:pPr>
      <w:r>
        <w:rPr>
          <w:b/>
          <w:u w:val="double"/>
        </w:rPr>
        <w:t>D</w:t>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r>
  </w:p>
  <w:p>
    <w:pPr>
      <w:pStyle w:val="Normal"/>
      <w:rPr>
        <w:sz w:val="16"/>
      </w:rPr>
    </w:pPr>
    <w:r>
      <w:rPr>
        <w:sz w:val="16"/>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4235" cy="160655"/>
              <wp:effectExtent l="0" t="0" r="0" b="0"/>
              <wp:wrapTopAndBottom/>
              <wp:docPr id="1" name="Frame1"/>
              <a:graphic xmlns:a="http://schemas.openxmlformats.org/drawingml/2006/main">
                <a:graphicData uri="http://schemas.microsoft.com/office/word/2010/wordprocessingShape">
                  <wps:wsp>
                    <wps:cNvSpPr txBox="1"/>
                    <wps:spPr>
                      <a:xfrm>
                        <a:off x="0" y="0"/>
                        <a:ext cx="5944235" cy="160655"/>
                      </a:xfrm>
                      <a:prstGeom prst="rect"/>
                      <a:solidFill>
                        <a:srgbClr val="FFFFFF">
                          <a:alpha val="0"/>
                        </a:srgbClr>
                      </a:solidFill>
                    </wps:spPr>
                    <wps:txbx>
                      <w:txbxContent>
                        <w:p>
                          <w:pPr>
                            <w:pStyle w:val="Normal"/>
                            <w:jc w:val="center"/>
                            <w:rPr>
                              <w:sz w:val="22"/>
                            </w:rPr>
                          </w:pPr>
                          <w:r>
                            <w:rPr>
                              <w:sz w:val="22"/>
                            </w:rPr>
                            <w:fldChar w:fldCharType="begin"/>
                          </w:r>
                          <w:r>
                            <w:rPr>
                              <w:sz w:val="22"/>
                            </w:rPr>
                            <w:instrText xml:space="preserve"> PAGE </w:instrText>
                          </w:r>
                          <w:r>
                            <w:rPr>
                              <w:sz w:val="22"/>
                            </w:rPr>
                            <w:fldChar w:fldCharType="separate"/>
                          </w:r>
                          <w:r>
                            <w:rPr>
                              <w:sz w:val="22"/>
                            </w:rPr>
                            <w:t>8</w:t>
                          </w:r>
                          <w:r>
                            <w:rPr>
                              <w:sz w:val="22"/>
                            </w:rPr>
                            <w:fldChar w:fldCharType="end"/>
                          </w:r>
                        </w:p>
                      </w:txbxContent>
                    </wps:txbx>
                    <wps:bodyPr anchor="t" lIns="0" tIns="0" rIns="0" bIns="0">
                      <a:noAutofit/>
                    </wps:bodyPr>
                  </wps:wsp>
                </a:graphicData>
              </a:graphic>
            </wp:anchor>
          </w:drawing>
        </mc:Choice>
        <mc:Fallback>
          <w:pict>
            <v:rect fillcolor="#FFFFFF" style="position:absolute;rotation:-0;width:468.05pt;height:12.6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sz w:val="22"/>
                      </w:rPr>
                    </w:pPr>
                    <w:r>
                      <w:rPr>
                        <w:sz w:val="22"/>
                      </w:rPr>
                      <w:fldChar w:fldCharType="begin"/>
                    </w:r>
                    <w:r>
                      <w:rPr>
                        <w:sz w:val="22"/>
                      </w:rPr>
                      <w:instrText xml:space="preserve"> PAGE </w:instrText>
                    </w:r>
                    <w:r>
                      <w:rPr>
                        <w:sz w:val="22"/>
                      </w:rPr>
                      <w:fldChar w:fldCharType="separate"/>
                    </w:r>
                    <w:r>
                      <w:rPr>
                        <w:sz w:val="22"/>
                      </w:rPr>
                      <w:t>8</w:t>
                    </w:r>
                    <w:r>
                      <w:rPr>
                        <w:sz w:val="22"/>
                      </w:rPr>
                      <w:fldChar w:fldCharType="end"/>
                    </w:r>
                  </w:p>
                </w:txbxContent>
              </v:textbox>
              <w10:wrap type="topAndBottom"/>
            </v:rect>
          </w:pict>
        </mc:Fallback>
      </mc:AlternateContent>
    </w:r>
  </w:p>
  <w:p>
    <w:pPr>
      <w:pStyle w:val="Normal"/>
      <w:rPr>
        <w:sz w:val="16"/>
      </w:rPr>
    </w:pPr>
    <w:r>
      <w:rPr>
        <w:sz w:val="16"/>
      </w:rPr>
    </w:r>
  </w:p>
  <w:p>
    <w:pPr>
      <w:pStyle w:val="Normal"/>
      <w:rPr>
        <w:sz w:val="16"/>
      </w:rPr>
    </w:pPr>
    <w:r>
      <w:rPr>
        <w:sz w:val="16"/>
      </w:rPr>
      <w:t>Houston:307952 v 2</w:t>
    </w:r>
  </w:p>
</w:ftr>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2000-08-28T16:09:00Z</dcterms:created>
  <dc:creator>Vinson &amp; Elkins L.L.P.</dc:creator>
  <dc:description/>
  <dc:language>en-CA</dc:language>
  <cp:lastModifiedBy>Vinson &amp; Elkins L.L.P.</cp:lastModifiedBy>
  <cp:lastPrinted>2000-08-28T13:04:00Z</cp:lastPrinted>
  <dcterms:modified xsi:type="dcterms:W3CDTF">2000-08-28T16:09:00Z</dcterms:modified>
  <cp:revision>2</cp:revision>
  <dc:subject/>
  <dc:title>EXECUTION COPY</dc:title>
</cp:coreProperties>
</file>