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Dow Jones News Service</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Edison International Faces Securities Fraud Suit Filed By Holders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10/31/2000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Dow Jones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(Copyright (c) 2000, Dow Jones&amp;Company, Inc.)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HUNTINGTON BEACH, Calif. -(Dow Jones)- Edison International (EIX) shareholders filed a securities fraud lawsuit against the company and its Southern California Edison Co. unit.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In a press release, attorneys for the plaintiffs said the complaint alleges "massive" over-reporting by Edison, up to $2.36 billion of revenue in its second and third quarter financial statements this year.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complaint also alleges that Edison actually had a loss of $1.75 billion for the nine-month period, rather than earnings of $606 million which it reported for the period. The complaint charges that the company deviated from generally accepted accounting principles and applicable financial accounting standards.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According to the plaintiffs, the Southern California Edison unit purchased electricity at "double or triple the price it can sell it for" under a rate freeze required under California's electricity deregulation law. Edison essentially accounted for this $2.36 billion in "undercollections" as revenue on its income and balance sheets, even though this amount has not been billed by Edison to its customers and is not billable by Edison under state law.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A spokesperson for Edison wasn't immediately available for comment.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-Sam Favate; Dow Jones Newswires; 201-938-5400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97</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2000-10-31T12:59:00Z</dcterms:created>
  <dc:creator>mbuster</dc:creator>
  <dc:description/>
  <dc:language>en-CA</dc:language>
  <cp:lastModifiedBy>mbuster</cp:lastModifiedBy>
  <dcterms:modified xsi:type="dcterms:W3CDTF">2000-10-31T13:01:00Z</dcterms:modified>
  <cp:revision>1</cp:revision>
  <dc:subject/>
  <dc:title>Dow Jones News Service</dc:title>
</cp:coreProperties>
</file>