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____________________, 199__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[address]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Ladies and Gentlemen: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I am Managing Director and General Counsel of Enron Capital &amp; Trade Resources Corp. ("ECT"); in that capacity, I am familiar with the certificate of incorporation and bylaws of ECT.  This opinion letter is furnished to you pursuant to that certain [ISDA] Master Agreement between ECT and [name of Counterparty] dated as of ______________, 199__ (the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Before rendering the opinion hereinafter set forth, I (or other attorneys in the Enron Legal Department) examined the Agreement, and I (or such other attorneys) examined and relied upon original or photostatic or certified copies of such corporate records, certificates of officers of ECT and of public officials, and such agreements, documents, and instruments as I (or such other attorneys) have deemed relevant and necessary as the basis for the opinions hereinafter expressed.  In such examination, I (or such other attorneys) assumed the genuineness of all signatures (other than those of ECT) and the authenticity of all documents submitted to me (or such attorneys) as originals and the conformity to original documents of all documents submitted to me (or such attorneys) as photostatic or certified copies.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Based on the foregoing, and subject to the assumptions, qualifications and explanations set forth herein, I am of the opinion that:</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keepLines/>
        <w:numPr>
          <w:ilvl w:val="0"/>
          <w:numId w:val="1"/>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ECT is a corporation duly incorporated, validly existing and in good standing under the laws of the state of Delaware.</w:t>
      </w:r>
    </w:p>
    <w:p>
      <w:pPr>
        <w:pStyle w:val="Normal"/>
        <w:numPr>
          <w:ilvl w:val="0"/>
          <w:numId w:val="0"/>
        </w:numPr>
        <w:ind w:hanging="720"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
        </w:numPr>
        <w:jc w:val="both"/>
        <w:rPr>
          <w:rFonts w:ascii="Times New Roman" w:hAnsi="Times New Roman" w:cs="Times New Roman"/>
          <w:sz w:val="24"/>
        </w:rPr>
      </w:pPr>
      <w:r>
        <w:rPr>
          <w:rFonts w:cs="Times New Roman" w:ascii="Times New Roman" w:hAnsi="Times New Roman"/>
          <w:sz w:val="24"/>
        </w:rPr>
        <w:t>ECT has been duly qualified as a foreign corporation for the transaction of business and is in good standing under the laws of the States of Texas and New York.</w:t>
      </w:r>
    </w:p>
    <w:p>
      <w:pPr>
        <w:pStyle w:val="Normal"/>
        <w:numPr>
          <w:ilvl w:val="0"/>
          <w:numId w:val="0"/>
        </w:numPr>
        <w:ind w:hanging="720"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
        </w:numPr>
        <w:jc w:val="both"/>
        <w:rPr>
          <w:rFonts w:ascii="Times New Roman" w:hAnsi="Times New Roman" w:cs="Times New Roman"/>
          <w:sz w:val="24"/>
        </w:rPr>
      </w:pPr>
      <w:r>
        <w:rPr>
          <w:rFonts w:cs="Times New Roman" w:ascii="Times New Roman" w:hAnsi="Times New Roman"/>
          <w:sz w:val="24"/>
        </w:rPr>
        <w:t>ECT has full legal right, power, and authority, and has taken all action necessary, to execute, deliver, and perform its obligations under the Agreement and ECT has complied with, and the Agreement and ECT's execution, delivery and performance thereof do not violate or conflict with, the provisions of laws, rules, regulations, constituent instruments, resolutions, guidelines, policies, orders, judgments, decrees, and rulings to which ECT is subject.  The Agreement has been duly executed and delivered by ECT.</w:t>
      </w:r>
    </w:p>
    <w:p>
      <w:pPr>
        <w:pStyle w:val="Normal"/>
        <w:numPr>
          <w:ilvl w:val="0"/>
          <w:numId w:val="0"/>
        </w:numPr>
        <w:tabs>
          <w:tab w:val="center" w:pos="720" w:leader="none"/>
          <w:tab w:val="left" w:pos="1440" w:leader="none"/>
          <w:tab w:val="center" w:pos="216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
        </w:numPr>
        <w:jc w:val="both"/>
        <w:rPr>
          <w:rFonts w:ascii="Times New Roman" w:hAnsi="Times New Roman" w:cs="Times New Roman"/>
          <w:sz w:val="24"/>
        </w:rPr>
      </w:pPr>
      <w:r>
        <w:rPr>
          <w:rFonts w:cs="Times New Roman" w:ascii="Times New Roman" w:hAnsi="Times New Roman"/>
          <w:sz w:val="24"/>
        </w:rPr>
        <w:t>All governmental, public, and regulatory authority approvals, consents, notices, authorizations, registrations, licenses, exemptions, and filings that are required to have been obtained or made by ECT with respect to the authorization, execution, delivery, and performance by, or the enforcement against or by, ECT of the Agreement have been obtained and are in full force and effect, and all conditions of such approvals, consents, notices, authorization, registrations, licenses, exemptions, and filings have been fully complied with.</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enter" w:pos="720" w:leader="none"/>
          <w:tab w:val="center" w:pos="1440" w:leader="none"/>
          <w:tab w:val="center" w:pos="2160" w:leader="none"/>
        </w:tabs>
        <w:jc w:val="both"/>
        <w:rPr>
          <w:rFonts w:ascii="Times New Roman" w:hAnsi="Times New Roman" w:cs="Times New Roman"/>
          <w:sz w:val="24"/>
        </w:rPr>
      </w:pPr>
      <w:r>
        <w:rPr>
          <w:rFonts w:cs="Times New Roman" w:ascii="Times New Roman" w:hAnsi="Times New Roman"/>
          <w:sz w:val="24"/>
        </w:rPr>
        <w:tab/>
        <w:tab/>
        <w:t>The opinions set forth above are subject in all respects to the following qualifications:</w:t>
      </w:r>
    </w:p>
    <w:p>
      <w:pPr>
        <w:pStyle w:val="Normal"/>
        <w:tabs>
          <w:tab w:val="center" w:pos="720" w:leader="none"/>
          <w:tab w:val="center" w:pos="1440" w:leader="none"/>
          <w:tab w:val="center" w:pos="216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2160" w:leader="none"/>
          <w:tab w:val="center" w:pos="2880" w:leader="none"/>
        </w:tabs>
        <w:ind w:hanging="720" w:start="1440" w:end="0"/>
        <w:jc w:val="both"/>
        <w:rPr>
          <w:rFonts w:ascii="Times New Roman" w:hAnsi="Times New Roman" w:cs="Times New Roman"/>
          <w:sz w:val="24"/>
        </w:rPr>
      </w:pPr>
      <w:r>
        <w:rPr>
          <w:rFonts w:cs="Times New Roman" w:ascii="Times New Roman" w:hAnsi="Times New Roman"/>
          <w:sz w:val="24"/>
        </w:rPr>
        <w:t>(a)</w:t>
        <w:tab/>
        <w:t>The opinions expressed herein are as of the date hereof only, and I assume no obligation to update or supplement such opinions to reflect any fact or circumstances that may hereafter come to my attention or any changes in law that may hereafter occur or become effective.</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The opinions expressed herein are limited in all respects to the laws of the State of Texas and the Delaware General Corporation Law.</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This letter is furnished in connection with the Agreement and is solely for your benefit and may not be relied upon in connection with any other transaction or by any person other than you.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5760" w:leader="none"/>
          <w:tab w:val="left" w:pos="6480" w:leader="none"/>
          <w:tab w:val="left" w:pos="7200" w:leader="none"/>
          <w:tab w:val="left" w:pos="7920" w:leader="none"/>
          <w:tab w:val="left" w:pos="8640" w:leader="none"/>
        </w:tabs>
        <w:ind w:start="5040" w:end="0"/>
        <w:jc w:val="both"/>
        <w:rPr>
          <w:sz w:val="24"/>
        </w:rPr>
      </w:pPr>
      <w:r>
        <w:rPr>
          <w:sz w:val="24"/>
        </w:rPr>
        <w:t>Very truly yours,</w:t>
      </w:r>
    </w:p>
    <w:p>
      <w:pPr>
        <w:pStyle w:val="Normal"/>
        <w:tabs>
          <w:tab w:val="left" w:pos="720" w:leader="none"/>
          <w:tab w:val="left" w:pos="1440" w:leader="none"/>
          <w:tab w:val="left" w:pos="2160" w:leader="none"/>
          <w:tab w:val="left" w:pos="2880" w:leader="none"/>
          <w:tab w:val="left" w:pos="3600" w:leader="none"/>
          <w:tab w:val="left" w:pos="5760" w:leader="none"/>
          <w:tab w:val="left" w:pos="6480" w:leader="none"/>
          <w:tab w:val="left" w:pos="7200" w:leader="none"/>
          <w:tab w:val="left" w:pos="7920" w:leader="none"/>
          <w:tab w:val="left" w:pos="8640" w:leader="none"/>
        </w:tabs>
        <w:ind w:start="5040" w:end="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5760" w:leader="none"/>
          <w:tab w:val="left" w:pos="6480" w:leader="none"/>
          <w:tab w:val="left" w:pos="7200" w:leader="none"/>
          <w:tab w:val="left" w:pos="7920" w:leader="none"/>
          <w:tab w:val="left" w:pos="8640" w:leader="none"/>
        </w:tabs>
        <w:ind w:start="5040" w:end="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5760" w:leader="none"/>
          <w:tab w:val="left" w:pos="6480" w:leader="none"/>
          <w:tab w:val="left" w:pos="7200" w:leader="none"/>
          <w:tab w:val="left" w:pos="7920" w:leader="none"/>
          <w:tab w:val="left" w:pos="8640" w:leader="none"/>
        </w:tabs>
        <w:ind w:start="5040" w:end="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5760" w:leader="none"/>
          <w:tab w:val="left" w:pos="6480" w:leader="none"/>
          <w:tab w:val="left" w:pos="7200" w:leader="none"/>
          <w:tab w:val="left" w:pos="7920" w:leader="none"/>
          <w:tab w:val="left" w:pos="8640" w:leader="none"/>
        </w:tabs>
        <w:ind w:start="5040" w:end="0"/>
        <w:jc w:val="both"/>
        <w:rPr>
          <w:sz w:val="24"/>
        </w:rPr>
      </w:pPr>
      <w:r>
        <w:rPr>
          <w:sz w:val="24"/>
        </w:rPr>
        <w:t>Mark E. Haedicke</w:t>
      </w:r>
    </w:p>
    <w:p>
      <w:pPr>
        <w:pStyle w:val="Normal"/>
        <w:tabs>
          <w:tab w:val="clear" w:pos="720"/>
          <w:tab w:val="left" w:pos="3600" w:leader="none"/>
          <w:tab w:val="left" w:pos="5760" w:leader="none"/>
          <w:tab w:val="left" w:pos="6480" w:leader="none"/>
          <w:tab w:val="left" w:pos="7200" w:leader="none"/>
          <w:tab w:val="left" w:pos="7920" w:leader="none"/>
          <w:tab w:val="left" w:pos="8640" w:leader="none"/>
        </w:tabs>
        <w:ind w:start="5040" w:end="0"/>
        <w:jc w:val="both"/>
        <w:rPr>
          <w:sz w:val="24"/>
        </w:rPr>
      </w:pPr>
      <w:r>
        <w:rPr>
          <w:sz w:val="24"/>
        </w:rPr>
        <w:t>Managing Director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start="720" w:end="0"/>
        <w:jc w:val="both"/>
        <w:rPr>
          <w:sz w:val="24"/>
        </w:rPr>
      </w:pPr>
      <w:r>
        <w:rPr>
          <w:sz w:val="24"/>
        </w:rPr>
        <w:t>General Counsel</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/mnt/main-storage/datasets/enron-docs/doc/Ectopn.doc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~WRL1917.tmp</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1999-12-08T14:46:00Z</dcterms:created>
  <dc:creator>tjones</dc:creator>
  <dc:description/>
  <dc:language>en-CA</dc:language>
  <cp:lastModifiedBy>mheard</cp:lastModifiedBy>
  <cp:lastPrinted>1999-12-08T11:16:00Z</cp:lastPrinted>
  <dcterms:modified xsi:type="dcterms:W3CDTF">1999-12-08T14:46:00Z</dcterms:modified>
  <cp:revision>2</cp:revision>
  <dc:subject>December 31, 1991 ; To the Persons Listed;   On Schedule I Hereto; Ladies and Gentlemen:   We have acted as counsel to Cactus Funding Corporation, a corporation organized under the laws of Delaware (the "Company"), in connection with the negotiation, exec</dc:subject>
  <dc:title>December 29, 1994</dc:title>
</cp:coreProperties>
</file>