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4.xlsx" ContentType="application/vnd.openxmlformats-officedocument.spreadsheetml.sheet"/>
  <Override PartName="/word/embeddings/oleObject2.bin" ContentType="application/vnd.openxmlformats-officedocument.oleObject"/>
  <Override PartName="/word/embeddings/oleObject3.docx" ContentType="application/vnd.openxmlformats-officedocument.wordprocessingml.documen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jpeg" ContentType="image/jpeg"/>
  <Override PartName="/word/media/image9.png" ContentType="image/png"/>
  <Override PartName="/word/media/image12.wmf" ContentType="image/x-wmf"/>
  <Override PartName="/word/media/image7.png" ContentType="image/png"/>
  <Override PartName="/word/media/image10.wmf" ContentType="image/x-wmf"/>
  <Override PartName="/word/media/image11.png" ContentType="image/png"/>
  <Override PartName="/word/media/image8.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rPr>
          <w:rFonts w:eastAsia="Garamond" w:cs="Garamond" w:ascii="Garamond" w:hAnsi="Garamond"/>
          <w:emboss/>
          <w:color w:val="000080"/>
          <w:sz w:val="48"/>
        </w:rPr>
        <w:t xml:space="preserve"> </w:t>
      </w:r>
      <w:r>
        <w:rPr>
          <w:rFonts w:cs="Garamond" w:ascii="Garamond" w:hAnsi="Garamond"/>
          <w:color w:val="000080"/>
          <w:sz w:val="40"/>
        </w:rPr>
        <w:t>Enron North America</w:t>
      </w:r>
    </w:p>
    <w:p>
      <w:pPr>
        <w:pStyle w:val="Subtitle"/>
        <w:ind w:start="5040" w:end="0"/>
        <w:jc w:val="end"/>
        <w:rPr>
          <w:rFonts w:ascii="Garamond" w:hAnsi="Garamond" w:cs="Garamond"/>
          <w:color w:val="000080"/>
          <w:sz w:val="40"/>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29.7pt;width:84.2pt;height:86.4pt;mso-wrap-distance-left:9.05pt;mso-wrap-distance-right:9.05pt;mso-position-horizontal-relative:text;mso-position-vertical-relative:text" filled="f" o:ole="">
            <v:imagedata r:id="rId3" o:title=""/>
            <w10:wrap type="tight"/>
          </v:shape>
          <o:OLEObject Type="Embed" ProgID="" ShapeID="ole_rId2" DrawAspect="Content" ObjectID="_101124175" r:id="rId2"/>
        </w:object>
      </w:r>
      <w:r>
        <w:rPr>
          <w:rFonts w:cs="Garamond" w:ascii="Garamond" w:hAnsi="Garamond"/>
          <w:color w:val="000080"/>
          <w:sz w:val="40"/>
        </w:rPr>
        <w:t xml:space="preserve">Competitive Analysis </w:t>
      </w:r>
    </w:p>
    <w:p>
      <w:pPr>
        <w:pStyle w:val="Subtitle"/>
        <w:jc w:val="end"/>
        <w:rPr>
          <w:rFonts w:ascii="Garamond" w:hAnsi="Garamond" w:cs="Garamond"/>
          <w:b/>
          <w:color w:val="000080"/>
          <w:sz w:val="48"/>
        </w:rPr>
      </w:pPr>
      <w:r>
        <w:rPr>
          <w:rFonts w:cs="Garamond" w:ascii="Garamond" w:hAnsi="Garamond"/>
          <w:color w:val="000080"/>
          <w:sz w:val="40"/>
        </w:rPr>
        <w:t>&amp; Business Controls</w:t>
      </w:r>
    </w:p>
    <w:p>
      <w:pPr>
        <w:pStyle w:val="Subtitle"/>
        <w:jc w:val="start"/>
        <w:rPr>
          <w:rFonts w:ascii="Garamond" w:hAnsi="Garamond" w:cs="Garamond"/>
          <w:b/>
          <w:color w:val="000080"/>
          <w:sz w:val="28"/>
        </w:rPr>
      </w:pPr>
      <w:r>
        <w:rPr>
          <w:rFonts w:cs="Garamond" w:ascii="Garamond" w:hAnsi="Garamond"/>
          <w:b/>
          <w:color w:val="000080"/>
          <w:sz w:val="28"/>
        </w:rPr>
      </w:r>
    </w:p>
    <w:p>
      <w:pPr>
        <w:pStyle w:val="BodyText2"/>
        <w:tabs>
          <w:tab w:val="left" w:pos="720" w:leader="none"/>
          <w:tab w:val="left" w:pos="900" w:leader="none"/>
        </w:tabs>
        <w:rPr>
          <w:sz w:val="24"/>
        </w:rPr>
      </w:pPr>
      <w:r>
        <w:rPr>
          <w:sz w:val="24"/>
        </w:rPr>
        <w:t>To:</w:t>
        <w:tab/>
        <w:tab/>
        <w:t>Greg Whalley</w:t>
      </w:r>
    </w:p>
    <w:p>
      <w:pPr>
        <w:pStyle w:val="BodyText2"/>
        <w:tabs>
          <w:tab w:val="left" w:pos="720" w:leader="none"/>
          <w:tab w:val="left" w:pos="900" w:leader="none"/>
        </w:tabs>
        <w:rPr>
          <w:sz w:val="24"/>
        </w:rPr>
      </w:pPr>
      <w:r>
        <w:rPr>
          <w:sz w:val="24"/>
        </w:rPr>
        <w:tab/>
        <w:tab/>
        <w:t>John Sherriff</w:t>
      </w:r>
    </w:p>
    <w:p>
      <w:pPr>
        <w:pStyle w:val="BodyText2"/>
        <w:numPr>
          <w:ilvl w:val="0"/>
          <w:numId w:val="0"/>
        </w:numPr>
        <w:tabs>
          <w:tab w:val="clear" w:pos="720"/>
          <w:tab w:val="left" w:pos="900" w:leader="none"/>
        </w:tabs>
        <w:outlineLvl w:val="0"/>
        <w:rPr>
          <w:sz w:val="24"/>
        </w:rPr>
      </w:pPr>
      <w:r>
        <w:rPr>
          <w:sz w:val="24"/>
        </w:rPr>
        <w:t>From:</w:t>
        <w:tab/>
        <w:t>Kristin Walsh and Marissa Womble</w:t>
      </w:r>
    </w:p>
    <w:p>
      <w:pPr>
        <w:pStyle w:val="BodyText2"/>
        <w:tabs>
          <w:tab w:val="clear" w:pos="720"/>
          <w:tab w:val="left" w:pos="900" w:leader="none"/>
        </w:tabs>
        <w:rPr>
          <w:sz w:val="24"/>
        </w:rPr>
      </w:pPr>
      <w:r>
        <w:rPr>
          <w:sz w:val="24"/>
        </w:rPr>
        <w:t>Date:</w:t>
        <w:tab/>
        <w:t>February 18, 2000</w:t>
      </w:r>
    </w:p>
    <w:p>
      <w:pPr>
        <w:pStyle w:val="BodyText2"/>
        <w:pBdr>
          <w:bottom w:val="single" w:sz="12" w:space="1" w:color="000000"/>
        </w:pBdr>
        <w:tabs>
          <w:tab w:val="clear" w:pos="720"/>
          <w:tab w:val="left" w:pos="900" w:leader="none"/>
        </w:tabs>
        <w:rPr>
          <w:sz w:val="24"/>
        </w:rPr>
      </w:pPr>
      <w:r>
        <w:rPr>
          <w:sz w:val="24"/>
        </w:rPr>
        <w:t xml:space="preserve">Subject: </w:t>
        <w:tab/>
        <w:t>E-commerce Update</w:t>
      </w:r>
    </w:p>
    <w:p>
      <w:pPr>
        <w:pStyle w:val="BodyText2"/>
        <w:pBdr>
          <w:bottom w:val="single" w:sz="12" w:space="1" w:color="000000"/>
        </w:pBdr>
        <w:tabs>
          <w:tab w:val="left" w:pos="720" w:leader="none"/>
        </w:tabs>
        <w:rPr>
          <w:sz w:val="20"/>
        </w:rPr>
      </w:pPr>
      <w:r>
        <w:rPr>
          <w:sz w:val="20"/>
        </w:rPr>
      </w:r>
    </w:p>
    <w:p>
      <w:pPr>
        <w:pStyle w:val="BodyText2"/>
        <w:tabs>
          <w:tab w:val="left" w:pos="720" w:leader="none"/>
        </w:tabs>
        <w:rPr>
          <w:sz w:val="20"/>
        </w:rPr>
      </w:pPr>
      <w:r>
        <w:rPr>
          <w:sz w:val="20"/>
        </w:rPr>
      </w:r>
    </w:p>
    <w:p>
      <w:pPr>
        <w:pStyle w:val="Subtitle"/>
        <w:jc w:val="both"/>
        <w:rPr>
          <w:color w:val="000000"/>
          <w:sz w:val="24"/>
        </w:rPr>
      </w:pPr>
      <w:r>
        <w:rPr>
          <w:color w:val="000000"/>
          <w:sz w:val="24"/>
        </w:rPr>
        <w:t>Per your request please find an update of the e-commerce overview regarding the online energy industry as it pertains to the wholesale online trading.  If you have any questions or would like further information please contact Kristin Walsh (ext. 39510) or Ron Slimp (ext. 39461).</w:t>
      </w:r>
    </w:p>
    <w:p>
      <w:pPr>
        <w:pStyle w:val="Subtitle"/>
        <w:numPr>
          <w:ilvl w:val="0"/>
          <w:numId w:val="0"/>
        </w:numPr>
        <w:jc w:val="start"/>
        <w:outlineLvl w:val="0"/>
        <w:rPr>
          <w:rFonts w:ascii="Garamond" w:hAnsi="Garamond" w:cs="Garamond"/>
          <w:color w:val="000000"/>
          <w:sz w:val="20"/>
        </w:rPr>
      </w:pPr>
      <w:r>
        <w:rPr>
          <w:rFonts w:cs="Garamond" w:ascii="Garamond" w:hAnsi="Garamond"/>
          <w:color w:val="000000"/>
          <w:sz w:val="20"/>
        </w:rPr>
      </w:r>
    </w:p>
    <w:p>
      <w:pPr>
        <w:pStyle w:val="Subtitle"/>
        <w:numPr>
          <w:ilvl w:val="0"/>
          <w:numId w:val="0"/>
        </w:numPr>
        <w:jc w:val="start"/>
        <w:outlineLvl w:val="0"/>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color w:val="000000"/>
          <w:sz w:val="24"/>
        </w:rPr>
      </w:pPr>
      <w:r>
        <w:rPr>
          <w:rFonts w:cs="Garamond" w:ascii="Garamond" w:hAnsi="Garamond"/>
          <w:color w:val="000000"/>
          <w:sz w:val="24"/>
        </w:rPr>
      </w:r>
    </w:p>
    <w:p>
      <w:pPr>
        <w:pStyle w:val="Subtitle"/>
        <w:jc w:val="start"/>
        <w:rPr>
          <w:rFonts w:ascii="Garamond" w:hAnsi="Garamond" w:cs="Garamond"/>
          <w:sz w:val="24"/>
        </w:rPr>
      </w:pPr>
      <w:r>
        <w:rPr>
          <w:rFonts w:cs="Garamond" w:ascii="Garamond" w:hAnsi="Garamond"/>
          <w:sz w:val="24"/>
        </w:rPr>
        <w:t xml:space="preserve">c: </w:t>
        <w:tab/>
        <w:t>Cliff Baxter</w:t>
      </w:r>
    </w:p>
    <w:p>
      <w:pPr>
        <w:pStyle w:val="Subtitle"/>
        <w:ind w:firstLine="720" w:end="0"/>
        <w:jc w:val="start"/>
        <w:rPr>
          <w:rFonts w:ascii="Garamond" w:hAnsi="Garamond" w:cs="Garamond"/>
          <w:sz w:val="24"/>
        </w:rPr>
      </w:pPr>
      <w:r>
        <w:rPr>
          <w:rFonts w:cs="Garamond" w:ascii="Garamond" w:hAnsi="Garamond"/>
          <w:sz w:val="24"/>
        </w:rPr>
        <w:t>Mark Frevert</w:t>
      </w:r>
    </w:p>
    <w:p>
      <w:pPr>
        <w:pStyle w:val="Subtitle"/>
        <w:ind w:firstLine="720" w:end="0"/>
        <w:jc w:val="start"/>
        <w:rPr>
          <w:rFonts w:ascii="Garamond" w:hAnsi="Garamond" w:cs="Garamond"/>
          <w:sz w:val="24"/>
        </w:rPr>
      </w:pPr>
      <w:r>
        <w:rPr>
          <w:rFonts w:cs="Garamond" w:ascii="Garamond" w:hAnsi="Garamond"/>
          <w:sz w:val="24"/>
        </w:rPr>
        <w:t>Joe Gold</w:t>
      </w:r>
    </w:p>
    <w:p>
      <w:pPr>
        <w:pStyle w:val="Subtitle"/>
        <w:ind w:firstLine="720" w:end="0"/>
        <w:jc w:val="start"/>
        <w:rPr>
          <w:rFonts w:ascii="Garamond" w:hAnsi="Garamond" w:cs="Garamond"/>
          <w:sz w:val="24"/>
        </w:rPr>
      </w:pPr>
      <w:r>
        <w:rPr>
          <w:rFonts w:cs="Garamond" w:ascii="Garamond" w:hAnsi="Garamond"/>
          <w:sz w:val="24"/>
        </w:rPr>
        <w:t>Richard Lewis</w:t>
      </w:r>
    </w:p>
    <w:p>
      <w:pPr>
        <w:pStyle w:val="Subtitle"/>
        <w:ind w:firstLine="720" w:end="0"/>
        <w:jc w:val="start"/>
        <w:rPr>
          <w:rFonts w:ascii="Garamond" w:hAnsi="Garamond" w:cs="Garamond"/>
          <w:sz w:val="24"/>
        </w:rPr>
      </w:pPr>
      <w:r>
        <w:rPr>
          <w:rFonts w:cs="Garamond" w:ascii="Garamond" w:hAnsi="Garamond"/>
          <w:sz w:val="24"/>
        </w:rPr>
        <w:t>Louise Kitchen</w:t>
      </w:r>
    </w:p>
    <w:p>
      <w:pPr>
        <w:pStyle w:val="Subtitle"/>
        <w:ind w:firstLine="720" w:end="0"/>
        <w:jc w:val="start"/>
        <w:rPr>
          <w:rFonts w:ascii="Garamond" w:hAnsi="Garamond" w:cs="Garamond"/>
          <w:sz w:val="24"/>
        </w:rPr>
      </w:pPr>
      <w:r>
        <w:rPr>
          <w:rFonts w:cs="Garamond" w:ascii="Garamond" w:hAnsi="Garamond"/>
          <w:sz w:val="24"/>
        </w:rPr>
        <w:t>Jeff Shankman</w:t>
      </w:r>
    </w:p>
    <w:p>
      <w:pPr>
        <w:pStyle w:val="Subtitle"/>
        <w:jc w:val="start"/>
        <w:rPr>
          <w:rFonts w:ascii="Garamond" w:hAnsi="Garamond" w:cs="Garamond"/>
          <w:sz w:val="24"/>
        </w:rPr>
      </w:pPr>
      <w:r>
        <w:rPr>
          <w:rFonts w:eastAsia="Garamond" w:cs="Garamond" w:ascii="Garamond" w:hAnsi="Garamond"/>
          <w:sz w:val="24"/>
        </w:rPr>
        <w:t xml:space="preserve">     </w:t>
      </w:r>
      <w:r>
        <w:rPr>
          <w:rFonts w:cs="Garamond" w:ascii="Garamond" w:hAnsi="Garamond"/>
          <w:sz w:val="24"/>
        </w:rPr>
        <w:tab/>
        <w:t>Jim Fallon</w:t>
      </w:r>
    </w:p>
    <w:p>
      <w:pPr>
        <w:pStyle w:val="Subtitle"/>
        <w:ind w:firstLine="720" w:end="0"/>
        <w:jc w:val="start"/>
        <w:rPr>
          <w:rFonts w:ascii="Garamond" w:hAnsi="Garamond" w:cs="Garamond"/>
          <w:sz w:val="24"/>
        </w:rPr>
      </w:pPr>
      <w:r>
        <w:rPr>
          <w:rFonts w:cs="Garamond" w:ascii="Garamond" w:hAnsi="Garamond"/>
          <w:sz w:val="24"/>
        </w:rPr>
        <w:t>Mike McConnell</w:t>
      </w:r>
    </w:p>
    <w:p>
      <w:pPr>
        <w:pStyle w:val="Subtitle"/>
        <w:ind w:firstLine="720" w:end="0"/>
        <w:jc w:val="start"/>
        <w:rPr>
          <w:rFonts w:ascii="Garamond" w:hAnsi="Garamond" w:cs="Garamond"/>
          <w:sz w:val="24"/>
        </w:rPr>
      </w:pPr>
      <w:r>
        <w:rPr>
          <w:rFonts w:cs="Garamond" w:ascii="Garamond" w:hAnsi="Garamond"/>
          <w:sz w:val="24"/>
        </w:rPr>
        <w:t>Kevin Hannon</w:t>
      </w:r>
    </w:p>
    <w:p>
      <w:pPr>
        <w:pStyle w:val="Subtitle"/>
        <w:ind w:firstLine="720" w:end="0"/>
        <w:jc w:val="start"/>
        <w:rPr>
          <w:rFonts w:ascii="Garamond" w:hAnsi="Garamond" w:cs="Garamond"/>
          <w:sz w:val="24"/>
        </w:rPr>
      </w:pPr>
      <w:r>
        <w:rPr>
          <w:rFonts w:cs="Garamond" w:ascii="Garamond" w:hAnsi="Garamond"/>
          <w:sz w:val="24"/>
        </w:rPr>
        <w:t>Philippe Bibi</w:t>
      </w:r>
    </w:p>
    <w:p>
      <w:pPr>
        <w:pStyle w:val="Subtitle"/>
        <w:jc w:val="start"/>
        <w:rPr>
          <w:rFonts w:ascii="Garamond" w:hAnsi="Garamond" w:cs="Garamond"/>
          <w:sz w:val="24"/>
        </w:rPr>
      </w:pPr>
      <w:r>
        <w:rPr>
          <w:rFonts w:cs="Garamond" w:ascii="Garamond" w:hAnsi="Garamond"/>
          <w:sz w:val="24"/>
        </w:rPr>
      </w:r>
    </w:p>
    <w:p>
      <w:pPr>
        <w:pStyle w:val="BodyText"/>
        <w:jc w:val="center"/>
        <w:rPr>
          <w:rFonts w:ascii="Garamond" w:hAnsi="Garamond" w:cs="Garamond"/>
          <w:b/>
          <w:i/>
          <w:i/>
          <w:sz w:val="16"/>
        </w:rPr>
      </w:pPr>
      <w:r>
        <w:rPr>
          <w:rFonts w:cs="Garamond" w:ascii="Garamond" w:hAnsi="Garamond"/>
          <w:b/>
          <w:i/>
          <w:sz w:val="16"/>
        </w:rPr>
      </w:r>
    </w:p>
    <w:p>
      <w:pPr>
        <w:pStyle w:val="Subtitle"/>
        <w:ind w:start="5040" w:end="0"/>
        <w:jc w:val="end"/>
        <w:rPr>
          <w:rFonts w:ascii="Garamond" w:hAnsi="Garamond" w:eastAsia="Garamond" w:cs="Garamond"/>
          <w:emboss/>
          <w:color w:val="000080"/>
          <w:sz w:val="48"/>
        </w:rPr>
      </w:pPr>
      <w:r>
        <w:rPr>
          <w:rFonts w:eastAsia="Garamond" w:cs="Garamond" w:ascii="Garamond" w:hAnsi="Garamond"/>
          <w:emboss/>
          <w:color w:val="000080"/>
          <w:sz w:val="48"/>
        </w:rPr>
        <w:t xml:space="preserve">                     </w:t>
      </w:r>
      <w:r>
        <w:br w:type="page"/>
      </w:r>
    </w:p>
    <w:p>
      <w:pPr>
        <w:pStyle w:val="Subtitle"/>
        <w:ind w:start="5040" w:end="0"/>
        <w:jc w:val="end"/>
        <w:rPr/>
      </w:pPr>
      <w:r>
        <w:rPr>
          <w:rFonts w:eastAsia="Garamond" w:cs="Garamond" w:ascii="Garamond" w:hAnsi="Garamond"/>
          <w:emboss/>
          <w:color w:val="000080"/>
          <w:sz w:val="48"/>
        </w:rPr>
        <w:t xml:space="preserve">        </w:t>
      </w:r>
      <w:r>
        <w:rPr>
          <w:rFonts w:cs="Garamond" w:ascii="Garamond" w:hAnsi="Garamond"/>
          <w:color w:val="000080"/>
          <w:sz w:val="40"/>
        </w:rPr>
        <w:t>Enron North America</w:t>
      </w:r>
    </w:p>
    <w:p>
      <w:pPr>
        <w:pStyle w:val="Subtitle"/>
        <w:ind w:start="5040" w:end="0"/>
        <w:jc w:val="end"/>
        <w:rPr>
          <w:rFonts w:ascii="Garamond" w:hAnsi="Garamond" w:cs="Garamond"/>
          <w:color w:val="000080"/>
          <w:sz w:val="40"/>
        </w:rPr>
      </w:pPr>
      <w:r>
        <w:object w:dxaOrig="2806" w:dyaOrig="288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29.7pt;width:84.2pt;height:86.4pt;mso-wrap-distance-left:9.05pt;mso-wrap-distance-right:9.05pt;mso-position-horizontal-relative:text;mso-position-vertical-relative:text" filled="f" o:ole="">
            <v:imagedata r:id="rId5" o:title=""/>
            <w10:wrap type="tight"/>
          </v:shape>
          <o:OLEObject Type="Embed" ProgID="" ShapeID="ole_rId4" DrawAspect="Content" ObjectID="_1583529957" r:id="rId4"/>
        </w:object>
      </w:r>
      <w:r>
        <w:rPr>
          <w:rFonts w:cs="Garamond" w:ascii="Garamond" w:hAnsi="Garamond"/>
          <w:color w:val="000080"/>
          <w:sz w:val="40"/>
        </w:rPr>
        <w:t xml:space="preserve">Competitive Analysis </w:t>
      </w:r>
    </w:p>
    <w:p>
      <w:pPr>
        <w:pStyle w:val="Subtitle"/>
        <w:jc w:val="end"/>
        <w:rPr>
          <w:rFonts w:ascii="Garamond" w:hAnsi="Garamond" w:cs="Garamond"/>
          <w:b/>
          <w:color w:val="000080"/>
          <w:sz w:val="48"/>
        </w:rPr>
      </w:pPr>
      <w:r>
        <w:rPr>
          <w:rFonts w:cs="Garamond" w:ascii="Garamond" w:hAnsi="Garamond"/>
          <w:color w:val="000080"/>
          <w:sz w:val="40"/>
        </w:rPr>
        <w:t>&amp; Business Controls</w:t>
      </w:r>
    </w:p>
    <w:p>
      <w:pPr>
        <w:pStyle w:val="Subtitle"/>
        <w:jc w:val="start"/>
        <w:rPr>
          <w:rFonts w:ascii="Garamond" w:hAnsi="Garamond" w:cs="Garamond"/>
          <w:b/>
          <w:color w:val="000080"/>
          <w:sz w:val="28"/>
        </w:rPr>
      </w:pPr>
      <w:r>
        <w:rPr>
          <w:rFonts w:cs="Garamond" w:ascii="Garamond" w:hAnsi="Garamond"/>
          <w:b/>
          <w:color w:val="000080"/>
          <w:sz w:val="28"/>
        </w:rPr>
      </w:r>
    </w:p>
    <w:p>
      <w:pPr>
        <w:pStyle w:val="Subtitle"/>
        <w:jc w:val="start"/>
        <w:rPr>
          <w:rFonts w:ascii="Garamond" w:hAnsi="Garamond" w:cs="Garamond"/>
          <w:color w:val="000080"/>
          <w:sz w:val="28"/>
        </w:rPr>
      </w:pPr>
      <w:r>
        <w:rPr>
          <w:rFonts w:cs="Garamond" w:ascii="Garamond" w:hAnsi="Garamond"/>
          <w:color w:val="000080"/>
          <w:sz w:val="28"/>
        </w:rPr>
      </w:r>
    </w:p>
    <w:p>
      <w:pPr>
        <w:pStyle w:val="BodyText"/>
        <w:jc w:val="center"/>
        <w:rPr>
          <w:b/>
          <w:color w:val="000080"/>
          <w:sz w:val="40"/>
        </w:rPr>
      </w:pPr>
      <w:r>
        <w:rPr>
          <w:b/>
          <w:color w:val="000080"/>
          <w:sz w:val="40"/>
        </w:rPr>
        <w:t xml:space="preserve">Update: Online Energy Trading </w:t>
      </w:r>
    </w:p>
    <w:p>
      <w:pPr>
        <w:pStyle w:val="BodyText"/>
        <w:jc w:val="center"/>
        <w:rPr>
          <w:b/>
          <w:color w:val="000080"/>
          <w:sz w:val="20"/>
        </w:rPr>
      </w:pPr>
      <w:r>
        <w:rPr>
          <w:b/>
          <w:color w:val="000080"/>
          <w:sz w:val="20"/>
        </w:rPr>
        <w:t>February 18, 2000</w:t>
      </w:r>
    </w:p>
    <w:p>
      <w:pPr>
        <w:pStyle w:val="BodyText"/>
        <w:jc w:val="center"/>
        <w:rPr>
          <w:b/>
          <w:color w:val="000080"/>
          <w:sz w:val="20"/>
        </w:rPr>
      </w:pPr>
      <w:r>
        <w:rPr>
          <w:b/>
          <w:color w:val="000080"/>
          <w:sz w:val="20"/>
        </w:rPr>
      </w:r>
    </w:p>
    <w:p>
      <w:pPr>
        <w:pStyle w:val="BodyText"/>
        <w:pBdr>
          <w:top w:val="single" w:sz="12" w:space="0" w:color="000000"/>
        </w:pBdr>
        <w:jc w:val="both"/>
        <w:rPr/>
      </w:pPr>
      <w:r>
        <w:rPr>
          <w:color w:val="000080"/>
        </w:rPr>
        <w:t xml:space="preserve">E-commerce transactions in the energy industry are expected to translate into sales of $266 billion by 2004. To date, fourteen wholesale energy exchange sites, seven new entrances since the November report, are either under development or have been launched.  The majority of these sites (11 of 14) are true exchanges facilitating the anonymous matching of commodity transactions between two parties.  However, </w:t>
      </w:r>
      <w:r>
        <w:rPr>
          <w:b/>
          <w:color w:val="000080"/>
        </w:rPr>
        <w:t>EnronOnLine</w:t>
      </w:r>
      <w:r>
        <w:rPr>
          <w:color w:val="000080"/>
        </w:rPr>
        <w:t xml:space="preserve"> (EOL), </w:t>
      </w:r>
      <w:r>
        <w:rPr>
          <w:b/>
          <w:color w:val="000080"/>
        </w:rPr>
        <w:t>Coralconnect</w:t>
      </w:r>
      <w:r>
        <w:rPr>
          <w:color w:val="000080"/>
        </w:rPr>
        <w:t xml:space="preserve"> (Coral Energy) and </w:t>
      </w:r>
      <w:r>
        <w:rPr>
          <w:b/>
          <w:color w:val="000080"/>
        </w:rPr>
        <w:t>Dynegy</w:t>
      </w:r>
      <w:r>
        <w:rPr>
          <w:color w:val="000080"/>
        </w:rPr>
        <w:t xml:space="preserve"> (currently under development) seek to differentiate themselves in the wholesale online trading industry by being the first sites to offer direct trading with an energy company.  The addition of seven new exchange sites within a four-month period demonstrates a paradigm shift in the trading industry.  Companies are focused on gaining market share and streamlining the transaction process.  This is a fundamental change from the relationship based marketing efforts that have, until now, persisted.</w:t>
      </w:r>
    </w:p>
    <w:p>
      <w:pPr>
        <w:pStyle w:val="BodyText"/>
        <w:pBdr>
          <w:top w:val="single" w:sz="12" w:space="1" w:color="000000"/>
        </w:pBdr>
        <w:jc w:val="both"/>
        <w:rPr>
          <w:color w:val="000080"/>
        </w:rPr>
      </w:pPr>
      <w:r>
        <w:rPr>
          <w:color w:val="000080"/>
        </w:rPr>
      </w:r>
    </w:p>
    <w:p>
      <w:pPr>
        <w:pStyle w:val="BodyText"/>
        <w:pBdr>
          <w:top w:val="single" w:sz="12" w:space="1" w:color="000000"/>
        </w:pBdr>
        <w:jc w:val="both"/>
        <w:rPr/>
      </w:pPr>
      <w:r>
        <w:rPr/>
      </w:r>
    </w:p>
    <w:p>
      <w:pPr>
        <w:pStyle w:val="BodyText"/>
        <w:pBdr>
          <w:top w:val="single" w:sz="12" w:space="1" w:color="000000"/>
        </w:pBdr>
        <w:jc w:val="both"/>
        <w:rPr>
          <w:i/>
          <w:i/>
        </w:rPr>
      </w:pPr>
      <w:r>
        <w:rPr>
          <w:i/>
        </w:rPr>
        <w:t>The following matrix describes the fourteen online wholesale trading sites either under development or currently available and the commodities offered:</w:t>
      </w:r>
    </w:p>
    <w:p>
      <w:pPr>
        <w:pStyle w:val="BodyText"/>
        <w:pBdr>
          <w:top w:val="single" w:sz="12" w:space="1" w:color="000000"/>
        </w:pBdr>
        <w:jc w:val="both"/>
        <w:rPr/>
      </w:pPr>
      <w:r>
        <w:rPr/>
      </w:r>
    </w:p>
    <w:tbl>
      <w:tblPr>
        <w:tblW w:w="11160" w:type="dxa"/>
        <w:jc w:val="start"/>
        <w:tblInd w:w="108" w:type="dxa"/>
        <w:tblLayout w:type="fixed"/>
        <w:tblCellMar>
          <w:top w:w="0" w:type="dxa"/>
          <w:start w:w="108" w:type="dxa"/>
          <w:bottom w:w="0" w:type="dxa"/>
          <w:end w:w="108" w:type="dxa"/>
        </w:tblCellMar>
      </w:tblPr>
      <w:tblGrid>
        <w:gridCol w:w="1350"/>
        <w:gridCol w:w="2250"/>
        <w:gridCol w:w="900"/>
        <w:gridCol w:w="630"/>
        <w:gridCol w:w="900"/>
        <w:gridCol w:w="720"/>
        <w:gridCol w:w="1170"/>
        <w:gridCol w:w="1170"/>
        <w:gridCol w:w="900"/>
        <w:gridCol w:w="1170"/>
      </w:tblGrid>
      <w:tr>
        <w:trPr/>
        <w:tc>
          <w:tcPr>
            <w:tcW w:w="1350" w:type="dxa"/>
            <w:tcBorders>
              <w:top w:val="thinThickSmallGap" w:sz="24" w:space="0" w:color="000080"/>
              <w:start w:val="thinThickSmallGap" w:sz="24" w:space="0" w:color="000080"/>
              <w:bottom w:val="single" w:sz="12" w:space="0" w:color="000000"/>
              <w:end w:val="single" w:sz="2" w:space="0" w:color="000000"/>
            </w:tcBorders>
            <w:shd w:fill="008000" w:val="clear"/>
          </w:tcPr>
          <w:p>
            <w:pPr>
              <w:pStyle w:val="BodyText"/>
              <w:rPr>
                <w:b/>
                <w:color w:val="FFFFFF"/>
              </w:rPr>
            </w:pPr>
            <w:r>
              <w:rPr>
                <w:b/>
                <w:color w:val="FFFFFF"/>
              </w:rPr>
              <w:t>Website Status</w:t>
            </w:r>
          </w:p>
        </w:tc>
        <w:tc>
          <w:tcPr>
            <w:tcW w:w="2250" w:type="dxa"/>
            <w:tcBorders>
              <w:top w:val="thinThickSmallGap" w:sz="24" w:space="0" w:color="000080"/>
              <w:start w:val="single" w:sz="2" w:space="0" w:color="000000"/>
              <w:bottom w:val="single" w:sz="12" w:space="0" w:color="000000"/>
              <w:end w:val="single" w:sz="2" w:space="0" w:color="000000"/>
            </w:tcBorders>
            <w:shd w:fill="008000" w:val="clear"/>
          </w:tcPr>
          <w:p>
            <w:pPr>
              <w:pStyle w:val="BodyText"/>
              <w:rPr>
                <w:b/>
                <w:color w:val="FFFFFF"/>
              </w:rPr>
            </w:pPr>
            <w:r>
              <w:rPr>
                <w:b/>
                <w:color w:val="FFFFFF"/>
              </w:rPr>
              <w:t>Company</w:t>
            </w:r>
          </w:p>
        </w:tc>
        <w:tc>
          <w:tcPr>
            <w:tcW w:w="900" w:type="dxa"/>
            <w:tcBorders>
              <w:top w:val="thinThickSmallGap" w:sz="24" w:space="0" w:color="000080"/>
              <w:start w:val="single" w:sz="2" w:space="0" w:color="000000"/>
              <w:bottom w:val="single" w:sz="12" w:space="0" w:color="000000"/>
              <w:end w:val="single" w:sz="2" w:space="0" w:color="000000"/>
            </w:tcBorders>
            <w:shd w:fill="008000" w:val="clear"/>
          </w:tcPr>
          <w:p>
            <w:pPr>
              <w:pStyle w:val="BodyText"/>
              <w:rPr>
                <w:b/>
                <w:color w:val="FFFFFF"/>
              </w:rPr>
            </w:pPr>
            <w:r>
              <w:rPr>
                <w:b/>
                <w:color w:val="FFFFFF"/>
              </w:rPr>
              <w:t>Power</w:t>
            </w:r>
          </w:p>
        </w:tc>
        <w:tc>
          <w:tcPr>
            <w:tcW w:w="630" w:type="dxa"/>
            <w:tcBorders>
              <w:top w:val="thinThickSmallGap" w:sz="24" w:space="0" w:color="000080"/>
              <w:start w:val="single" w:sz="2" w:space="0" w:color="000000"/>
              <w:bottom w:val="single" w:sz="12" w:space="0" w:color="000000"/>
              <w:end w:val="single" w:sz="2" w:space="0" w:color="000000"/>
            </w:tcBorders>
            <w:shd w:fill="008000" w:val="clear"/>
          </w:tcPr>
          <w:p>
            <w:pPr>
              <w:pStyle w:val="BodyText"/>
              <w:rPr>
                <w:b/>
                <w:color w:val="FFFFFF"/>
              </w:rPr>
            </w:pPr>
            <w:r>
              <w:rPr>
                <w:b/>
                <w:color w:val="FFFFFF"/>
              </w:rPr>
              <w:t>Gas</w:t>
            </w:r>
          </w:p>
        </w:tc>
        <w:tc>
          <w:tcPr>
            <w:tcW w:w="900" w:type="dxa"/>
            <w:tcBorders>
              <w:top w:val="thinThickSmallGap" w:sz="24" w:space="0" w:color="000080"/>
              <w:start w:val="single" w:sz="2" w:space="0" w:color="000000"/>
              <w:bottom w:val="single" w:sz="12" w:space="0" w:color="000000"/>
              <w:end w:val="single" w:sz="2" w:space="0" w:color="000000"/>
            </w:tcBorders>
            <w:shd w:fill="008000" w:val="clear"/>
          </w:tcPr>
          <w:p>
            <w:pPr>
              <w:pStyle w:val="BodyText"/>
              <w:rPr>
                <w:b/>
                <w:color w:val="FFFFFF"/>
              </w:rPr>
            </w:pPr>
            <w:r>
              <w:rPr>
                <w:b/>
                <w:color w:val="FFFFFF"/>
              </w:rPr>
              <w:t>Crude</w:t>
            </w:r>
          </w:p>
        </w:tc>
        <w:tc>
          <w:tcPr>
            <w:tcW w:w="720" w:type="dxa"/>
            <w:tcBorders>
              <w:top w:val="thinThickSmallGap" w:sz="24" w:space="0" w:color="000080"/>
              <w:start w:val="single" w:sz="2" w:space="0" w:color="000000"/>
              <w:bottom w:val="single" w:sz="12" w:space="0" w:color="000000"/>
              <w:end w:val="single" w:sz="2" w:space="0" w:color="000000"/>
            </w:tcBorders>
            <w:shd w:fill="008000" w:val="clear"/>
          </w:tcPr>
          <w:p>
            <w:pPr>
              <w:pStyle w:val="BodyText"/>
              <w:rPr>
                <w:b/>
                <w:color w:val="FFFFFF"/>
              </w:rPr>
            </w:pPr>
            <w:r>
              <w:rPr>
                <w:b/>
                <w:color w:val="FFFFFF"/>
              </w:rPr>
              <w:t>Coal</w:t>
            </w:r>
          </w:p>
        </w:tc>
        <w:tc>
          <w:tcPr>
            <w:tcW w:w="1170" w:type="dxa"/>
            <w:tcBorders>
              <w:top w:val="thinThickSmallGap" w:sz="24" w:space="0" w:color="000080"/>
              <w:start w:val="single" w:sz="2" w:space="0" w:color="000000"/>
              <w:bottom w:val="single" w:sz="12" w:space="0" w:color="000000"/>
              <w:end w:val="single" w:sz="2" w:space="0" w:color="000000"/>
            </w:tcBorders>
            <w:shd w:fill="008000" w:val="clear"/>
          </w:tcPr>
          <w:p>
            <w:pPr>
              <w:pStyle w:val="BodyText"/>
              <w:rPr>
                <w:b/>
                <w:color w:val="FFFFFF"/>
              </w:rPr>
            </w:pPr>
            <w:r>
              <w:rPr>
                <w:b/>
                <w:color w:val="FFFFFF"/>
              </w:rPr>
              <w:t>Emission Credits</w:t>
            </w:r>
          </w:p>
        </w:tc>
        <w:tc>
          <w:tcPr>
            <w:tcW w:w="1170" w:type="dxa"/>
            <w:tcBorders>
              <w:top w:val="thinThickSmallGap" w:sz="24" w:space="0" w:color="000080"/>
              <w:start w:val="single" w:sz="2" w:space="0" w:color="000000"/>
              <w:bottom w:val="single" w:sz="12" w:space="0" w:color="000000"/>
              <w:end w:val="single" w:sz="2" w:space="0" w:color="000000"/>
            </w:tcBorders>
            <w:shd w:fill="008000" w:val="clear"/>
          </w:tcPr>
          <w:p>
            <w:pPr>
              <w:pStyle w:val="BodyText"/>
              <w:rPr>
                <w:b/>
                <w:color w:val="FFFFFF"/>
              </w:rPr>
            </w:pPr>
            <w:r>
              <w:rPr>
                <w:b/>
                <w:color w:val="FFFFFF"/>
              </w:rPr>
              <w:t>Weather</w:t>
            </w:r>
          </w:p>
        </w:tc>
        <w:tc>
          <w:tcPr>
            <w:tcW w:w="900" w:type="dxa"/>
            <w:tcBorders>
              <w:top w:val="thinThickSmallGap" w:sz="24" w:space="0" w:color="000080"/>
              <w:start w:val="single" w:sz="2" w:space="0" w:color="000000"/>
              <w:bottom w:val="single" w:sz="12" w:space="0" w:color="000000"/>
              <w:end w:val="single" w:sz="2" w:space="0" w:color="000000"/>
            </w:tcBorders>
            <w:shd w:fill="008000" w:val="clear"/>
          </w:tcPr>
          <w:p>
            <w:pPr>
              <w:pStyle w:val="BodyText"/>
              <w:rPr>
                <w:b/>
                <w:color w:val="FFFFFF"/>
              </w:rPr>
            </w:pPr>
            <w:r>
              <w:rPr>
                <w:b/>
                <w:color w:val="FFFFFF"/>
              </w:rPr>
              <w:t>Green Power</w:t>
            </w:r>
          </w:p>
        </w:tc>
        <w:tc>
          <w:tcPr>
            <w:tcW w:w="1170" w:type="dxa"/>
            <w:tcBorders>
              <w:top w:val="thinThickSmallGap" w:sz="24" w:space="0" w:color="000080"/>
              <w:start w:val="single" w:sz="2" w:space="0" w:color="000000"/>
              <w:bottom w:val="single" w:sz="12" w:space="0" w:color="000000"/>
              <w:end w:val="thickThinSmallGap" w:sz="24" w:space="0" w:color="000080"/>
            </w:tcBorders>
            <w:shd w:fill="008000" w:val="clear"/>
          </w:tcPr>
          <w:p>
            <w:pPr>
              <w:pStyle w:val="BodyText"/>
              <w:rPr>
                <w:b/>
                <w:color w:val="FFFFFF"/>
              </w:rPr>
            </w:pPr>
            <w:r>
              <w:rPr>
                <w:b/>
                <w:color w:val="FFFFFF"/>
              </w:rPr>
              <w:t>Future Products</w:t>
            </w:r>
          </w:p>
        </w:tc>
      </w:tr>
      <w:tr>
        <w:trPr/>
        <w:tc>
          <w:tcPr>
            <w:tcW w:w="1350" w:type="dxa"/>
            <w:vMerge w:val="restart"/>
            <w:tcBorders>
              <w:start w:val="thinThickSmallGap" w:sz="24" w:space="0" w:color="000080"/>
              <w:end w:val="single" w:sz="2" w:space="0" w:color="000000"/>
            </w:tcBorders>
            <w:shd w:fill="FFFFFF" w:val="clear"/>
          </w:tcPr>
          <w:p>
            <w:pPr>
              <w:pStyle w:val="BodyText"/>
              <w:rPr>
                <w:b/>
                <w:color w:val="800000"/>
              </w:rPr>
            </w:pPr>
            <w:r>
              <w:rPr>
                <w:b/>
                <w:color w:val="800000"/>
              </w:rPr>
              <w:t xml:space="preserve">New </w:t>
            </w:r>
          </w:p>
        </w:tc>
        <w:tc>
          <w:tcPr>
            <w:tcW w:w="2250" w:type="dxa"/>
            <w:tcBorders>
              <w:start w:val="single" w:sz="2" w:space="0" w:color="000000"/>
              <w:bottom w:val="single" w:sz="2" w:space="0" w:color="000000"/>
              <w:end w:val="single" w:sz="2" w:space="0" w:color="000000"/>
            </w:tcBorders>
            <w:shd w:fill="FFFFFF" w:val="clear"/>
          </w:tcPr>
          <w:p>
            <w:pPr>
              <w:pStyle w:val="BodyText"/>
              <w:rPr>
                <w:b/>
                <w:color w:val="000080"/>
              </w:rPr>
            </w:pPr>
            <w:r>
              <w:rPr>
                <w:b/>
                <w:color w:val="000080"/>
              </w:rPr>
              <w:t>Coralconnect</w:t>
            </w:r>
          </w:p>
        </w:tc>
        <w:tc>
          <w:tcPr>
            <w:tcW w:w="900" w:type="dxa"/>
            <w:tcBorders>
              <w:start w:val="single" w:sz="2" w:space="0" w:color="000000"/>
              <w:bottom w:val="single" w:sz="2" w:space="0" w:color="000000"/>
              <w:end w:val="single" w:sz="2" w:space="0" w:color="000000"/>
            </w:tcBorders>
            <w:shd w:fill="FFFFFF" w:val="clear"/>
          </w:tcPr>
          <w:p>
            <w:pPr>
              <w:pStyle w:val="BodyText"/>
              <w:jc w:val="center"/>
              <w:rPr>
                <w:rFonts w:ascii="Garamond" w:hAnsi="Garamond" w:cs="Garamond"/>
              </w:rPr>
            </w:pPr>
            <w:r>
              <w:rPr>
                <w:rFonts w:cs="Garamond" w:ascii="Garamond" w:hAnsi="Garamond"/>
              </w:rPr>
              <w:t>x</w:t>
            </w:r>
          </w:p>
        </w:tc>
        <w:tc>
          <w:tcPr>
            <w:tcW w:w="630" w:type="dxa"/>
            <w:tcBorders>
              <w:start w:val="single" w:sz="2" w:space="0" w:color="000000"/>
              <w:bottom w:val="single" w:sz="2" w:space="0" w:color="000000"/>
              <w:end w:val="single" w:sz="2" w:space="0" w:color="000000"/>
            </w:tcBorders>
            <w:shd w:fill="FFFFFF" w:val="clear"/>
          </w:tcPr>
          <w:p>
            <w:pPr>
              <w:pStyle w:val="BodyText"/>
              <w:jc w:val="center"/>
              <w:rPr>
                <w:rFonts w:ascii="Garamond" w:hAnsi="Garamond" w:cs="Garamond"/>
              </w:rPr>
            </w:pPr>
            <w:r>
              <w:rPr>
                <w:rFonts w:cs="Garamond" w:ascii="Garamond" w:hAnsi="Garamond"/>
              </w:rPr>
              <w:t>x</w:t>
            </w:r>
          </w:p>
        </w:tc>
        <w:tc>
          <w:tcPr>
            <w:tcW w:w="900" w:type="dxa"/>
            <w:tcBorders>
              <w:start w:val="single" w:sz="2" w:space="0" w:color="000000"/>
              <w:bottom w:val="single" w:sz="2" w:space="0" w:color="000000"/>
              <w:end w:val="single" w:sz="2" w:space="0" w:color="000000"/>
            </w:tcBorders>
            <w:shd w:fill="FFFFFF" w:val="clear"/>
          </w:tcPr>
          <w:p>
            <w:pPr>
              <w:pStyle w:val="BodyText"/>
              <w:jc w:val="center"/>
              <w:rPr>
                <w:rFonts w:ascii="Garamond" w:hAnsi="Garamond" w:cs="Garamond"/>
              </w:rPr>
            </w:pPr>
            <w:r>
              <w:rPr>
                <w:rFonts w:cs="Garamond" w:ascii="Garamond" w:hAnsi="Garamond"/>
              </w:rPr>
              <w:t>x</w:t>
            </w:r>
          </w:p>
        </w:tc>
        <w:tc>
          <w:tcPr>
            <w:tcW w:w="720" w:type="dxa"/>
            <w:tcBorders>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900" w:type="dxa"/>
            <w:tcBorders>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start w:val="single" w:sz="2" w:space="0" w:color="000000"/>
              <w:bottom w:val="single" w:sz="2" w:space="0" w:color="000000"/>
              <w:end w:val="thickThinSmallGap" w:sz="24" w:space="0" w:color="000080"/>
            </w:tcBorders>
            <w:shd w:fill="FFFFFF" w:val="clear"/>
          </w:tcPr>
          <w:p>
            <w:pPr>
              <w:pStyle w:val="BodyText"/>
              <w:snapToGrid w:val="false"/>
              <w:jc w:val="center"/>
              <w:rPr>
                <w:rFonts w:ascii="Garamond" w:hAnsi="Garamond" w:cs="Garamond"/>
              </w:rPr>
            </w:pPr>
            <w:r>
              <w:rPr>
                <w:rFonts w:cs="Garamond" w:ascii="Garamond" w:hAnsi="Garamond"/>
              </w:rPr>
            </w:r>
          </w:p>
        </w:tc>
      </w:tr>
      <w:tr>
        <w:trPr/>
        <w:tc>
          <w:tcPr>
            <w:tcW w:w="1350" w:type="dxa"/>
            <w:vMerge w:val="continue"/>
            <w:tcBorders>
              <w:start w:val="thinThickSmallGap" w:sz="24" w:space="0" w:color="000080"/>
              <w:end w:val="single" w:sz="2" w:space="0" w:color="000000"/>
            </w:tcBorders>
            <w:shd w:fill="FFFFFF" w:val="clear"/>
          </w:tcPr>
          <w:p>
            <w:pPr>
              <w:pStyle w:val="BodyText"/>
              <w:snapToGrid w:val="false"/>
              <w:rPr>
                <w:rFonts w:ascii="Garamond" w:hAnsi="Garamond" w:cs="Garamond"/>
                <w:b/>
                <w:color w:val="800000"/>
                <w:lang w:val="en-CA"/>
              </w:rPr>
            </w:pPr>
            <w:r>
              <w:rPr>
                <w:rFonts w:cs="Garamond" w:ascii="Garamond" w:hAnsi="Garamond"/>
                <w:b/>
                <w:color w:val="800000"/>
                <w:lang w:val="en-CA"/>
              </w:rPr>
            </w:r>
          </w:p>
        </w:tc>
        <w:tc>
          <w:tcPr>
            <w:tcW w:w="2250" w:type="dxa"/>
            <w:tcBorders>
              <w:top w:val="single" w:sz="2" w:space="0" w:color="000000"/>
              <w:start w:val="single" w:sz="2" w:space="0" w:color="000000"/>
              <w:bottom w:val="single" w:sz="2" w:space="0" w:color="000000"/>
              <w:end w:val="single" w:sz="2" w:space="0" w:color="000000"/>
            </w:tcBorders>
            <w:shd w:fill="FFFFFF" w:val="clear"/>
          </w:tcPr>
          <w:p>
            <w:pPr>
              <w:pStyle w:val="BodyText"/>
              <w:rPr>
                <w:b/>
                <w:color w:val="000080"/>
                <w:lang w:val="en-CA"/>
              </w:rPr>
            </w:pPr>
            <w:r>
              <w:rPr>
                <w:b/>
                <w:color w:val="000080"/>
                <w:lang w:val="en-CA"/>
              </w:rPr>
              <w:t>Bloomberg Power Match Trading System</w:t>
            </w:r>
          </w:p>
        </w:tc>
        <w:tc>
          <w:tcPr>
            <w:tcW w:w="900" w:type="dxa"/>
            <w:tcBorders>
              <w:top w:val="single" w:sz="2" w:space="0" w:color="000000"/>
              <w:start w:val="single" w:sz="2" w:space="0" w:color="000000"/>
              <w:bottom w:val="single" w:sz="2" w:space="0" w:color="000000"/>
              <w:end w:val="single" w:sz="2" w:space="0" w:color="000000"/>
            </w:tcBorders>
            <w:shd w:fill="FFFFFF" w:val="clear"/>
          </w:tcPr>
          <w:p>
            <w:pPr>
              <w:pStyle w:val="BodyText"/>
              <w:jc w:val="center"/>
              <w:rPr>
                <w:rFonts w:ascii="Garamond" w:hAnsi="Garamond" w:cs="Garamond"/>
              </w:rPr>
            </w:pPr>
            <w:r>
              <w:rPr>
                <w:rFonts w:cs="Garamond" w:ascii="Garamond" w:hAnsi="Garamond"/>
              </w:rPr>
              <w:t>x</w:t>
            </w:r>
          </w:p>
        </w:tc>
        <w:tc>
          <w:tcPr>
            <w:tcW w:w="63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72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thickThinSmallGap" w:sz="24" w:space="0" w:color="000080"/>
            </w:tcBorders>
            <w:shd w:fill="FFFFFF" w:val="clear"/>
          </w:tcPr>
          <w:p>
            <w:pPr>
              <w:pStyle w:val="BodyText"/>
              <w:jc w:val="center"/>
              <w:rPr>
                <w:rFonts w:ascii="Garamond" w:hAnsi="Garamond" w:cs="Garamond"/>
              </w:rPr>
            </w:pPr>
            <w:r>
              <w:rPr>
                <w:rFonts w:cs="Garamond" w:ascii="Garamond" w:hAnsi="Garamond"/>
              </w:rPr>
              <w:t>Emission Credits</w:t>
            </w:r>
          </w:p>
        </w:tc>
      </w:tr>
      <w:tr>
        <w:trPr/>
        <w:tc>
          <w:tcPr>
            <w:tcW w:w="1350" w:type="dxa"/>
            <w:vMerge w:val="continue"/>
            <w:tcBorders>
              <w:start w:val="thinThickSmallGap" w:sz="24" w:space="0" w:color="000080"/>
              <w:end w:val="single" w:sz="2" w:space="0" w:color="000000"/>
            </w:tcBorders>
            <w:shd w:fill="FFFFFF" w:val="clear"/>
          </w:tcPr>
          <w:p>
            <w:pPr>
              <w:pStyle w:val="BodyText"/>
              <w:snapToGrid w:val="false"/>
              <w:rPr>
                <w:rFonts w:ascii="Garamond" w:hAnsi="Garamond" w:cs="Garamond"/>
                <w:b/>
                <w:color w:val="800000"/>
                <w:lang w:val="en-CA"/>
              </w:rPr>
            </w:pPr>
            <w:r>
              <w:rPr>
                <w:rFonts w:cs="Garamond" w:ascii="Garamond" w:hAnsi="Garamond"/>
                <w:b/>
                <w:color w:val="800000"/>
                <w:lang w:val="en-CA"/>
              </w:rPr>
            </w:r>
          </w:p>
        </w:tc>
        <w:tc>
          <w:tcPr>
            <w:tcW w:w="2250" w:type="dxa"/>
            <w:tcBorders>
              <w:top w:val="single" w:sz="2" w:space="0" w:color="000000"/>
              <w:start w:val="single" w:sz="2" w:space="0" w:color="000000"/>
              <w:bottom w:val="single" w:sz="2" w:space="0" w:color="000000"/>
              <w:end w:val="single" w:sz="2" w:space="0" w:color="000000"/>
            </w:tcBorders>
            <w:shd w:fill="FFFFFF" w:val="clear"/>
          </w:tcPr>
          <w:p>
            <w:pPr>
              <w:pStyle w:val="BodyText"/>
              <w:rPr>
                <w:b/>
                <w:color w:val="000080"/>
                <w:sz w:val="32"/>
                <w:lang w:val="en-CA"/>
              </w:rPr>
            </w:pPr>
            <w:r>
              <w:rPr>
                <w:b/>
                <w:color w:val="000080"/>
                <w:lang w:val="en-CA"/>
              </w:rPr>
              <w:t>Enbridge Petroleum Exchange (Canada)</w:t>
            </w:r>
          </w:p>
        </w:tc>
        <w:tc>
          <w:tcPr>
            <w:tcW w:w="90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b/>
                <w:color w:val="000080"/>
                <w:sz w:val="32"/>
                <w:lang w:val="en-CA"/>
              </w:rPr>
            </w:pPr>
            <w:r>
              <w:rPr>
                <w:rFonts w:cs="Garamond" w:ascii="Garamond" w:hAnsi="Garamond"/>
                <w:b/>
                <w:color w:val="000080"/>
                <w:sz w:val="32"/>
                <w:lang w:val="en-CA"/>
              </w:rPr>
            </w:r>
          </w:p>
        </w:tc>
        <w:tc>
          <w:tcPr>
            <w:tcW w:w="63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FFFFFF" w:val="clear"/>
          </w:tcPr>
          <w:p>
            <w:pPr>
              <w:pStyle w:val="BodyText"/>
              <w:jc w:val="center"/>
              <w:rPr>
                <w:rFonts w:ascii="Garamond" w:hAnsi="Garamond" w:cs="Garamond"/>
              </w:rPr>
            </w:pPr>
            <w:r>
              <w:rPr>
                <w:rFonts w:cs="Garamond" w:ascii="Garamond" w:hAnsi="Garamond"/>
              </w:rPr>
              <w:t>x</w:t>
            </w:r>
          </w:p>
        </w:tc>
        <w:tc>
          <w:tcPr>
            <w:tcW w:w="72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thickThinSmallGap" w:sz="24" w:space="0" w:color="000080"/>
            </w:tcBorders>
            <w:shd w:fill="FFFFFF" w:val="clear"/>
          </w:tcPr>
          <w:p>
            <w:pPr>
              <w:pStyle w:val="BodyText"/>
              <w:snapToGrid w:val="false"/>
              <w:jc w:val="center"/>
              <w:rPr>
                <w:rFonts w:ascii="Garamond" w:hAnsi="Garamond" w:cs="Garamond"/>
              </w:rPr>
            </w:pPr>
            <w:r>
              <w:rPr>
                <w:rFonts w:cs="Garamond" w:ascii="Garamond" w:hAnsi="Garamond"/>
              </w:rPr>
            </w:r>
          </w:p>
        </w:tc>
      </w:tr>
      <w:tr>
        <w:trPr/>
        <w:tc>
          <w:tcPr>
            <w:tcW w:w="1350" w:type="dxa"/>
            <w:vMerge w:val="continue"/>
            <w:tcBorders>
              <w:start w:val="thinThickSmallGap" w:sz="24" w:space="0" w:color="000080"/>
              <w:end w:val="single" w:sz="2" w:space="0" w:color="000000"/>
            </w:tcBorders>
            <w:shd w:fill="FFFFFF" w:val="clear"/>
          </w:tcPr>
          <w:p>
            <w:pPr>
              <w:pStyle w:val="BodyText"/>
              <w:snapToGrid w:val="false"/>
              <w:rPr>
                <w:rFonts w:ascii="Garamond" w:hAnsi="Garamond" w:cs="Garamond"/>
                <w:b/>
                <w:color w:val="800000"/>
                <w:u w:val="single"/>
                <w:lang w:val="en-CA"/>
              </w:rPr>
            </w:pPr>
            <w:r>
              <w:rPr>
                <w:rFonts w:cs="Garamond" w:ascii="Garamond" w:hAnsi="Garamond"/>
                <w:b/>
                <w:color w:val="800000"/>
                <w:u w:val="single"/>
                <w:lang w:val="en-CA"/>
              </w:rPr>
            </w:r>
          </w:p>
        </w:tc>
        <w:tc>
          <w:tcPr>
            <w:tcW w:w="2250" w:type="dxa"/>
            <w:tcBorders>
              <w:top w:val="single" w:sz="2" w:space="0" w:color="000000"/>
              <w:start w:val="single" w:sz="2" w:space="0" w:color="000000"/>
              <w:bottom w:val="single" w:sz="2" w:space="0" w:color="000000"/>
              <w:end w:val="single" w:sz="2" w:space="0" w:color="000000"/>
            </w:tcBorders>
            <w:shd w:fill="FFFFFF" w:val="clear"/>
          </w:tcPr>
          <w:p>
            <w:pPr>
              <w:pStyle w:val="BodyText"/>
              <w:rPr>
                <w:b/>
                <w:color w:val="000080"/>
                <w:sz w:val="32"/>
                <w:lang w:val="en-CA"/>
              </w:rPr>
            </w:pPr>
            <w:r>
              <w:rPr>
                <w:b/>
                <w:color w:val="000080"/>
                <w:lang w:val="en-CA"/>
              </w:rPr>
              <w:t>NRGLine</w:t>
            </w:r>
          </w:p>
        </w:tc>
        <w:tc>
          <w:tcPr>
            <w:tcW w:w="90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b/>
                <w:color w:val="000080"/>
                <w:sz w:val="32"/>
                <w:lang w:val="en-CA"/>
              </w:rPr>
            </w:pPr>
            <w:r>
              <w:rPr>
                <w:rFonts w:cs="Garamond" w:ascii="Garamond" w:hAnsi="Garamond"/>
                <w:b/>
                <w:color w:val="000080"/>
                <w:sz w:val="32"/>
                <w:lang w:val="en-CA"/>
              </w:rPr>
            </w:r>
          </w:p>
        </w:tc>
        <w:tc>
          <w:tcPr>
            <w:tcW w:w="63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FFFFFF" w:val="clear"/>
          </w:tcPr>
          <w:p>
            <w:pPr>
              <w:pStyle w:val="BodyText"/>
              <w:jc w:val="center"/>
              <w:rPr>
                <w:rFonts w:ascii="Garamond" w:hAnsi="Garamond" w:cs="Garamond"/>
              </w:rPr>
            </w:pPr>
            <w:r>
              <w:rPr>
                <w:rFonts w:cs="Garamond" w:ascii="Garamond" w:hAnsi="Garamond"/>
              </w:rPr>
              <w:t>x</w:t>
            </w:r>
          </w:p>
        </w:tc>
        <w:tc>
          <w:tcPr>
            <w:tcW w:w="72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thickThinSmallGap" w:sz="24" w:space="0" w:color="000080"/>
            </w:tcBorders>
            <w:shd w:fill="FFFFFF" w:val="clear"/>
          </w:tcPr>
          <w:p>
            <w:pPr>
              <w:pStyle w:val="BodyText"/>
              <w:jc w:val="center"/>
              <w:rPr>
                <w:rFonts w:ascii="Garamond" w:hAnsi="Garamond" w:cs="Garamond"/>
              </w:rPr>
            </w:pPr>
            <w:r>
              <w:rPr>
                <w:rFonts w:cs="Garamond" w:ascii="Garamond" w:hAnsi="Garamond"/>
              </w:rPr>
              <w:t>x</w:t>
            </w:r>
          </w:p>
        </w:tc>
      </w:tr>
      <w:tr>
        <w:trPr/>
        <w:tc>
          <w:tcPr>
            <w:tcW w:w="1350" w:type="dxa"/>
            <w:vMerge w:val="continue"/>
            <w:tcBorders>
              <w:start w:val="thinThickSmallGap" w:sz="24" w:space="0" w:color="000080"/>
              <w:end w:val="single" w:sz="2" w:space="0" w:color="000000"/>
            </w:tcBorders>
            <w:shd w:fill="FFFFFF" w:val="clear"/>
          </w:tcPr>
          <w:p>
            <w:pPr>
              <w:pStyle w:val="BodyText"/>
              <w:snapToGrid w:val="false"/>
              <w:rPr>
                <w:rFonts w:ascii="Garamond" w:hAnsi="Garamond" w:cs="Garamond"/>
                <w:b/>
                <w:color w:val="800000"/>
                <w:lang w:val="en-CA"/>
              </w:rPr>
            </w:pPr>
            <w:r>
              <w:rPr>
                <w:rFonts w:cs="Garamond" w:ascii="Garamond" w:hAnsi="Garamond"/>
                <w:b/>
                <w:color w:val="800000"/>
                <w:lang w:val="en-CA"/>
              </w:rPr>
            </w:r>
          </w:p>
        </w:tc>
        <w:tc>
          <w:tcPr>
            <w:tcW w:w="2250" w:type="dxa"/>
            <w:tcBorders>
              <w:top w:val="single" w:sz="2" w:space="0" w:color="000000"/>
              <w:start w:val="single" w:sz="2" w:space="0" w:color="000000"/>
              <w:end w:val="single" w:sz="2" w:space="0" w:color="000000"/>
            </w:tcBorders>
            <w:shd w:fill="FFFFFF" w:val="clear"/>
          </w:tcPr>
          <w:p>
            <w:pPr>
              <w:pStyle w:val="BodyText"/>
              <w:rPr>
                <w:b/>
                <w:color w:val="000080"/>
                <w:lang w:val="en-CA"/>
              </w:rPr>
            </w:pPr>
            <w:r>
              <w:rPr>
                <w:b/>
                <w:color w:val="000080"/>
                <w:lang w:val="en-CA"/>
              </w:rPr>
              <w:t>MyBroker</w:t>
            </w:r>
          </w:p>
          <w:p>
            <w:pPr>
              <w:pStyle w:val="BodyText"/>
              <w:rPr>
                <w:b/>
                <w:color w:val="000080"/>
                <w:sz w:val="28"/>
                <w:lang w:val="en-CA"/>
              </w:rPr>
            </w:pPr>
            <w:r>
              <w:rPr>
                <w:b/>
                <w:color w:val="000080"/>
                <w:lang w:val="en-CA"/>
              </w:rPr>
              <w:t>(Canada)</w:t>
            </w:r>
          </w:p>
        </w:tc>
        <w:tc>
          <w:tcPr>
            <w:tcW w:w="900" w:type="dxa"/>
            <w:tcBorders>
              <w:top w:val="single" w:sz="2" w:space="0" w:color="000000"/>
              <w:start w:val="single" w:sz="2" w:space="0" w:color="000000"/>
              <w:end w:val="single" w:sz="2" w:space="0" w:color="000000"/>
            </w:tcBorders>
            <w:shd w:fill="FFFFFF" w:val="clear"/>
          </w:tcPr>
          <w:p>
            <w:pPr>
              <w:pStyle w:val="BodyText"/>
              <w:jc w:val="center"/>
              <w:rPr>
                <w:rFonts w:ascii="Garamond" w:hAnsi="Garamond" w:cs="Garamond"/>
              </w:rPr>
            </w:pPr>
            <w:r>
              <w:rPr>
                <w:rFonts w:cs="Garamond" w:ascii="Garamond" w:hAnsi="Garamond"/>
              </w:rPr>
              <w:t>x</w:t>
            </w:r>
          </w:p>
        </w:tc>
        <w:tc>
          <w:tcPr>
            <w:tcW w:w="630" w:type="dxa"/>
            <w:tcBorders>
              <w:top w:val="single" w:sz="2" w:space="0" w:color="000000"/>
              <w:start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720" w:type="dxa"/>
            <w:tcBorders>
              <w:top w:val="single" w:sz="2" w:space="0" w:color="000000"/>
              <w:start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end w:val="single" w:sz="2" w:space="0" w:color="000000"/>
            </w:tcBorders>
            <w:shd w:fill="FFFFFF"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end w:val="thickThinSmallGap" w:sz="24" w:space="0" w:color="000080"/>
            </w:tcBorders>
            <w:shd w:fill="FFFFFF" w:val="clear"/>
          </w:tcPr>
          <w:p>
            <w:pPr>
              <w:pStyle w:val="BodyText"/>
              <w:snapToGrid w:val="false"/>
              <w:jc w:val="center"/>
              <w:rPr>
                <w:rFonts w:ascii="Garamond" w:hAnsi="Garamond" w:cs="Garamond"/>
              </w:rPr>
            </w:pPr>
            <w:r>
              <w:rPr>
                <w:rFonts w:cs="Garamond" w:ascii="Garamond" w:hAnsi="Garamond"/>
              </w:rPr>
            </w:r>
          </w:p>
        </w:tc>
      </w:tr>
      <w:tr>
        <w:trPr/>
        <w:tc>
          <w:tcPr>
            <w:tcW w:w="1350" w:type="dxa"/>
            <w:vMerge w:val="restart"/>
            <w:tcBorders>
              <w:top w:val="single" w:sz="12" w:space="0" w:color="000000"/>
              <w:start w:val="thinThickSmallGap" w:sz="24" w:space="0" w:color="000080"/>
              <w:end w:val="single" w:sz="2" w:space="0" w:color="000000"/>
            </w:tcBorders>
            <w:shd w:fill="E5E5E5" w:val="clear"/>
          </w:tcPr>
          <w:p>
            <w:pPr>
              <w:pStyle w:val="BodyText"/>
              <w:rPr>
                <w:b/>
                <w:color w:val="800000"/>
                <w:lang w:val="en-CA"/>
              </w:rPr>
            </w:pPr>
            <w:r>
              <w:rPr>
                <w:b/>
                <w:color w:val="800000"/>
                <w:lang w:val="en-CA"/>
              </w:rPr>
              <w:t>Planned</w:t>
            </w:r>
          </w:p>
        </w:tc>
        <w:tc>
          <w:tcPr>
            <w:tcW w:w="2250" w:type="dxa"/>
            <w:tcBorders>
              <w:top w:val="single" w:sz="12" w:space="0" w:color="000000"/>
              <w:start w:val="single" w:sz="2" w:space="0" w:color="000000"/>
              <w:bottom w:val="single" w:sz="2" w:space="0" w:color="000000"/>
              <w:end w:val="single" w:sz="2" w:space="0" w:color="000000"/>
            </w:tcBorders>
            <w:shd w:fill="E5E5E5" w:val="clear"/>
          </w:tcPr>
          <w:p>
            <w:pPr>
              <w:pStyle w:val="BodyText"/>
              <w:rPr>
                <w:b/>
                <w:color w:val="000080"/>
                <w:lang w:val="en-CA"/>
              </w:rPr>
            </w:pPr>
            <w:r>
              <w:rPr>
                <w:b/>
                <w:color w:val="000080"/>
                <w:lang w:val="en-CA"/>
              </w:rPr>
              <w:t>RedMeteor</w:t>
            </w:r>
          </w:p>
        </w:tc>
        <w:tc>
          <w:tcPr>
            <w:tcW w:w="900" w:type="dxa"/>
            <w:tcBorders>
              <w:top w:val="single" w:sz="12" w:space="0" w:color="000000"/>
              <w:start w:val="single" w:sz="2" w:space="0" w:color="000000"/>
              <w:bottom w:val="single" w:sz="2" w:space="0" w:color="000000"/>
              <w:end w:val="single" w:sz="2" w:space="0" w:color="000000"/>
            </w:tcBorders>
            <w:shd w:fill="E5E5E5" w:val="clear"/>
          </w:tcPr>
          <w:p>
            <w:pPr>
              <w:pStyle w:val="BodyText"/>
              <w:snapToGrid w:val="false"/>
              <w:jc w:val="center"/>
              <w:rPr>
                <w:rFonts w:ascii="Garamond" w:hAnsi="Garamond" w:cs="Garamond"/>
                <w:b/>
                <w:color w:val="000080"/>
                <w:lang w:val="en-CA"/>
              </w:rPr>
            </w:pPr>
            <w:r>
              <w:rPr>
                <w:rFonts w:cs="Garamond" w:ascii="Garamond" w:hAnsi="Garamond"/>
                <w:b/>
                <w:color w:val="000080"/>
                <w:lang w:val="en-CA"/>
              </w:rPr>
            </w:r>
          </w:p>
        </w:tc>
        <w:tc>
          <w:tcPr>
            <w:tcW w:w="630" w:type="dxa"/>
            <w:tcBorders>
              <w:top w:val="single" w:sz="12" w:space="0" w:color="000000"/>
              <w:start w:val="single" w:sz="2" w:space="0" w:color="000000"/>
              <w:bottom w:val="single" w:sz="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12" w:space="0" w:color="000000"/>
              <w:start w:val="single" w:sz="2" w:space="0" w:color="000000"/>
              <w:bottom w:val="single" w:sz="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720" w:type="dxa"/>
            <w:tcBorders>
              <w:top w:val="single" w:sz="12" w:space="0" w:color="000000"/>
              <w:start w:val="single" w:sz="2" w:space="0" w:color="000000"/>
              <w:bottom w:val="single" w:sz="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12" w:space="0" w:color="000000"/>
              <w:start w:val="single" w:sz="2" w:space="0" w:color="000000"/>
              <w:bottom w:val="single" w:sz="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12" w:space="0" w:color="000000"/>
              <w:start w:val="single" w:sz="2" w:space="0" w:color="000000"/>
              <w:bottom w:val="single" w:sz="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12" w:space="0" w:color="000000"/>
              <w:start w:val="single" w:sz="2" w:space="0" w:color="000000"/>
              <w:bottom w:val="single" w:sz="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12" w:space="0" w:color="000000"/>
              <w:start w:val="single" w:sz="2" w:space="0" w:color="000000"/>
              <w:bottom w:val="single" w:sz="2" w:space="0" w:color="000000"/>
              <w:end w:val="thickThinSmallGap" w:sz="24" w:space="0" w:color="000080"/>
            </w:tcBorders>
            <w:shd w:fill="E5E5E5" w:val="clear"/>
          </w:tcPr>
          <w:p>
            <w:pPr>
              <w:pStyle w:val="BodyText"/>
              <w:jc w:val="center"/>
              <w:rPr>
                <w:rFonts w:ascii="Garamond" w:hAnsi="Garamond" w:cs="Garamond"/>
              </w:rPr>
            </w:pPr>
            <w:r>
              <w:rPr>
                <w:rFonts w:cs="Garamond" w:ascii="Garamond" w:hAnsi="Garamond"/>
              </w:rPr>
              <w:t>x</w:t>
            </w:r>
          </w:p>
        </w:tc>
      </w:tr>
      <w:tr>
        <w:trPr/>
        <w:tc>
          <w:tcPr>
            <w:tcW w:w="1350" w:type="dxa"/>
            <w:vMerge w:val="continue"/>
            <w:tcBorders>
              <w:top w:val="single" w:sz="12" w:space="0" w:color="000000"/>
              <w:start w:val="thinThickSmallGap" w:sz="24" w:space="0" w:color="000080"/>
              <w:end w:val="single" w:sz="2" w:space="0" w:color="000000"/>
            </w:tcBorders>
            <w:shd w:fill="E5E5E5" w:val="clear"/>
          </w:tcPr>
          <w:p>
            <w:pPr>
              <w:pStyle w:val="BodyText"/>
              <w:snapToGrid w:val="false"/>
              <w:rPr>
                <w:rFonts w:ascii="Garamond" w:hAnsi="Garamond" w:cs="Garamond"/>
                <w:b/>
                <w:color w:val="800000"/>
                <w:lang w:val="en-CA"/>
              </w:rPr>
            </w:pPr>
            <w:r>
              <w:rPr>
                <w:rFonts w:cs="Garamond" w:ascii="Garamond" w:hAnsi="Garamond"/>
                <w:b/>
                <w:color w:val="800000"/>
                <w:lang w:val="en-CA"/>
              </w:rPr>
            </w:r>
          </w:p>
        </w:tc>
        <w:tc>
          <w:tcPr>
            <w:tcW w:w="2250" w:type="dxa"/>
            <w:tcBorders>
              <w:top w:val="single" w:sz="2" w:space="0" w:color="000000"/>
              <w:start w:val="single" w:sz="2" w:space="0" w:color="000000"/>
              <w:bottom w:val="single" w:sz="12" w:space="0" w:color="000000"/>
              <w:end w:val="single" w:sz="2" w:space="0" w:color="000000"/>
            </w:tcBorders>
            <w:shd w:fill="E5E5E5" w:val="clear"/>
          </w:tcPr>
          <w:p>
            <w:pPr>
              <w:pStyle w:val="BodyText"/>
              <w:rPr>
                <w:b/>
                <w:color w:val="000080"/>
                <w:lang w:val="en-CA"/>
              </w:rPr>
            </w:pPr>
            <w:r>
              <w:rPr>
                <w:b/>
                <w:color w:val="000080"/>
                <w:lang w:val="en-CA"/>
              </w:rPr>
              <w:t>Dynegy</w:t>
            </w:r>
          </w:p>
        </w:tc>
        <w:tc>
          <w:tcPr>
            <w:tcW w:w="900" w:type="dxa"/>
            <w:tcBorders>
              <w:top w:val="single" w:sz="2" w:space="0" w:color="000000"/>
              <w:start w:val="single" w:sz="2" w:space="0" w:color="000000"/>
              <w:bottom w:val="single" w:sz="12" w:space="0" w:color="000000"/>
              <w:end w:val="single" w:sz="2" w:space="0" w:color="000000"/>
            </w:tcBorders>
            <w:shd w:fill="E5E5E5" w:val="clear"/>
          </w:tcPr>
          <w:p>
            <w:pPr>
              <w:pStyle w:val="BodyText"/>
              <w:snapToGrid w:val="false"/>
              <w:jc w:val="center"/>
              <w:rPr>
                <w:rFonts w:ascii="Garamond" w:hAnsi="Garamond" w:cs="Garamond"/>
                <w:b/>
                <w:color w:val="000080"/>
                <w:lang w:val="en-CA"/>
              </w:rPr>
            </w:pPr>
            <w:r>
              <w:rPr>
                <w:rFonts w:cs="Garamond" w:ascii="Garamond" w:hAnsi="Garamond"/>
                <w:b/>
                <w:color w:val="000080"/>
                <w:lang w:val="en-CA"/>
              </w:rPr>
            </w:r>
          </w:p>
        </w:tc>
        <w:tc>
          <w:tcPr>
            <w:tcW w:w="630" w:type="dxa"/>
            <w:tcBorders>
              <w:top w:val="single" w:sz="2" w:space="0" w:color="000000"/>
              <w:start w:val="single" w:sz="2" w:space="0" w:color="000000"/>
              <w:bottom w:val="single" w:sz="1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1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720" w:type="dxa"/>
            <w:tcBorders>
              <w:top w:val="single" w:sz="2" w:space="0" w:color="000000"/>
              <w:start w:val="single" w:sz="2" w:space="0" w:color="000000"/>
              <w:bottom w:val="single" w:sz="1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1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1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12" w:space="0" w:color="000000"/>
              <w:end w:val="single" w:sz="2" w:space="0" w:color="000000"/>
            </w:tcBorders>
            <w:shd w:fill="E5E5E5"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12" w:space="0" w:color="000000"/>
              <w:end w:val="thickThinSmallGap" w:sz="24" w:space="0" w:color="000080"/>
            </w:tcBorders>
            <w:shd w:fill="E5E5E5" w:val="clear"/>
          </w:tcPr>
          <w:p>
            <w:pPr>
              <w:pStyle w:val="BodyText"/>
              <w:jc w:val="center"/>
              <w:rPr>
                <w:rFonts w:ascii="Garamond" w:hAnsi="Garamond" w:cs="Garamond"/>
              </w:rPr>
            </w:pPr>
            <w:r>
              <w:rPr>
                <w:rFonts w:cs="Garamond" w:ascii="Garamond" w:hAnsi="Garamond"/>
              </w:rPr>
              <w:t>x</w:t>
            </w:r>
          </w:p>
        </w:tc>
      </w:tr>
      <w:tr>
        <w:trPr/>
        <w:tc>
          <w:tcPr>
            <w:tcW w:w="1350" w:type="dxa"/>
            <w:vMerge w:val="restart"/>
            <w:tcBorders>
              <w:top w:val="single" w:sz="12" w:space="0" w:color="000000"/>
              <w:start w:val="thinThickSmallGap" w:sz="24" w:space="0" w:color="000080"/>
              <w:bottom w:val="single" w:sz="2" w:space="0" w:color="000000"/>
              <w:end w:val="single" w:sz="2" w:space="0" w:color="000000"/>
            </w:tcBorders>
            <w:shd w:fill="CCCCCC" w:val="clear"/>
          </w:tcPr>
          <w:p>
            <w:pPr>
              <w:pStyle w:val="BodyText"/>
              <w:rPr>
                <w:b/>
                <w:color w:val="800000"/>
                <w:lang w:val="en-CA"/>
              </w:rPr>
            </w:pPr>
            <w:r>
              <w:rPr>
                <w:b/>
                <w:color w:val="800000"/>
                <w:lang w:val="en-CA"/>
              </w:rPr>
              <w:t>Previously Reported</w:t>
            </w:r>
          </w:p>
        </w:tc>
        <w:tc>
          <w:tcPr>
            <w:tcW w:w="2250" w:type="dxa"/>
            <w:tcBorders>
              <w:start w:val="single" w:sz="2" w:space="0" w:color="000000"/>
              <w:bottom w:val="single" w:sz="2" w:space="0" w:color="000000"/>
              <w:end w:val="single" w:sz="2" w:space="0" w:color="000000"/>
            </w:tcBorders>
            <w:shd w:fill="CCCCCC" w:val="clear"/>
          </w:tcPr>
          <w:p>
            <w:pPr>
              <w:pStyle w:val="BodyText"/>
              <w:rPr>
                <w:b/>
                <w:color w:val="000080"/>
                <w:lang w:val="en-CA"/>
              </w:rPr>
            </w:pPr>
            <w:r>
              <w:rPr>
                <w:b/>
                <w:color w:val="000080"/>
                <w:lang w:val="en-CA"/>
              </w:rPr>
              <w:t>Enron Online</w:t>
            </w:r>
          </w:p>
        </w:tc>
        <w:tc>
          <w:tcPr>
            <w:tcW w:w="900" w:type="dxa"/>
            <w:tcBorders>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630" w:type="dxa"/>
            <w:tcBorders>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900" w:type="dxa"/>
            <w:tcBorders>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720" w:type="dxa"/>
            <w:tcBorders>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1170" w:type="dxa"/>
            <w:tcBorders>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1170" w:type="dxa"/>
            <w:tcBorders>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900" w:type="dxa"/>
            <w:tcBorders>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start w:val="single" w:sz="2" w:space="0" w:color="000000"/>
              <w:bottom w:val="single" w:sz="2" w:space="0" w:color="000000"/>
              <w:end w:val="thickThinSmallGap" w:sz="24" w:space="0" w:color="000080"/>
            </w:tcBorders>
            <w:shd w:fill="CCCCCC" w:val="clear"/>
          </w:tcPr>
          <w:p>
            <w:pPr>
              <w:pStyle w:val="BodyText"/>
              <w:snapToGrid w:val="false"/>
              <w:jc w:val="center"/>
              <w:rPr>
                <w:rFonts w:ascii="Garamond" w:hAnsi="Garamond" w:cs="Garamond"/>
              </w:rPr>
            </w:pPr>
            <w:r>
              <w:rPr>
                <w:rFonts w:cs="Garamond" w:ascii="Garamond" w:hAnsi="Garamond"/>
              </w:rPr>
            </w:r>
          </w:p>
        </w:tc>
      </w:tr>
      <w:tr>
        <w:trPr/>
        <w:tc>
          <w:tcPr>
            <w:tcW w:w="1350" w:type="dxa"/>
            <w:vMerge w:val="continue"/>
            <w:tcBorders>
              <w:top w:val="single" w:sz="12" w:space="0" w:color="000000"/>
              <w:start w:val="thinThickSmallGap" w:sz="24" w:space="0" w:color="000080"/>
              <w:bottom w:val="single" w:sz="2" w:space="0" w:color="000000"/>
              <w:end w:val="single" w:sz="2" w:space="0" w:color="000000"/>
            </w:tcBorders>
            <w:shd w:fill="CCCCCC" w:val="clear"/>
          </w:tcPr>
          <w:p>
            <w:pPr>
              <w:pStyle w:val="BodyText"/>
              <w:snapToGrid w:val="false"/>
              <w:rPr>
                <w:rFonts w:ascii="Garamond" w:hAnsi="Garamond" w:cs="Garamond"/>
                <w:b/>
                <w:color w:val="000080"/>
                <w:u w:val="single"/>
              </w:rPr>
            </w:pPr>
            <w:r>
              <w:rPr>
                <w:rFonts w:cs="Garamond" w:ascii="Garamond" w:hAnsi="Garamond"/>
                <w:b/>
                <w:color w:val="000080"/>
                <w:u w:val="single"/>
              </w:rPr>
            </w:r>
          </w:p>
        </w:tc>
        <w:tc>
          <w:tcPr>
            <w:tcW w:w="2250" w:type="dxa"/>
            <w:tcBorders>
              <w:top w:val="single" w:sz="2" w:space="0" w:color="000000"/>
              <w:start w:val="single" w:sz="2" w:space="0" w:color="000000"/>
              <w:bottom w:val="single" w:sz="2" w:space="0" w:color="000000"/>
              <w:end w:val="single" w:sz="2" w:space="0" w:color="000000"/>
            </w:tcBorders>
            <w:shd w:fill="CCCCCC" w:val="clear"/>
          </w:tcPr>
          <w:p>
            <w:pPr>
              <w:pStyle w:val="BodyText"/>
              <w:rPr>
                <w:b/>
                <w:color w:val="000080"/>
              </w:rPr>
            </w:pPr>
            <w:r>
              <w:rPr>
                <w:b/>
                <w:color w:val="000080"/>
              </w:rPr>
              <w:t>Houston Street</w:t>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63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72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thickThinSmallGap" w:sz="24" w:space="0" w:color="000080"/>
            </w:tcBorders>
            <w:shd w:fill="CCCCCC" w:val="clear"/>
          </w:tcPr>
          <w:p>
            <w:pPr>
              <w:pStyle w:val="BodyText"/>
              <w:jc w:val="center"/>
              <w:rPr>
                <w:rFonts w:ascii="Garamond" w:hAnsi="Garamond" w:cs="Garamond"/>
              </w:rPr>
            </w:pPr>
            <w:r>
              <w:rPr>
                <w:rFonts w:cs="Garamond" w:ascii="Garamond" w:hAnsi="Garamond"/>
              </w:rPr>
              <w:t>x</w:t>
            </w:r>
          </w:p>
        </w:tc>
      </w:tr>
      <w:tr>
        <w:trPr/>
        <w:tc>
          <w:tcPr>
            <w:tcW w:w="1350" w:type="dxa"/>
            <w:vMerge w:val="continue"/>
            <w:tcBorders>
              <w:top w:val="single" w:sz="12" w:space="0" w:color="000000"/>
              <w:start w:val="thinThickSmallGap" w:sz="24" w:space="0" w:color="000080"/>
              <w:bottom w:val="single" w:sz="2" w:space="0" w:color="000000"/>
              <w:end w:val="single" w:sz="2" w:space="0" w:color="000000"/>
            </w:tcBorders>
            <w:shd w:fill="CCCCCC" w:val="clear"/>
          </w:tcPr>
          <w:p>
            <w:pPr>
              <w:pStyle w:val="BodyText"/>
              <w:snapToGrid w:val="false"/>
              <w:rPr>
                <w:rFonts w:ascii="Garamond" w:hAnsi="Garamond" w:cs="Garamond"/>
                <w:b/>
                <w:color w:val="000080"/>
              </w:rPr>
            </w:pPr>
            <w:r>
              <w:rPr>
                <w:rFonts w:cs="Garamond" w:ascii="Garamond" w:hAnsi="Garamond"/>
                <w:b/>
                <w:color w:val="000080"/>
              </w:rPr>
            </w:r>
          </w:p>
        </w:tc>
        <w:tc>
          <w:tcPr>
            <w:tcW w:w="2250" w:type="dxa"/>
            <w:tcBorders>
              <w:top w:val="single" w:sz="2" w:space="0" w:color="000000"/>
              <w:start w:val="single" w:sz="2" w:space="0" w:color="000000"/>
              <w:bottom w:val="single" w:sz="2" w:space="0" w:color="000000"/>
              <w:end w:val="single" w:sz="2" w:space="0" w:color="000000"/>
            </w:tcBorders>
            <w:shd w:fill="CCCCCC" w:val="clear"/>
          </w:tcPr>
          <w:p>
            <w:pPr>
              <w:pStyle w:val="BodyText"/>
              <w:rPr>
                <w:b/>
                <w:color w:val="000080"/>
              </w:rPr>
            </w:pPr>
            <w:r>
              <w:rPr>
                <w:b/>
                <w:color w:val="000080"/>
              </w:rPr>
              <w:t xml:space="preserve">Automated Power Exchange </w:t>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63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72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1170" w:type="dxa"/>
            <w:tcBorders>
              <w:top w:val="single" w:sz="2" w:space="0" w:color="000000"/>
              <w:start w:val="single" w:sz="2" w:space="0" w:color="000000"/>
              <w:bottom w:val="single" w:sz="2" w:space="0" w:color="000000"/>
              <w:end w:val="thickThinSmallGap" w:sz="24" w:space="0" w:color="000080"/>
            </w:tcBorders>
            <w:shd w:fill="CCCCCC" w:val="clear"/>
          </w:tcPr>
          <w:p>
            <w:pPr>
              <w:pStyle w:val="BodyText"/>
              <w:snapToGrid w:val="false"/>
              <w:jc w:val="center"/>
              <w:rPr>
                <w:rFonts w:ascii="Garamond" w:hAnsi="Garamond" w:cs="Garamond"/>
              </w:rPr>
            </w:pPr>
            <w:r>
              <w:rPr>
                <w:rFonts w:cs="Garamond" w:ascii="Garamond" w:hAnsi="Garamond"/>
              </w:rPr>
            </w:r>
          </w:p>
        </w:tc>
      </w:tr>
      <w:tr>
        <w:trPr/>
        <w:tc>
          <w:tcPr>
            <w:tcW w:w="1350" w:type="dxa"/>
            <w:vMerge w:val="continue"/>
            <w:tcBorders>
              <w:top w:val="single" w:sz="12" w:space="0" w:color="000000"/>
              <w:start w:val="thinThickSmallGap" w:sz="24" w:space="0" w:color="000080"/>
              <w:bottom w:val="single" w:sz="2" w:space="0" w:color="000000"/>
              <w:end w:val="single" w:sz="2" w:space="0" w:color="000000"/>
            </w:tcBorders>
            <w:shd w:fill="CCCCCC" w:val="clear"/>
          </w:tcPr>
          <w:p>
            <w:pPr>
              <w:pStyle w:val="BodyText"/>
              <w:snapToGrid w:val="false"/>
              <w:rPr>
                <w:rFonts w:ascii="Garamond" w:hAnsi="Garamond" w:cs="Garamond"/>
                <w:b/>
                <w:color w:val="000080"/>
              </w:rPr>
            </w:pPr>
            <w:r>
              <w:rPr>
                <w:rFonts w:cs="Garamond" w:ascii="Garamond" w:hAnsi="Garamond"/>
                <w:b/>
                <w:color w:val="000080"/>
              </w:rPr>
            </w:r>
          </w:p>
        </w:tc>
        <w:tc>
          <w:tcPr>
            <w:tcW w:w="2250" w:type="dxa"/>
            <w:tcBorders>
              <w:top w:val="single" w:sz="2" w:space="0" w:color="000000"/>
              <w:start w:val="single" w:sz="2" w:space="0" w:color="000000"/>
              <w:bottom w:val="single" w:sz="2" w:space="0" w:color="000000"/>
              <w:end w:val="single" w:sz="2" w:space="0" w:color="000000"/>
            </w:tcBorders>
            <w:shd w:fill="CCCCCC" w:val="clear"/>
          </w:tcPr>
          <w:p>
            <w:pPr>
              <w:pStyle w:val="BodyText"/>
              <w:rPr>
                <w:b/>
                <w:color w:val="000080"/>
              </w:rPr>
            </w:pPr>
            <w:r>
              <w:rPr>
                <w:b/>
                <w:color w:val="000080"/>
              </w:rPr>
              <w:t>Altra Energy</w:t>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630" w:type="dxa"/>
            <w:tcBorders>
              <w:top w:val="single" w:sz="2" w:space="0" w:color="000000"/>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72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thickThinSmallGap" w:sz="24" w:space="0" w:color="000080"/>
            </w:tcBorders>
            <w:shd w:fill="CCCCCC" w:val="clear"/>
          </w:tcPr>
          <w:p>
            <w:pPr>
              <w:pStyle w:val="BodyText"/>
              <w:snapToGrid w:val="false"/>
              <w:jc w:val="center"/>
              <w:rPr>
                <w:rFonts w:ascii="Garamond" w:hAnsi="Garamond" w:cs="Garamond"/>
              </w:rPr>
            </w:pPr>
            <w:r>
              <w:rPr>
                <w:rFonts w:cs="Garamond" w:ascii="Garamond" w:hAnsi="Garamond"/>
              </w:rPr>
            </w:r>
          </w:p>
        </w:tc>
      </w:tr>
      <w:tr>
        <w:trPr/>
        <w:tc>
          <w:tcPr>
            <w:tcW w:w="1350" w:type="dxa"/>
            <w:vMerge w:val="continue"/>
            <w:tcBorders>
              <w:top w:val="single" w:sz="12" w:space="0" w:color="000000"/>
              <w:start w:val="thinThickSmallGap" w:sz="24" w:space="0" w:color="000080"/>
              <w:bottom w:val="single" w:sz="2" w:space="0" w:color="000000"/>
              <w:end w:val="single" w:sz="2" w:space="0" w:color="000000"/>
            </w:tcBorders>
            <w:shd w:fill="CCCCCC" w:val="clear"/>
          </w:tcPr>
          <w:p>
            <w:pPr>
              <w:pStyle w:val="BodyText"/>
              <w:snapToGrid w:val="false"/>
              <w:rPr>
                <w:rFonts w:ascii="Garamond" w:hAnsi="Garamond" w:cs="Garamond"/>
                <w:b/>
                <w:color w:val="000080"/>
              </w:rPr>
            </w:pPr>
            <w:r>
              <w:rPr>
                <w:rFonts w:cs="Garamond" w:ascii="Garamond" w:hAnsi="Garamond"/>
                <w:b/>
                <w:color w:val="000080"/>
              </w:rPr>
            </w:r>
          </w:p>
        </w:tc>
        <w:tc>
          <w:tcPr>
            <w:tcW w:w="2250" w:type="dxa"/>
            <w:tcBorders>
              <w:top w:val="single" w:sz="2" w:space="0" w:color="000000"/>
              <w:start w:val="single" w:sz="2" w:space="0" w:color="000000"/>
              <w:bottom w:val="single" w:sz="2" w:space="0" w:color="000000"/>
              <w:end w:val="single" w:sz="2" w:space="0" w:color="000000"/>
            </w:tcBorders>
            <w:shd w:fill="CCCCCC" w:val="clear"/>
          </w:tcPr>
          <w:p>
            <w:pPr>
              <w:pStyle w:val="BodyText"/>
              <w:rPr>
                <w:b/>
                <w:color w:val="000080"/>
              </w:rPr>
            </w:pPr>
            <w:r>
              <w:rPr>
                <w:b/>
                <w:color w:val="000080"/>
              </w:rPr>
              <w:t>ISO New England</w:t>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63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72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thickThinSmallGap" w:sz="24" w:space="0" w:color="000080"/>
            </w:tcBorders>
            <w:shd w:fill="CCCCCC" w:val="clear"/>
          </w:tcPr>
          <w:p>
            <w:pPr>
              <w:pStyle w:val="BodyText"/>
              <w:snapToGrid w:val="false"/>
              <w:jc w:val="center"/>
              <w:rPr>
                <w:rFonts w:ascii="Garamond" w:hAnsi="Garamond" w:cs="Garamond"/>
              </w:rPr>
            </w:pPr>
            <w:r>
              <w:rPr>
                <w:rFonts w:cs="Garamond" w:ascii="Garamond" w:hAnsi="Garamond"/>
              </w:rPr>
            </w:r>
          </w:p>
        </w:tc>
      </w:tr>
      <w:tr>
        <w:trPr/>
        <w:tc>
          <w:tcPr>
            <w:tcW w:w="1350" w:type="dxa"/>
            <w:vMerge w:val="continue"/>
            <w:tcBorders>
              <w:top w:val="single" w:sz="12" w:space="0" w:color="000000"/>
              <w:start w:val="thinThickSmallGap" w:sz="24" w:space="0" w:color="000080"/>
              <w:bottom w:val="single" w:sz="2" w:space="0" w:color="000000"/>
              <w:end w:val="single" w:sz="2" w:space="0" w:color="000000"/>
            </w:tcBorders>
            <w:shd w:fill="CCCCCC" w:val="clear"/>
          </w:tcPr>
          <w:p>
            <w:pPr>
              <w:pStyle w:val="BodyText"/>
              <w:snapToGrid w:val="false"/>
              <w:rPr>
                <w:rFonts w:ascii="Garamond" w:hAnsi="Garamond" w:cs="Garamond"/>
                <w:b/>
                <w:color w:val="000080"/>
              </w:rPr>
            </w:pPr>
            <w:r>
              <w:rPr>
                <w:rFonts w:cs="Garamond" w:ascii="Garamond" w:hAnsi="Garamond"/>
                <w:b/>
                <w:color w:val="000080"/>
              </w:rPr>
            </w:r>
          </w:p>
        </w:tc>
        <w:tc>
          <w:tcPr>
            <w:tcW w:w="2250" w:type="dxa"/>
            <w:tcBorders>
              <w:top w:val="single" w:sz="2" w:space="0" w:color="000000"/>
              <w:start w:val="single" w:sz="2" w:space="0" w:color="000000"/>
              <w:bottom w:val="single" w:sz="2" w:space="0" w:color="000000"/>
              <w:end w:val="single" w:sz="2" w:space="0" w:color="000000"/>
            </w:tcBorders>
            <w:shd w:fill="CCCCCC" w:val="clear"/>
          </w:tcPr>
          <w:p>
            <w:pPr>
              <w:pStyle w:val="BodyText"/>
              <w:rPr>
                <w:b/>
                <w:color w:val="000080"/>
              </w:rPr>
            </w:pPr>
            <w:r>
              <w:rPr>
                <w:b/>
                <w:color w:val="000080"/>
              </w:rPr>
              <w:t>Tradeweather</w:t>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b/>
                <w:color w:val="000080"/>
              </w:rPr>
            </w:pPr>
            <w:r>
              <w:rPr>
                <w:rFonts w:cs="Garamond" w:ascii="Garamond" w:hAnsi="Garamond"/>
                <w:b/>
                <w:color w:val="000080"/>
              </w:rPr>
            </w:r>
          </w:p>
        </w:tc>
        <w:tc>
          <w:tcPr>
            <w:tcW w:w="63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72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900" w:type="dxa"/>
            <w:tcBorders>
              <w:top w:val="single" w:sz="2" w:space="0" w:color="000000"/>
              <w:start w:val="single" w:sz="2" w:space="0" w:color="000000"/>
              <w:bottom w:val="single" w:sz="2" w:space="0" w:color="00000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single" w:sz="2" w:space="0" w:color="000000"/>
              <w:end w:val="thickThinSmallGap" w:sz="24" w:space="0" w:color="000080"/>
            </w:tcBorders>
            <w:shd w:fill="CCCCCC" w:val="clear"/>
          </w:tcPr>
          <w:p>
            <w:pPr>
              <w:pStyle w:val="BodyText"/>
              <w:snapToGrid w:val="false"/>
              <w:jc w:val="center"/>
              <w:rPr>
                <w:rFonts w:ascii="Garamond" w:hAnsi="Garamond" w:cs="Garamond"/>
              </w:rPr>
            </w:pPr>
            <w:r>
              <w:rPr>
                <w:rFonts w:cs="Garamond" w:ascii="Garamond" w:hAnsi="Garamond"/>
              </w:rPr>
            </w:r>
          </w:p>
        </w:tc>
      </w:tr>
      <w:tr>
        <w:trPr/>
        <w:tc>
          <w:tcPr>
            <w:tcW w:w="1350" w:type="dxa"/>
            <w:vMerge w:val="continue"/>
            <w:tcBorders>
              <w:top w:val="single" w:sz="12" w:space="0" w:color="000000"/>
              <w:start w:val="thinThickSmallGap" w:sz="24" w:space="0" w:color="000080"/>
              <w:bottom w:val="single" w:sz="2" w:space="0" w:color="000000"/>
              <w:end w:val="single" w:sz="2" w:space="0" w:color="000000"/>
            </w:tcBorders>
            <w:shd w:fill="CCCCCC" w:val="clear"/>
          </w:tcPr>
          <w:p>
            <w:pPr>
              <w:pStyle w:val="BodyText"/>
              <w:snapToGrid w:val="false"/>
              <w:rPr>
                <w:rFonts w:ascii="Garamond" w:hAnsi="Garamond" w:cs="Garamond"/>
                <w:b/>
                <w:color w:val="000080"/>
              </w:rPr>
            </w:pPr>
            <w:r>
              <w:rPr>
                <w:rFonts w:cs="Garamond" w:ascii="Garamond" w:hAnsi="Garamond"/>
                <w:b/>
                <w:color w:val="000080"/>
              </w:rPr>
            </w:r>
          </w:p>
        </w:tc>
        <w:tc>
          <w:tcPr>
            <w:tcW w:w="2250" w:type="dxa"/>
            <w:tcBorders>
              <w:top w:val="single" w:sz="2" w:space="0" w:color="000000"/>
              <w:start w:val="single" w:sz="2" w:space="0" w:color="000000"/>
              <w:bottom w:val="thickThinSmallGap" w:sz="24" w:space="0" w:color="000080"/>
              <w:end w:val="single" w:sz="2" w:space="0" w:color="000000"/>
            </w:tcBorders>
            <w:shd w:fill="CCCCCC" w:val="clear"/>
          </w:tcPr>
          <w:p>
            <w:pPr>
              <w:pStyle w:val="BodyText"/>
              <w:rPr>
                <w:b/>
                <w:color w:val="000080"/>
              </w:rPr>
            </w:pPr>
            <w:r>
              <w:rPr>
                <w:b/>
                <w:color w:val="000080"/>
              </w:rPr>
              <w:t xml:space="preserve">Natsource: </w:t>
            </w:r>
            <w:r>
              <w:rPr>
                <w:b/>
                <w:i/>
                <w:color w:val="000080"/>
              </w:rPr>
              <w:t>only</w:t>
            </w:r>
          </w:p>
          <w:p>
            <w:pPr>
              <w:pStyle w:val="BodyText"/>
              <w:rPr>
                <w:b/>
                <w:i/>
                <w:i/>
                <w:color w:val="000080"/>
              </w:rPr>
            </w:pPr>
            <w:r>
              <w:rPr>
                <w:b/>
                <w:i/>
                <w:color w:val="000080"/>
              </w:rPr>
              <w:t>Bulletin boards</w:t>
            </w:r>
          </w:p>
        </w:tc>
        <w:tc>
          <w:tcPr>
            <w:tcW w:w="900" w:type="dxa"/>
            <w:tcBorders>
              <w:top w:val="single" w:sz="2" w:space="0" w:color="000000"/>
              <w:start w:val="single" w:sz="2" w:space="0" w:color="000000"/>
              <w:bottom w:val="thickThinSmallGap" w:sz="24" w:space="0" w:color="000080"/>
              <w:end w:val="single" w:sz="2" w:space="0" w:color="000000"/>
            </w:tcBorders>
            <w:shd w:fill="CCCCCC" w:val="clear"/>
          </w:tcPr>
          <w:p>
            <w:pPr>
              <w:pStyle w:val="BodyText"/>
              <w:snapToGrid w:val="false"/>
              <w:jc w:val="center"/>
              <w:rPr>
                <w:rFonts w:ascii="Garamond" w:hAnsi="Garamond" w:cs="Garamond"/>
                <w:b/>
                <w:i/>
                <w:i/>
                <w:color w:val="000080"/>
              </w:rPr>
            </w:pPr>
            <w:r>
              <w:rPr>
                <w:rFonts w:cs="Garamond" w:ascii="Garamond" w:hAnsi="Garamond"/>
                <w:b/>
                <w:i/>
                <w:color w:val="000080"/>
              </w:rPr>
            </w:r>
          </w:p>
        </w:tc>
        <w:tc>
          <w:tcPr>
            <w:tcW w:w="630" w:type="dxa"/>
            <w:tcBorders>
              <w:top w:val="single" w:sz="2" w:space="0" w:color="000000"/>
              <w:start w:val="single" w:sz="2" w:space="0" w:color="000000"/>
              <w:bottom w:val="thickThinSmallGap" w:sz="24" w:space="0" w:color="00008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thickThinSmallGap" w:sz="24" w:space="0" w:color="00008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720" w:type="dxa"/>
            <w:tcBorders>
              <w:top w:val="single" w:sz="2" w:space="0" w:color="000000"/>
              <w:start w:val="single" w:sz="2" w:space="0" w:color="000000"/>
              <w:bottom w:val="thickThinSmallGap" w:sz="24" w:space="0" w:color="00008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1170" w:type="dxa"/>
            <w:tcBorders>
              <w:top w:val="single" w:sz="2" w:space="0" w:color="000000"/>
              <w:start w:val="single" w:sz="2" w:space="0" w:color="000000"/>
              <w:bottom w:val="thickThinSmallGap" w:sz="24" w:space="0" w:color="000080"/>
              <w:end w:val="single" w:sz="2" w:space="0" w:color="000000"/>
            </w:tcBorders>
            <w:shd w:fill="CCCCCC" w:val="clear"/>
          </w:tcPr>
          <w:p>
            <w:pPr>
              <w:pStyle w:val="BodyText"/>
              <w:jc w:val="center"/>
              <w:rPr>
                <w:rFonts w:ascii="Garamond" w:hAnsi="Garamond" w:cs="Garamond"/>
              </w:rPr>
            </w:pPr>
            <w:r>
              <w:rPr>
                <w:rFonts w:cs="Garamond" w:ascii="Garamond" w:hAnsi="Garamond"/>
              </w:rPr>
              <w:t>x</w:t>
            </w:r>
          </w:p>
        </w:tc>
        <w:tc>
          <w:tcPr>
            <w:tcW w:w="1170" w:type="dxa"/>
            <w:tcBorders>
              <w:top w:val="single" w:sz="2" w:space="0" w:color="000000"/>
              <w:start w:val="single" w:sz="2" w:space="0" w:color="000000"/>
              <w:bottom w:val="thickThinSmallGap" w:sz="24" w:space="0" w:color="00008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900" w:type="dxa"/>
            <w:tcBorders>
              <w:top w:val="single" w:sz="2" w:space="0" w:color="000000"/>
              <w:start w:val="single" w:sz="2" w:space="0" w:color="000000"/>
              <w:bottom w:val="thickThinSmallGap" w:sz="24" w:space="0" w:color="000080"/>
              <w:end w:val="single" w:sz="2" w:space="0" w:color="000000"/>
            </w:tcBorders>
            <w:shd w:fill="CCCCCC" w:val="clear"/>
          </w:tcPr>
          <w:p>
            <w:pPr>
              <w:pStyle w:val="BodyText"/>
              <w:snapToGrid w:val="false"/>
              <w:jc w:val="center"/>
              <w:rPr>
                <w:rFonts w:ascii="Garamond" w:hAnsi="Garamond" w:cs="Garamond"/>
              </w:rPr>
            </w:pPr>
            <w:r>
              <w:rPr>
                <w:rFonts w:cs="Garamond" w:ascii="Garamond" w:hAnsi="Garamond"/>
              </w:rPr>
            </w:r>
          </w:p>
        </w:tc>
        <w:tc>
          <w:tcPr>
            <w:tcW w:w="1170" w:type="dxa"/>
            <w:tcBorders>
              <w:top w:val="single" w:sz="2" w:space="0" w:color="000000"/>
              <w:start w:val="single" w:sz="2" w:space="0" w:color="000000"/>
              <w:bottom w:val="thickThinSmallGap" w:sz="24" w:space="0" w:color="000080"/>
              <w:end w:val="thickThinSmallGap" w:sz="24" w:space="0" w:color="000080"/>
            </w:tcBorders>
            <w:shd w:fill="CCCCCC" w:val="clear"/>
          </w:tcPr>
          <w:p>
            <w:pPr>
              <w:pStyle w:val="BodyText"/>
              <w:snapToGrid w:val="false"/>
              <w:jc w:val="center"/>
              <w:rPr>
                <w:rFonts w:ascii="Garamond" w:hAnsi="Garamond" w:cs="Garamond"/>
              </w:rPr>
            </w:pPr>
            <w:r>
              <w:rPr>
                <w:rFonts w:cs="Garamond" w:ascii="Garamond" w:hAnsi="Garamond"/>
              </w:rPr>
            </w:r>
          </w:p>
        </w:tc>
      </w:tr>
    </w:tbl>
    <w:p>
      <w:pPr>
        <w:pStyle w:val="BodyText"/>
        <w:pBdr>
          <w:top w:val="single" w:sz="12" w:space="1" w:color="000000"/>
        </w:pBdr>
        <w:rPr>
          <w:i/>
          <w:i/>
          <w:sz w:val="20"/>
        </w:rPr>
      </w:pPr>
      <w:r>
        <w:rPr>
          <w:i/>
          <w:sz w:val="20"/>
        </w:rPr>
        <w:t>x denotes future products that are yet to be announced</w:t>
      </w:r>
    </w:p>
    <w:p>
      <w:pPr>
        <w:pStyle w:val="BodyText"/>
        <w:jc w:val="both"/>
        <w:rPr>
          <w:i/>
          <w:i/>
          <w:sz w:val="20"/>
        </w:rPr>
      </w:pPr>
      <w:r>
        <w:rPr>
          <w:i/>
          <w:sz w:val="20"/>
        </w:rPr>
      </w:r>
    </w:p>
    <w:p>
      <w:pPr>
        <w:pStyle w:val="Normal"/>
        <w:pBdr>
          <w:bottom w:val="thinThickSmallGap" w:sz="24" w:space="1" w:color="000000"/>
        </w:pBdr>
        <w:spacing w:before="120" w:after="120"/>
        <w:rPr>
          <w:b/>
          <w:color w:val="000080"/>
          <w:sz w:val="36"/>
        </w:rPr>
      </w:pPr>
      <w:r>
        <w:rPr>
          <w:b/>
          <w:color w:val="000080"/>
          <w:sz w:val="36"/>
        </w:rPr>
        <w:t>I. Profiles of New Online Trading Web Sites</w:t>
      </w:r>
    </w:p>
    <w:p>
      <w:pPr>
        <w:pStyle w:val="BodyText"/>
        <w:rPr>
          <w:b/>
          <w:color w:val="000080"/>
          <w:sz w:val="36"/>
        </w:rPr>
      </w:pPr>
      <w:r>
        <w:rPr>
          <w:b/>
          <w:color w:val="000080"/>
          <w:sz w:val="36"/>
        </w:rPr>
      </w:r>
    </w:p>
    <w:p>
      <w:pPr>
        <w:pStyle w:val="BodyText"/>
        <w:rPr>
          <w:rFonts w:ascii="Courier New" w:hAnsi="Courier New" w:cs="Courier New"/>
          <w:b/>
          <w:color w:val="FF0000"/>
          <w:sz w:val="48"/>
        </w:rPr>
      </w:pPr>
      <w:r>
        <w:rPr/>
        <w:drawing>
          <wp:inline distT="0" distB="0" distL="0" distR="0">
            <wp:extent cx="2555240" cy="488950"/>
            <wp:effectExtent l="0" t="0" r="0" b="0"/>
            <wp:docPr id="1" name="coralconnec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alconnect" descr="" title=""/>
                    <pic:cNvPicPr>
                      <a:picLocks noChangeAspect="1" noChangeArrowheads="1"/>
                    </pic:cNvPicPr>
                  </pic:nvPicPr>
                  <pic:blipFill>
                    <a:blip r:embed="rId6"/>
                    <a:srcRect l="-8" t="-57" r="23959" b="-57"/>
                    <a:stretch>
                      <a:fillRect/>
                    </a:stretch>
                  </pic:blipFill>
                  <pic:spPr bwMode="auto">
                    <a:xfrm>
                      <a:off x="0" y="0"/>
                      <a:ext cx="2555240" cy="488950"/>
                    </a:xfrm>
                    <a:prstGeom prst="rect">
                      <a:avLst/>
                    </a:prstGeom>
                    <a:noFill/>
                  </pic:spPr>
                </pic:pic>
              </a:graphicData>
            </a:graphic>
          </wp:inline>
        </w:drawing>
      </w:r>
    </w:p>
    <w:p>
      <w:pPr>
        <w:pStyle w:val="BodyText"/>
        <w:pBdr>
          <w:bottom w:val="single" w:sz="18" w:space="1" w:color="000000"/>
        </w:pBdr>
        <w:rPr>
          <w:rFonts w:ascii="Courier New" w:hAnsi="Courier New" w:cs="Courier New"/>
          <w:b/>
          <w:color w:val="000080"/>
          <w:sz w:val="28"/>
        </w:rPr>
      </w:pPr>
      <w:r>
        <w:rPr>
          <w:rFonts w:cs="Courier New" w:ascii="Courier New" w:hAnsi="Courier New"/>
          <w:b/>
          <w:color w:val="000080"/>
          <w:sz w:val="28"/>
        </w:rPr>
      </w:r>
    </w:p>
    <w:p>
      <w:pPr>
        <w:pStyle w:val="Normal"/>
        <w:jc w:val="center"/>
        <w:rPr>
          <w:b/>
          <w:color w:val="000080"/>
          <w:sz w:val="24"/>
        </w:rPr>
      </w:pPr>
      <w:r>
        <w:rPr>
          <w:b/>
          <w:color w:val="000080"/>
          <w:sz w:val="24"/>
        </w:rPr>
      </w:r>
    </w:p>
    <w:tbl>
      <w:tblPr>
        <w:tblW w:w="11268" w:type="dxa"/>
        <w:jc w:val="start"/>
        <w:tblInd w:w="0" w:type="dxa"/>
        <w:tblLayout w:type="fixed"/>
        <w:tblCellMar>
          <w:top w:w="0" w:type="dxa"/>
          <w:start w:w="108" w:type="dxa"/>
          <w:bottom w:w="0" w:type="dxa"/>
          <w:end w:w="108" w:type="dxa"/>
        </w:tblCellMar>
      </w:tblPr>
      <w:tblGrid>
        <w:gridCol w:w="2178"/>
        <w:gridCol w:w="9090"/>
      </w:tblGrid>
      <w:tr>
        <w:trPr/>
        <w:tc>
          <w:tcPr>
            <w:tcW w:w="2178" w:type="dxa"/>
            <w:tcBorders/>
          </w:tcPr>
          <w:p>
            <w:pPr>
              <w:pStyle w:val="Heading5"/>
              <w:ind w:hanging="0" w:start="0"/>
              <w:rPr/>
            </w:pPr>
            <w:r>
              <w:rPr/>
              <w:t>Company</w:t>
            </w:r>
          </w:p>
        </w:tc>
        <w:tc>
          <w:tcPr>
            <w:tcW w:w="9090" w:type="dxa"/>
            <w:tcBorders/>
          </w:tcPr>
          <w:p>
            <w:pPr>
              <w:pStyle w:val="Normal"/>
              <w:rPr>
                <w:sz w:val="24"/>
              </w:rPr>
            </w:pPr>
            <w:r>
              <w:rPr>
                <w:sz w:val="24"/>
              </w:rPr>
              <w:t>Coral Energy</w:t>
            </w:r>
          </w:p>
        </w:tc>
      </w:tr>
      <w:tr>
        <w:trPr/>
        <w:tc>
          <w:tcPr>
            <w:tcW w:w="2178" w:type="dxa"/>
            <w:tcBorders/>
          </w:tcPr>
          <w:p>
            <w:pPr>
              <w:pStyle w:val="Normal"/>
              <w:snapToGrid w:val="false"/>
              <w:rPr>
                <w:b/>
                <w:color w:val="000080"/>
                <w:sz w:val="24"/>
              </w:rPr>
            </w:pPr>
            <w:r>
              <w:rPr>
                <w:b/>
                <w:color w:val="000080"/>
                <w:sz w:val="24"/>
              </w:rPr>
            </w:r>
          </w:p>
        </w:tc>
        <w:tc>
          <w:tcPr>
            <w:tcW w:w="9090" w:type="dxa"/>
            <w:tcBorders/>
          </w:tcPr>
          <w:p>
            <w:pPr>
              <w:pStyle w:val="Normal"/>
              <w:snapToGrid w:val="false"/>
              <w:rPr>
                <w:b/>
                <w:color w:val="000080"/>
                <w:sz w:val="24"/>
              </w:rPr>
            </w:pPr>
            <w:r>
              <w:rPr>
                <w:b/>
                <w:color w:val="000080"/>
                <w:sz w:val="24"/>
              </w:rPr>
            </w:r>
          </w:p>
        </w:tc>
      </w:tr>
      <w:tr>
        <w:trPr/>
        <w:tc>
          <w:tcPr>
            <w:tcW w:w="2178" w:type="dxa"/>
            <w:tcBorders/>
          </w:tcPr>
          <w:p>
            <w:pPr>
              <w:pStyle w:val="Normal"/>
              <w:rPr>
                <w:b/>
                <w:color w:val="000080"/>
                <w:sz w:val="24"/>
              </w:rPr>
            </w:pPr>
            <w:r>
              <w:rPr>
                <w:b/>
                <w:color w:val="000080"/>
                <w:sz w:val="24"/>
              </w:rPr>
              <w:t>Commodities</w:t>
            </w:r>
          </w:p>
        </w:tc>
        <w:tc>
          <w:tcPr>
            <w:tcW w:w="9090" w:type="dxa"/>
            <w:tcBorders/>
          </w:tcPr>
          <w:p>
            <w:pPr>
              <w:pStyle w:val="Heading8"/>
              <w:ind w:hanging="0" w:start="0"/>
              <w:rPr/>
            </w:pPr>
            <w:r>
              <w:rPr/>
              <w:t>Gas</w:t>
            </w:r>
          </w:p>
          <w:p>
            <w:pPr>
              <w:pStyle w:val="Normal"/>
              <w:numPr>
                <w:ilvl w:val="0"/>
                <w:numId w:val="16"/>
              </w:numPr>
              <w:rPr>
                <w:sz w:val="24"/>
              </w:rPr>
            </w:pPr>
            <w:r>
              <w:rPr>
                <w:sz w:val="24"/>
              </w:rPr>
              <w:t>NYMEX- HH 3, 6, 12 and 18 month contracts</w:t>
            </w:r>
          </w:p>
          <w:p>
            <w:pPr>
              <w:pStyle w:val="Normal"/>
              <w:ind w:start="60" w:end="0"/>
              <w:rPr>
                <w:b/>
                <w:sz w:val="24"/>
              </w:rPr>
            </w:pPr>
            <w:r>
              <w:rPr>
                <w:b/>
                <w:sz w:val="24"/>
              </w:rPr>
              <w:t>Power</w:t>
            </w:r>
          </w:p>
          <w:p>
            <w:pPr>
              <w:pStyle w:val="Normal"/>
              <w:numPr>
                <w:ilvl w:val="0"/>
                <w:numId w:val="31"/>
              </w:numPr>
              <w:rPr>
                <w:sz w:val="24"/>
              </w:rPr>
            </w:pPr>
            <w:r>
              <w:rPr>
                <w:sz w:val="24"/>
              </w:rPr>
              <w:t>NYMEX- into COB, Palo Verde, Cinergy, and Entergy</w:t>
            </w:r>
          </w:p>
          <w:p>
            <w:pPr>
              <w:pStyle w:val="Normal"/>
              <w:ind w:start="60" w:end="0"/>
              <w:rPr>
                <w:b/>
                <w:sz w:val="24"/>
              </w:rPr>
            </w:pPr>
            <w:r>
              <w:rPr>
                <w:b/>
                <w:sz w:val="24"/>
              </w:rPr>
              <w:t>Crude Oil</w:t>
            </w:r>
          </w:p>
          <w:p>
            <w:pPr>
              <w:pStyle w:val="Normal"/>
              <w:numPr>
                <w:ilvl w:val="0"/>
                <w:numId w:val="62"/>
              </w:numPr>
              <w:rPr>
                <w:sz w:val="24"/>
              </w:rPr>
            </w:pPr>
            <w:r>
              <w:rPr>
                <w:sz w:val="24"/>
              </w:rPr>
              <w:t>IPE- Brent and NYMEX- West Intermediate</w:t>
            </w:r>
          </w:p>
          <w:p>
            <w:pPr>
              <w:pStyle w:val="Normal"/>
              <w:ind w:start="60" w:end="0"/>
              <w:rPr>
                <w:b/>
                <w:sz w:val="24"/>
              </w:rPr>
            </w:pPr>
            <w:r>
              <w:rPr>
                <w:b/>
                <w:sz w:val="24"/>
              </w:rPr>
              <w:t>Products</w:t>
            </w:r>
          </w:p>
          <w:p>
            <w:pPr>
              <w:pStyle w:val="Normal"/>
              <w:numPr>
                <w:ilvl w:val="0"/>
                <w:numId w:val="5"/>
              </w:numPr>
              <w:rPr>
                <w:sz w:val="24"/>
              </w:rPr>
            </w:pPr>
            <w:r>
              <w:rPr>
                <w:sz w:val="24"/>
              </w:rPr>
              <w:t>IPE Gas Oil (ARA), NYMEX- Mt. Belvieu Propane, NYMEX- N.Y. Harbor Unleaded Gasoline, and NYMEX- N.Y. Harbor Heating Oil</w:t>
            </w:r>
          </w:p>
        </w:tc>
      </w:tr>
      <w:tr>
        <w:trPr/>
        <w:tc>
          <w:tcPr>
            <w:tcW w:w="2178" w:type="dxa"/>
            <w:tcBorders/>
          </w:tcPr>
          <w:p>
            <w:pPr>
              <w:pStyle w:val="Normal"/>
              <w:snapToGrid w:val="false"/>
              <w:rPr>
                <w:b/>
                <w:color w:val="000080"/>
                <w:sz w:val="24"/>
              </w:rPr>
            </w:pPr>
            <w:r>
              <w:rPr>
                <w:b/>
                <w:color w:val="000080"/>
                <w:sz w:val="24"/>
              </w:rPr>
            </w:r>
          </w:p>
        </w:tc>
        <w:tc>
          <w:tcPr>
            <w:tcW w:w="9090" w:type="dxa"/>
            <w:tcBorders/>
          </w:tcPr>
          <w:p>
            <w:pPr>
              <w:pStyle w:val="Normal"/>
              <w:snapToGrid w:val="false"/>
              <w:rPr>
                <w:b/>
                <w:color w:val="000080"/>
                <w:sz w:val="24"/>
              </w:rPr>
            </w:pPr>
            <w:r>
              <w:rPr>
                <w:b/>
                <w:color w:val="000080"/>
                <w:sz w:val="24"/>
              </w:rPr>
            </w:r>
          </w:p>
        </w:tc>
      </w:tr>
      <w:tr>
        <w:trPr/>
        <w:tc>
          <w:tcPr>
            <w:tcW w:w="2178" w:type="dxa"/>
            <w:tcBorders/>
          </w:tcPr>
          <w:p>
            <w:pPr>
              <w:pStyle w:val="Normal"/>
              <w:rPr>
                <w:b/>
                <w:color w:val="000080"/>
                <w:sz w:val="24"/>
              </w:rPr>
            </w:pPr>
            <w:r>
              <w:rPr>
                <w:b/>
                <w:color w:val="000080"/>
                <w:sz w:val="24"/>
              </w:rPr>
              <w:t>Prices</w:t>
            </w:r>
          </w:p>
        </w:tc>
        <w:tc>
          <w:tcPr>
            <w:tcW w:w="9090" w:type="dxa"/>
            <w:tcBorders/>
          </w:tcPr>
          <w:p>
            <w:pPr>
              <w:pStyle w:val="Normal"/>
              <w:rPr>
                <w:sz w:val="24"/>
              </w:rPr>
            </w:pPr>
            <w:r>
              <w:rPr>
                <w:sz w:val="24"/>
              </w:rPr>
              <w:t>Price Updates:</w:t>
            </w:r>
          </w:p>
          <w:p>
            <w:pPr>
              <w:pStyle w:val="Normal"/>
              <w:numPr>
                <w:ilvl w:val="0"/>
                <w:numId w:val="56"/>
              </w:numPr>
              <w:rPr>
                <w:sz w:val="24"/>
              </w:rPr>
            </w:pPr>
            <w:r>
              <w:rPr>
                <w:sz w:val="24"/>
              </w:rPr>
              <w:t>NYMEX and other exchange data are updated on 10- to 30- minute delays depending on the exchange</w:t>
            </w:r>
          </w:p>
          <w:p>
            <w:pPr>
              <w:pStyle w:val="Normal"/>
              <w:numPr>
                <w:ilvl w:val="0"/>
                <w:numId w:val="39"/>
              </w:numPr>
              <w:rPr>
                <w:sz w:val="24"/>
              </w:rPr>
            </w:pPr>
            <w:r>
              <w:rPr>
                <w:sz w:val="24"/>
              </w:rPr>
              <w:t>Coral OTC basis prices are nightly based on previous days’ market activity</w:t>
            </w:r>
          </w:p>
          <w:p>
            <w:pPr>
              <w:pStyle w:val="Normal"/>
              <w:ind w:start="60" w:end="0"/>
              <w:rPr>
                <w:sz w:val="24"/>
              </w:rPr>
            </w:pPr>
            <w:r>
              <w:rPr>
                <w:sz w:val="24"/>
              </w:rPr>
              <w:t>Price Sources:</w:t>
            </w:r>
          </w:p>
          <w:p>
            <w:pPr>
              <w:pStyle w:val="Normal"/>
              <w:numPr>
                <w:ilvl w:val="0"/>
                <w:numId w:val="61"/>
              </w:numPr>
              <w:rPr>
                <w:sz w:val="24"/>
              </w:rPr>
            </w:pPr>
            <w:r>
              <w:rPr>
                <w:sz w:val="24"/>
              </w:rPr>
              <w:t>FutureSource provides Coral’s exchange price information</w:t>
            </w:r>
          </w:p>
          <w:p>
            <w:pPr>
              <w:pStyle w:val="Normal"/>
              <w:numPr>
                <w:ilvl w:val="0"/>
                <w:numId w:val="61"/>
              </w:numPr>
              <w:rPr>
                <w:sz w:val="24"/>
              </w:rPr>
            </w:pPr>
            <w:r>
              <w:rPr>
                <w:sz w:val="24"/>
              </w:rPr>
              <w:t>Coral derives the OTC marks</w:t>
            </w:r>
          </w:p>
        </w:tc>
      </w:tr>
      <w:tr>
        <w:trPr/>
        <w:tc>
          <w:tcPr>
            <w:tcW w:w="2178" w:type="dxa"/>
            <w:tcBorders/>
          </w:tcPr>
          <w:p>
            <w:pPr>
              <w:pStyle w:val="Normal"/>
              <w:snapToGrid w:val="false"/>
              <w:rPr>
                <w:b/>
                <w:color w:val="000080"/>
                <w:sz w:val="24"/>
              </w:rPr>
            </w:pPr>
            <w:r>
              <w:rPr>
                <w:b/>
                <w:color w:val="000080"/>
                <w:sz w:val="24"/>
              </w:rPr>
            </w:r>
          </w:p>
        </w:tc>
        <w:tc>
          <w:tcPr>
            <w:tcW w:w="9090" w:type="dxa"/>
            <w:tcBorders/>
          </w:tcPr>
          <w:p>
            <w:pPr>
              <w:pStyle w:val="Normal"/>
              <w:snapToGrid w:val="false"/>
              <w:rPr>
                <w:b/>
                <w:color w:val="000080"/>
                <w:sz w:val="24"/>
              </w:rPr>
            </w:pPr>
            <w:r>
              <w:rPr>
                <w:b/>
                <w:color w:val="000080"/>
                <w:sz w:val="24"/>
              </w:rPr>
            </w:r>
          </w:p>
        </w:tc>
      </w:tr>
      <w:tr>
        <w:trPr/>
        <w:tc>
          <w:tcPr>
            <w:tcW w:w="2178" w:type="dxa"/>
            <w:tcBorders/>
          </w:tcPr>
          <w:p>
            <w:pPr>
              <w:pStyle w:val="Normal"/>
              <w:rPr>
                <w:b/>
                <w:color w:val="000080"/>
                <w:sz w:val="24"/>
              </w:rPr>
            </w:pPr>
            <w:r>
              <w:rPr>
                <w:b/>
                <w:color w:val="000080"/>
                <w:sz w:val="24"/>
              </w:rPr>
              <w:t>Cost</w:t>
            </w:r>
          </w:p>
        </w:tc>
        <w:tc>
          <w:tcPr>
            <w:tcW w:w="9090" w:type="dxa"/>
            <w:tcBorders/>
          </w:tcPr>
          <w:p>
            <w:pPr>
              <w:pStyle w:val="Normal"/>
              <w:rPr>
                <w:sz w:val="24"/>
              </w:rPr>
            </w:pPr>
            <w:r>
              <w:rPr>
                <w:sz w:val="24"/>
              </w:rPr>
              <w:t xml:space="preserve">There are NO brokerage fees on Coral Connect </w:t>
            </w:r>
          </w:p>
        </w:tc>
      </w:tr>
      <w:tr>
        <w:trPr/>
        <w:tc>
          <w:tcPr>
            <w:tcW w:w="2178" w:type="dxa"/>
            <w:tcBorders/>
          </w:tcPr>
          <w:p>
            <w:pPr>
              <w:pStyle w:val="Normal"/>
              <w:snapToGrid w:val="false"/>
              <w:rPr>
                <w:b/>
                <w:color w:val="000080"/>
                <w:sz w:val="24"/>
              </w:rPr>
            </w:pPr>
            <w:r>
              <w:rPr>
                <w:b/>
                <w:color w:val="000080"/>
                <w:sz w:val="24"/>
              </w:rPr>
            </w:r>
          </w:p>
        </w:tc>
        <w:tc>
          <w:tcPr>
            <w:tcW w:w="9090" w:type="dxa"/>
            <w:tcBorders/>
          </w:tcPr>
          <w:p>
            <w:pPr>
              <w:pStyle w:val="BodyText"/>
              <w:snapToGrid w:val="false"/>
              <w:ind w:start="60" w:end="0"/>
              <w:rPr>
                <w:b/>
                <w:color w:val="000080"/>
                <w:sz w:val="24"/>
              </w:rPr>
            </w:pPr>
            <w:r>
              <w:rPr>
                <w:b/>
                <w:color w:val="000080"/>
                <w:sz w:val="24"/>
              </w:rPr>
            </w:r>
          </w:p>
        </w:tc>
      </w:tr>
      <w:tr>
        <w:trPr/>
        <w:tc>
          <w:tcPr>
            <w:tcW w:w="2178" w:type="dxa"/>
            <w:tcBorders/>
          </w:tcPr>
          <w:p>
            <w:pPr>
              <w:pStyle w:val="Normal"/>
              <w:rPr>
                <w:b/>
                <w:color w:val="000080"/>
                <w:sz w:val="24"/>
              </w:rPr>
            </w:pPr>
            <w:r>
              <w:rPr>
                <w:b/>
                <w:color w:val="000080"/>
                <w:sz w:val="24"/>
              </w:rPr>
              <w:t>Features</w:t>
            </w:r>
          </w:p>
        </w:tc>
        <w:tc>
          <w:tcPr>
            <w:tcW w:w="9090" w:type="dxa"/>
            <w:tcBorders/>
          </w:tcPr>
          <w:p>
            <w:pPr>
              <w:pStyle w:val="BodyText"/>
              <w:numPr>
                <w:ilvl w:val="0"/>
                <w:numId w:val="15"/>
              </w:numPr>
              <w:rPr/>
            </w:pPr>
            <w:r>
              <w:rPr>
                <w:b/>
              </w:rPr>
              <w:t>Weather:</w:t>
            </w:r>
            <w:r>
              <w:rPr/>
              <w:t xml:space="preserve"> Strategic Weather Services provides weather information through FutureSource to the site</w:t>
            </w:r>
          </w:p>
          <w:p>
            <w:pPr>
              <w:pStyle w:val="BodyText"/>
              <w:numPr>
                <w:ilvl w:val="0"/>
                <w:numId w:val="15"/>
              </w:numPr>
              <w:rPr/>
            </w:pPr>
            <w:r>
              <w:rPr>
                <w:b/>
              </w:rPr>
              <w:t>News:</w:t>
            </w:r>
            <w:r>
              <w:rPr/>
              <w:t xml:space="preserve"> FutureSource World News </w:t>
            </w:r>
          </w:p>
          <w:p>
            <w:pPr>
              <w:pStyle w:val="BodyText"/>
              <w:numPr>
                <w:ilvl w:val="0"/>
                <w:numId w:val="15"/>
              </w:numPr>
              <w:rPr/>
            </w:pPr>
            <w:r>
              <w:rPr>
                <w:b/>
              </w:rPr>
              <w:t>Coral Expo:</w:t>
            </w:r>
            <w:r>
              <w:rPr/>
              <w:t xml:space="preserve"> Forum for eLearning; Coral shares risk management concepts and strategies; White papers, energy glossary, conversion factors, etc.</w:t>
            </w:r>
          </w:p>
          <w:p>
            <w:pPr>
              <w:pStyle w:val="BodyText"/>
              <w:numPr>
                <w:ilvl w:val="0"/>
                <w:numId w:val="15"/>
              </w:numPr>
              <w:rPr/>
            </w:pPr>
            <w:r>
              <w:rPr>
                <w:b/>
              </w:rPr>
              <w:t>Proprietary Coral Analysis:</w:t>
            </w:r>
            <w:r>
              <w:rPr/>
              <w:t xml:space="preserve"> provides frequency distributions for NYMEX NG and WTI twelve-month strips</w:t>
            </w:r>
          </w:p>
          <w:p>
            <w:pPr>
              <w:pStyle w:val="BodyText"/>
              <w:numPr>
                <w:ilvl w:val="0"/>
                <w:numId w:val="15"/>
              </w:numPr>
              <w:rPr/>
            </w:pPr>
            <w:r>
              <w:rPr>
                <w:b/>
              </w:rPr>
              <w:t>Market Fundamentals:</w:t>
            </w:r>
            <w:r>
              <w:rPr/>
              <w:t xml:space="preserve"> Coral’s comprehensive energy market reports</w:t>
            </w:r>
          </w:p>
          <w:p>
            <w:pPr>
              <w:pStyle w:val="BodyText"/>
              <w:numPr>
                <w:ilvl w:val="0"/>
                <w:numId w:val="15"/>
              </w:numPr>
              <w:rPr/>
            </w:pPr>
            <w:r>
              <w:rPr>
                <w:b/>
              </w:rPr>
              <w:t>Coral Charts:</w:t>
            </w:r>
            <w:r>
              <w:rPr/>
              <w:t xml:space="preserve"> historical price information for exchange contracts</w:t>
            </w:r>
          </w:p>
        </w:tc>
      </w:tr>
    </w:tbl>
    <w:p>
      <w:pPr>
        <w:pStyle w:val="BodyText"/>
        <w:rPr>
          <w:rFonts w:ascii="Impact" w:hAnsi="Impact" w:cs="Impact"/>
          <w:b/>
          <w:color w:val="000080"/>
        </w:rPr>
      </w:pPr>
      <w:r>
        <w:rPr>
          <w:rFonts w:cs="Impact" w:ascii="Impact" w:hAnsi="Impact"/>
          <w:b/>
          <w:color w:val="000080"/>
        </w:rPr>
      </w:r>
    </w:p>
    <w:p>
      <w:pPr>
        <w:pStyle w:val="BodyText"/>
        <w:rPr>
          <w:rFonts w:ascii="Impact" w:hAnsi="Impact" w:cs="Impact"/>
          <w:b/>
          <w:color w:val="000080"/>
          <w:sz w:val="48"/>
        </w:rPr>
      </w:pPr>
      <w:r>
        <w:rPr>
          <w:rFonts w:cs="Impact" w:ascii="Impact" w:hAnsi="Impact"/>
          <w:b/>
          <w:color w:val="000080"/>
          <w:sz w:val="48"/>
        </w:rPr>
        <w:drawing>
          <wp:inline distT="0" distB="0" distL="0" distR="0">
            <wp:extent cx="1097280" cy="784860"/>
            <wp:effectExtent l="0" t="0" r="0" b="0"/>
            <wp:docPr id="2" name="Dyneg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negy" descr="" title=""/>
                    <pic:cNvPicPr>
                      <a:picLocks noChangeAspect="1" noChangeArrowheads="1"/>
                    </pic:cNvPicPr>
                  </pic:nvPicPr>
                  <pic:blipFill>
                    <a:blip r:embed="rId7"/>
                    <a:srcRect l="-26" t="-37" r="-26" b="-37"/>
                    <a:stretch>
                      <a:fillRect/>
                    </a:stretch>
                  </pic:blipFill>
                  <pic:spPr bwMode="auto">
                    <a:xfrm>
                      <a:off x="0" y="0"/>
                      <a:ext cx="1097280" cy="784860"/>
                    </a:xfrm>
                    <a:prstGeom prst="rect">
                      <a:avLst/>
                    </a:prstGeom>
                    <a:noFill/>
                  </pic:spPr>
                </pic:pic>
              </a:graphicData>
            </a:graphic>
          </wp:inline>
        </w:drawing>
      </w:r>
    </w:p>
    <w:p>
      <w:pPr>
        <w:pStyle w:val="BodyText"/>
        <w:pBdr>
          <w:bottom w:val="single" w:sz="18" w:space="1" w:color="000000"/>
        </w:pBdr>
        <w:rPr>
          <w:rFonts w:ascii="Impact" w:hAnsi="Impact" w:cs="Impact"/>
          <w:b/>
          <w:color w:val="000080"/>
          <w:sz w:val="48"/>
        </w:rPr>
      </w:pPr>
      <w:r>
        <w:rPr>
          <w:rFonts w:cs="Impact" w:ascii="Impact" w:hAnsi="Impact"/>
          <w:b/>
          <w:color w:val="000080"/>
          <w:sz w:val="48"/>
        </w:rPr>
      </w:r>
    </w:p>
    <w:p>
      <w:pPr>
        <w:pStyle w:val="Heading5"/>
        <w:ind w:hanging="0" w:start="0"/>
        <w:rPr>
          <w:b w:val="false"/>
          <w:color w:val="auto"/>
        </w:rPr>
      </w:pPr>
      <w:r>
        <w:rPr>
          <w:b w:val="false"/>
          <w:color w:val="auto"/>
        </w:rPr>
      </w:r>
    </w:p>
    <w:tbl>
      <w:tblPr>
        <w:tblW w:w="11268" w:type="dxa"/>
        <w:jc w:val="start"/>
        <w:tblInd w:w="0" w:type="dxa"/>
        <w:tblLayout w:type="fixed"/>
        <w:tblCellMar>
          <w:top w:w="0" w:type="dxa"/>
          <w:start w:w="108" w:type="dxa"/>
          <w:bottom w:w="0" w:type="dxa"/>
          <w:end w:w="108" w:type="dxa"/>
        </w:tblCellMar>
      </w:tblPr>
      <w:tblGrid>
        <w:gridCol w:w="2178"/>
        <w:gridCol w:w="9090"/>
      </w:tblGrid>
      <w:tr>
        <w:trPr/>
        <w:tc>
          <w:tcPr>
            <w:tcW w:w="2178" w:type="dxa"/>
            <w:tcBorders/>
          </w:tcPr>
          <w:p>
            <w:pPr>
              <w:pStyle w:val="Heading5"/>
              <w:ind w:hanging="0" w:start="0"/>
              <w:rPr>
                <w:color w:val="800080"/>
              </w:rPr>
            </w:pPr>
            <w:r>
              <w:rPr>
                <w:color w:val="800080"/>
              </w:rPr>
              <w:t>Company</w:t>
            </w:r>
          </w:p>
        </w:tc>
        <w:tc>
          <w:tcPr>
            <w:tcW w:w="9090" w:type="dxa"/>
            <w:tcBorders/>
          </w:tcPr>
          <w:p>
            <w:pPr>
              <w:pStyle w:val="Normal"/>
              <w:rPr>
                <w:sz w:val="24"/>
              </w:rPr>
            </w:pPr>
            <w:r>
              <w:rPr>
                <w:sz w:val="24"/>
              </w:rPr>
              <w:t>Dynegy</w:t>
            </w:r>
          </w:p>
        </w:tc>
      </w:tr>
      <w:tr>
        <w:trPr/>
        <w:tc>
          <w:tcPr>
            <w:tcW w:w="2178" w:type="dxa"/>
            <w:tcBorders/>
          </w:tcPr>
          <w:p>
            <w:pPr>
              <w:pStyle w:val="Normal"/>
              <w:snapToGrid w:val="false"/>
              <w:rPr>
                <w:b/>
                <w:color w:val="800080"/>
                <w:sz w:val="24"/>
              </w:rPr>
            </w:pPr>
            <w:r>
              <w:rPr>
                <w:b/>
                <w:color w:val="800080"/>
                <w:sz w:val="24"/>
              </w:rPr>
            </w:r>
          </w:p>
        </w:tc>
        <w:tc>
          <w:tcPr>
            <w:tcW w:w="9090" w:type="dxa"/>
            <w:tcBorders/>
          </w:tcPr>
          <w:p>
            <w:pPr>
              <w:pStyle w:val="Normal"/>
              <w:snapToGrid w:val="false"/>
              <w:rPr>
                <w:b/>
                <w:color w:val="800080"/>
                <w:sz w:val="24"/>
              </w:rPr>
            </w:pPr>
            <w:r>
              <w:rPr>
                <w:b/>
                <w:color w:val="800080"/>
                <w:sz w:val="24"/>
              </w:rPr>
            </w:r>
          </w:p>
        </w:tc>
      </w:tr>
      <w:tr>
        <w:trPr/>
        <w:tc>
          <w:tcPr>
            <w:tcW w:w="2178" w:type="dxa"/>
            <w:tcBorders/>
          </w:tcPr>
          <w:p>
            <w:pPr>
              <w:pStyle w:val="Normal"/>
              <w:rPr>
                <w:b/>
                <w:color w:val="800080"/>
                <w:sz w:val="24"/>
              </w:rPr>
            </w:pPr>
            <w:r>
              <w:rPr>
                <w:b/>
                <w:color w:val="800080"/>
                <w:sz w:val="24"/>
              </w:rPr>
              <w:t>Future Plans</w:t>
            </w:r>
          </w:p>
        </w:tc>
        <w:tc>
          <w:tcPr>
            <w:tcW w:w="9090" w:type="dxa"/>
            <w:tcBorders/>
          </w:tcPr>
          <w:p>
            <w:pPr>
              <w:pStyle w:val="Normal"/>
              <w:rPr/>
            </w:pPr>
            <w:r>
              <w:rPr>
                <w:color w:val="FF0000"/>
                <w:sz w:val="24"/>
              </w:rPr>
              <w:t>Dynegy has NOT publicly announced plans</w:t>
            </w:r>
            <w:r>
              <w:rPr>
                <w:sz w:val="24"/>
              </w:rPr>
              <w:t xml:space="preserve"> to unveil an online trading website. However, Steve Bergstrom, President and COO, has made statements indicating that Dynegy will launch an online trading vehicle. Dynegy spent an estimated $5M on brokerage fees in 1999 and sees online trading as a method of reducing those costs. </w:t>
            </w:r>
          </w:p>
        </w:tc>
      </w:tr>
      <w:tr>
        <w:trPr/>
        <w:tc>
          <w:tcPr>
            <w:tcW w:w="2178" w:type="dxa"/>
            <w:tcBorders/>
          </w:tcPr>
          <w:p>
            <w:pPr>
              <w:pStyle w:val="Normal"/>
              <w:snapToGrid w:val="false"/>
              <w:rPr>
                <w:b/>
                <w:color w:val="800080"/>
                <w:sz w:val="24"/>
              </w:rPr>
            </w:pPr>
            <w:r>
              <w:rPr>
                <w:b/>
                <w:color w:val="800080"/>
                <w:sz w:val="24"/>
              </w:rPr>
            </w:r>
          </w:p>
        </w:tc>
        <w:tc>
          <w:tcPr>
            <w:tcW w:w="9090" w:type="dxa"/>
            <w:tcBorders/>
          </w:tcPr>
          <w:p>
            <w:pPr>
              <w:pStyle w:val="Normal"/>
              <w:snapToGrid w:val="false"/>
              <w:rPr>
                <w:b/>
                <w:color w:val="800080"/>
                <w:sz w:val="24"/>
              </w:rPr>
            </w:pPr>
            <w:r>
              <w:rPr>
                <w:b/>
                <w:color w:val="800080"/>
                <w:sz w:val="24"/>
              </w:rPr>
            </w:r>
          </w:p>
        </w:tc>
      </w:tr>
      <w:tr>
        <w:trPr/>
        <w:tc>
          <w:tcPr>
            <w:tcW w:w="2178" w:type="dxa"/>
            <w:tcBorders/>
          </w:tcPr>
          <w:p>
            <w:pPr>
              <w:pStyle w:val="Normal"/>
              <w:rPr>
                <w:b/>
                <w:color w:val="800080"/>
                <w:sz w:val="24"/>
              </w:rPr>
            </w:pPr>
            <w:r>
              <w:rPr>
                <w:b/>
                <w:color w:val="800080"/>
                <w:sz w:val="24"/>
              </w:rPr>
              <w:t>Commodities</w:t>
            </w:r>
          </w:p>
        </w:tc>
        <w:tc>
          <w:tcPr>
            <w:tcW w:w="9090" w:type="dxa"/>
            <w:tcBorders/>
          </w:tcPr>
          <w:p>
            <w:pPr>
              <w:pStyle w:val="Normal"/>
              <w:rPr>
                <w:sz w:val="24"/>
              </w:rPr>
            </w:pPr>
            <w:r>
              <w:rPr>
                <w:sz w:val="24"/>
              </w:rPr>
              <w:t>Gas, Power, and Crude are expected to be among the commodities offered on the Dynegy site</w:t>
            </w:r>
          </w:p>
        </w:tc>
      </w:tr>
    </w:tbl>
    <w:p>
      <w:pPr>
        <w:pStyle w:val="BodyText"/>
        <w:rPr>
          <w:sz w:val="36"/>
        </w:rPr>
      </w:pPr>
      <w:r>
        <w:rPr>
          <w:sz w:val="36"/>
        </w:rPr>
      </w:r>
    </w:p>
    <w:p>
      <w:pPr>
        <w:pStyle w:val="BodyText"/>
        <w:rPr>
          <w:rFonts w:ascii="Courier New" w:hAnsi="Courier New" w:cs="Courier New"/>
          <w:b/>
          <w:color w:val="FF0000"/>
          <w:sz w:val="48"/>
        </w:rPr>
      </w:pPr>
      <w:r>
        <w:rPr>
          <w:rFonts w:cs="Courier New" w:ascii="Courier New" w:hAnsi="Courier New"/>
          <w:b/>
          <w:color w:val="FF0000"/>
          <w:sz w:val="48"/>
        </w:rPr>
        <w:t>RedMeteor.com</w:t>
      </w:r>
    </w:p>
    <w:p>
      <w:pPr>
        <w:pStyle w:val="BodyText"/>
        <w:pBdr>
          <w:bottom w:val="single" w:sz="18" w:space="1" w:color="000000"/>
        </w:pBdr>
        <w:rPr>
          <w:rFonts w:ascii="Courier New" w:hAnsi="Courier New" w:cs="Courier New"/>
          <w:b/>
          <w:color w:val="000080"/>
          <w:sz w:val="16"/>
        </w:rPr>
      </w:pPr>
      <w:r>
        <w:rPr>
          <w:rFonts w:cs="Courier New" w:ascii="Courier New" w:hAnsi="Courier New"/>
          <w:b/>
          <w:color w:val="000080"/>
          <w:sz w:val="16"/>
        </w:rPr>
      </w:r>
    </w:p>
    <w:p>
      <w:pPr>
        <w:pStyle w:val="BodyText"/>
        <w:rPr>
          <w:b/>
          <w:color w:val="000080"/>
          <w:sz w:val="16"/>
        </w:rPr>
      </w:pPr>
      <w:r>
        <w:rPr>
          <w:b/>
          <w:color w:val="000080"/>
          <w:sz w:val="16"/>
        </w:rPr>
      </w:r>
    </w:p>
    <w:tbl>
      <w:tblPr>
        <w:tblW w:w="11268" w:type="dxa"/>
        <w:jc w:val="start"/>
        <w:tblInd w:w="0" w:type="dxa"/>
        <w:tblLayout w:type="fixed"/>
        <w:tblCellMar>
          <w:top w:w="0" w:type="dxa"/>
          <w:start w:w="108" w:type="dxa"/>
          <w:bottom w:w="0" w:type="dxa"/>
          <w:end w:w="108" w:type="dxa"/>
        </w:tblCellMar>
      </w:tblPr>
      <w:tblGrid>
        <w:gridCol w:w="2178"/>
        <w:gridCol w:w="9090"/>
      </w:tblGrid>
      <w:tr>
        <w:trPr/>
        <w:tc>
          <w:tcPr>
            <w:tcW w:w="2178" w:type="dxa"/>
            <w:tcBorders/>
          </w:tcPr>
          <w:p>
            <w:pPr>
              <w:pStyle w:val="BodyText"/>
              <w:rPr>
                <w:b/>
                <w:color w:val="FF0000"/>
              </w:rPr>
            </w:pPr>
            <w:r>
              <w:rPr>
                <w:b/>
                <w:color w:val="FF0000"/>
              </w:rPr>
              <w:t>Company Description</w:t>
            </w:r>
          </w:p>
        </w:tc>
        <w:tc>
          <w:tcPr>
            <w:tcW w:w="9090" w:type="dxa"/>
            <w:tcBorders/>
          </w:tcPr>
          <w:p>
            <w:pPr>
              <w:pStyle w:val="BodyText"/>
              <w:numPr>
                <w:ilvl w:val="0"/>
                <w:numId w:val="48"/>
              </w:numPr>
              <w:rPr/>
            </w:pPr>
            <w:r>
              <w:rPr/>
              <w:t>RedMeteor.com is an online energy exchange</w:t>
            </w:r>
          </w:p>
          <w:p>
            <w:pPr>
              <w:pStyle w:val="BodyText"/>
              <w:numPr>
                <w:ilvl w:val="0"/>
                <w:numId w:val="34"/>
              </w:numPr>
              <w:rPr/>
            </w:pPr>
            <w:r>
              <w:rPr/>
              <w:t>The company name, RedMeteor.com was reserved in Austin, Texas on December 8, 1999 by Corporation Service Company</w:t>
            </w:r>
          </w:p>
        </w:tc>
      </w:tr>
      <w:tr>
        <w:trPr/>
        <w:tc>
          <w:tcPr>
            <w:tcW w:w="2178" w:type="dxa"/>
            <w:tcBorders/>
          </w:tcPr>
          <w:p>
            <w:pPr>
              <w:pStyle w:val="BodyText"/>
              <w:snapToGrid w:val="false"/>
              <w:rPr>
                <w:b/>
                <w:color w:val="FF0000"/>
              </w:rPr>
            </w:pPr>
            <w:r>
              <w:rPr>
                <w:b/>
                <w:color w:val="FF0000"/>
              </w:rPr>
            </w:r>
          </w:p>
        </w:tc>
        <w:tc>
          <w:tcPr>
            <w:tcW w:w="9090" w:type="dxa"/>
            <w:tcBorders/>
          </w:tcPr>
          <w:p>
            <w:pPr>
              <w:pStyle w:val="BodyText"/>
              <w:snapToGrid w:val="false"/>
              <w:rPr>
                <w:b/>
                <w:color w:val="FF0000"/>
              </w:rPr>
            </w:pPr>
            <w:r>
              <w:rPr>
                <w:b/>
                <w:color w:val="FF0000"/>
              </w:rPr>
            </w:r>
          </w:p>
        </w:tc>
      </w:tr>
      <w:tr>
        <w:trPr/>
        <w:tc>
          <w:tcPr>
            <w:tcW w:w="2178" w:type="dxa"/>
            <w:tcBorders/>
          </w:tcPr>
          <w:p>
            <w:pPr>
              <w:pStyle w:val="BodyText"/>
              <w:rPr>
                <w:b/>
                <w:color w:val="FF0000"/>
              </w:rPr>
            </w:pPr>
            <w:r>
              <w:rPr>
                <w:b/>
                <w:color w:val="FF0000"/>
              </w:rPr>
              <w:t>Commodities</w:t>
            </w:r>
          </w:p>
        </w:tc>
        <w:tc>
          <w:tcPr>
            <w:tcW w:w="9090" w:type="dxa"/>
            <w:tcBorders/>
          </w:tcPr>
          <w:p>
            <w:pPr>
              <w:pStyle w:val="BodyText"/>
              <w:rPr/>
            </w:pPr>
            <w:r>
              <w:rPr/>
              <w:t>Multiple Commodities</w:t>
            </w:r>
          </w:p>
        </w:tc>
      </w:tr>
      <w:tr>
        <w:trPr/>
        <w:tc>
          <w:tcPr>
            <w:tcW w:w="2178" w:type="dxa"/>
            <w:tcBorders/>
          </w:tcPr>
          <w:p>
            <w:pPr>
              <w:pStyle w:val="BodyText"/>
              <w:snapToGrid w:val="false"/>
              <w:rPr>
                <w:b/>
                <w:color w:val="FF0000"/>
              </w:rPr>
            </w:pPr>
            <w:r>
              <w:rPr>
                <w:b/>
                <w:color w:val="FF0000"/>
              </w:rPr>
            </w:r>
          </w:p>
        </w:tc>
        <w:tc>
          <w:tcPr>
            <w:tcW w:w="9090" w:type="dxa"/>
            <w:tcBorders/>
          </w:tcPr>
          <w:p>
            <w:pPr>
              <w:pStyle w:val="BodyText"/>
              <w:snapToGrid w:val="false"/>
              <w:rPr>
                <w:b/>
                <w:color w:val="FF0000"/>
              </w:rPr>
            </w:pPr>
            <w:r>
              <w:rPr>
                <w:b/>
                <w:color w:val="FF0000"/>
              </w:rPr>
            </w:r>
          </w:p>
        </w:tc>
      </w:tr>
      <w:tr>
        <w:trPr/>
        <w:tc>
          <w:tcPr>
            <w:tcW w:w="2178" w:type="dxa"/>
            <w:tcBorders/>
          </w:tcPr>
          <w:p>
            <w:pPr>
              <w:pStyle w:val="BodyText"/>
              <w:rPr>
                <w:b/>
                <w:color w:val="FF0000"/>
              </w:rPr>
            </w:pPr>
            <w:r>
              <w:rPr>
                <w:b/>
                <w:color w:val="FF0000"/>
              </w:rPr>
              <w:t>Features</w:t>
            </w:r>
          </w:p>
        </w:tc>
        <w:tc>
          <w:tcPr>
            <w:tcW w:w="9090" w:type="dxa"/>
            <w:tcBorders/>
          </w:tcPr>
          <w:p>
            <w:pPr>
              <w:pStyle w:val="BodyText"/>
              <w:numPr>
                <w:ilvl w:val="0"/>
                <w:numId w:val="43"/>
              </w:numPr>
              <w:rPr/>
            </w:pPr>
            <w:r>
              <w:rPr/>
              <w:t>Market Info</w:t>
            </w:r>
          </w:p>
          <w:p>
            <w:pPr>
              <w:pStyle w:val="BodyText"/>
              <w:numPr>
                <w:ilvl w:val="0"/>
                <w:numId w:val="43"/>
              </w:numPr>
              <w:rPr/>
            </w:pPr>
            <w:r>
              <w:rPr/>
              <w:t>Global Network</w:t>
            </w:r>
          </w:p>
        </w:tc>
      </w:tr>
    </w:tbl>
    <w:p>
      <w:pPr>
        <w:pStyle w:val="BodyText"/>
        <w:rPr/>
      </w:pPr>
      <w:r>
        <w:rPr/>
        <w:t xml:space="preserve"> </w:t>
      </w:r>
    </w:p>
    <w:p>
      <w:pPr>
        <w:pStyle w:val="BodyText"/>
        <w:jc w:val="center"/>
        <w:rPr>
          <w:b/>
          <w:color w:val="000080"/>
        </w:rPr>
      </w:pPr>
      <w:r>
        <w:rPr>
          <w:b/>
          <w:color w:val="000080"/>
        </w:rPr>
      </w:r>
    </w:p>
    <w:p>
      <w:pPr>
        <w:pStyle w:val="BodyText"/>
        <w:rPr>
          <w:b/>
          <w:color w:val="000080"/>
        </w:rPr>
      </w:pPr>
      <w:r>
        <w:rPr>
          <w:b/>
          <w:color w:val="000080"/>
        </w:rPr>
        <w:drawing>
          <wp:inline distT="0" distB="0" distL="0" distR="0">
            <wp:extent cx="2295525" cy="600075"/>
            <wp:effectExtent l="0" t="0" r="0" b="0"/>
            <wp:docPr id="3" name="MyBrok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Broker" descr="" title=""/>
                    <pic:cNvPicPr>
                      <a:picLocks noChangeAspect="1" noChangeArrowheads="1"/>
                    </pic:cNvPicPr>
                  </pic:nvPicPr>
                  <pic:blipFill>
                    <a:blip r:embed="rId8"/>
                    <a:srcRect l="-16" t="-60" r="-16" b="-60"/>
                    <a:stretch>
                      <a:fillRect/>
                    </a:stretch>
                  </pic:blipFill>
                  <pic:spPr bwMode="auto">
                    <a:xfrm>
                      <a:off x="0" y="0"/>
                      <a:ext cx="2295525" cy="600075"/>
                    </a:xfrm>
                    <a:prstGeom prst="rect">
                      <a:avLst/>
                    </a:prstGeom>
                    <a:noFill/>
                  </pic:spPr>
                </pic:pic>
              </a:graphicData>
            </a:graphic>
          </wp:inline>
        </w:drawing>
      </w:r>
    </w:p>
    <w:p>
      <w:pPr>
        <w:pStyle w:val="BodyText"/>
        <w:pBdr>
          <w:bottom w:val="single" w:sz="18" w:space="1" w:color="000000"/>
        </w:pBdr>
        <w:rPr>
          <w:b/>
          <w:color w:val="000080"/>
        </w:rPr>
      </w:pPr>
      <w:r>
        <w:rPr>
          <w:b/>
          <w:color w:val="000080"/>
        </w:rPr>
      </w:r>
    </w:p>
    <w:p>
      <w:pPr>
        <w:pStyle w:val="BodyText"/>
        <w:rPr>
          <w:b/>
          <w:color w:val="000080"/>
        </w:rPr>
      </w:pPr>
      <w:r>
        <w:rPr>
          <w:b/>
          <w:color w:val="000080"/>
        </w:rPr>
      </w:r>
    </w:p>
    <w:p>
      <w:pPr>
        <w:pStyle w:val="BodyText"/>
        <w:rPr/>
      </w:pPr>
      <w:r>
        <w:rPr/>
        <w:t>Sweeping changes are coming to Ontario’s $10B electricity market in 2000 when the provincial government introduces full retail and wholesale competition.  In response, MyBroker.com is being developed with aims to be Ontario’s online trading center and currently under going test runs.</w:t>
      </w:r>
    </w:p>
    <w:p>
      <w:pPr>
        <w:pStyle w:val="BodyText"/>
        <w:rPr>
          <w:color w:val="000080"/>
          <w:sz w:val="28"/>
        </w:rPr>
      </w:pPr>
      <w:r>
        <w:rPr>
          <w:color w:val="000080"/>
          <w:sz w:val="28"/>
        </w:rPr>
      </w:r>
    </w:p>
    <w:tbl>
      <w:tblPr>
        <w:tblW w:w="11268" w:type="dxa"/>
        <w:jc w:val="start"/>
        <w:tblInd w:w="0" w:type="dxa"/>
        <w:tblLayout w:type="fixed"/>
        <w:tblCellMar>
          <w:top w:w="0" w:type="dxa"/>
          <w:start w:w="108" w:type="dxa"/>
          <w:bottom w:w="0" w:type="dxa"/>
          <w:end w:w="108" w:type="dxa"/>
        </w:tblCellMar>
      </w:tblPr>
      <w:tblGrid>
        <w:gridCol w:w="1818"/>
        <w:gridCol w:w="9450"/>
      </w:tblGrid>
      <w:tr>
        <w:trPr/>
        <w:tc>
          <w:tcPr>
            <w:tcW w:w="1818" w:type="dxa"/>
            <w:tcBorders/>
          </w:tcPr>
          <w:p>
            <w:pPr>
              <w:pStyle w:val="BodyText"/>
              <w:rPr>
                <w:b/>
              </w:rPr>
            </w:pPr>
            <w:r>
              <w:rPr>
                <w:b/>
              </w:rPr>
              <w:t>Headquarters</w:t>
            </w:r>
          </w:p>
        </w:tc>
        <w:tc>
          <w:tcPr>
            <w:tcW w:w="9450" w:type="dxa"/>
            <w:tcBorders/>
          </w:tcPr>
          <w:p>
            <w:pPr>
              <w:pStyle w:val="BodyText"/>
              <w:rPr/>
            </w:pPr>
            <w:r>
              <w:rPr/>
              <w:t>Ontario, Canada</w:t>
            </w:r>
          </w:p>
        </w:tc>
      </w:tr>
      <w:tr>
        <w:trPr/>
        <w:tc>
          <w:tcPr>
            <w:tcW w:w="1818" w:type="dxa"/>
            <w:tcBorders/>
          </w:tcPr>
          <w:p>
            <w:pPr>
              <w:pStyle w:val="BodyText"/>
              <w:snapToGrid w:val="false"/>
              <w:rPr>
                <w:b/>
              </w:rPr>
            </w:pPr>
            <w:r>
              <w:rPr>
                <w:b/>
              </w:rPr>
            </w:r>
          </w:p>
        </w:tc>
        <w:tc>
          <w:tcPr>
            <w:tcW w:w="9450" w:type="dxa"/>
            <w:tcBorders/>
          </w:tcPr>
          <w:p>
            <w:pPr>
              <w:pStyle w:val="BodyText"/>
              <w:snapToGrid w:val="false"/>
              <w:ind w:start="60" w:end="0"/>
              <w:rPr>
                <w:b/>
              </w:rPr>
            </w:pPr>
            <w:r>
              <w:rPr>
                <w:b/>
              </w:rPr>
            </w:r>
          </w:p>
        </w:tc>
      </w:tr>
      <w:tr>
        <w:trPr/>
        <w:tc>
          <w:tcPr>
            <w:tcW w:w="1818" w:type="dxa"/>
            <w:tcBorders/>
          </w:tcPr>
          <w:p>
            <w:pPr>
              <w:pStyle w:val="BodyText"/>
              <w:rPr>
                <w:b/>
              </w:rPr>
            </w:pPr>
            <w:r>
              <w:rPr>
                <w:b/>
              </w:rPr>
              <w:t>Commodity</w:t>
            </w:r>
          </w:p>
        </w:tc>
        <w:tc>
          <w:tcPr>
            <w:tcW w:w="9450" w:type="dxa"/>
            <w:tcBorders/>
          </w:tcPr>
          <w:p>
            <w:pPr>
              <w:pStyle w:val="BodyText"/>
              <w:rPr/>
            </w:pPr>
            <w:r>
              <w:rPr/>
              <w:t>Power</w:t>
            </w:r>
          </w:p>
        </w:tc>
      </w:tr>
      <w:tr>
        <w:trPr/>
        <w:tc>
          <w:tcPr>
            <w:tcW w:w="1818" w:type="dxa"/>
            <w:tcBorders/>
          </w:tcPr>
          <w:p>
            <w:pPr>
              <w:pStyle w:val="BodyText"/>
              <w:snapToGrid w:val="false"/>
              <w:rPr>
                <w:b/>
              </w:rPr>
            </w:pPr>
            <w:r>
              <w:rPr>
                <w:b/>
              </w:rPr>
            </w:r>
          </w:p>
        </w:tc>
        <w:tc>
          <w:tcPr>
            <w:tcW w:w="9450" w:type="dxa"/>
            <w:tcBorders/>
          </w:tcPr>
          <w:p>
            <w:pPr>
              <w:pStyle w:val="BodyText"/>
              <w:snapToGrid w:val="false"/>
              <w:ind w:start="60" w:end="0"/>
              <w:rPr>
                <w:b/>
              </w:rPr>
            </w:pPr>
            <w:r>
              <w:rPr>
                <w:b/>
              </w:rPr>
            </w:r>
          </w:p>
        </w:tc>
      </w:tr>
      <w:tr>
        <w:trPr/>
        <w:tc>
          <w:tcPr>
            <w:tcW w:w="1818" w:type="dxa"/>
            <w:tcBorders/>
          </w:tcPr>
          <w:p>
            <w:pPr>
              <w:pStyle w:val="BodyText"/>
              <w:rPr>
                <w:b/>
              </w:rPr>
            </w:pPr>
            <w:r>
              <w:rPr>
                <w:b/>
              </w:rPr>
              <w:t>Officers</w:t>
            </w:r>
          </w:p>
        </w:tc>
        <w:tc>
          <w:tcPr>
            <w:tcW w:w="9450" w:type="dxa"/>
            <w:tcBorders/>
          </w:tcPr>
          <w:p>
            <w:pPr>
              <w:pStyle w:val="BodyText"/>
              <w:rPr/>
            </w:pPr>
            <w:r>
              <w:rPr/>
              <w:t>David Rudd</w:t>
            </w:r>
          </w:p>
          <w:p>
            <w:pPr>
              <w:pStyle w:val="BodyText"/>
              <w:numPr>
                <w:ilvl w:val="0"/>
                <w:numId w:val="38"/>
              </w:numPr>
              <w:rPr/>
            </w:pPr>
            <w:r>
              <w:rPr/>
              <w:t>Merill Lynch; Commodity and Financial Products; 1979-Present</w:t>
            </w:r>
          </w:p>
          <w:p>
            <w:pPr>
              <w:pStyle w:val="BodyText"/>
              <w:numPr>
                <w:ilvl w:val="0"/>
                <w:numId w:val="38"/>
              </w:numPr>
              <w:rPr/>
            </w:pPr>
            <w:r>
              <w:rPr/>
              <w:t>Past Chair of the Derivatives Committee of the Montreal Stock Exchange</w:t>
            </w:r>
          </w:p>
          <w:p>
            <w:pPr>
              <w:pStyle w:val="BodyText"/>
              <w:numPr>
                <w:ilvl w:val="0"/>
                <w:numId w:val="38"/>
              </w:numPr>
              <w:rPr/>
            </w:pPr>
            <w:r>
              <w:rPr/>
              <w:t>The Board of Governors of the Toronto Futures Exchange</w:t>
            </w:r>
          </w:p>
        </w:tc>
      </w:tr>
      <w:tr>
        <w:trPr/>
        <w:tc>
          <w:tcPr>
            <w:tcW w:w="1818" w:type="dxa"/>
            <w:tcBorders/>
          </w:tcPr>
          <w:p>
            <w:pPr>
              <w:pStyle w:val="BodyText"/>
              <w:snapToGrid w:val="false"/>
              <w:rPr>
                <w:b/>
              </w:rPr>
            </w:pPr>
            <w:r>
              <w:rPr>
                <w:b/>
              </w:rPr>
            </w:r>
          </w:p>
        </w:tc>
        <w:tc>
          <w:tcPr>
            <w:tcW w:w="9450" w:type="dxa"/>
            <w:tcBorders/>
          </w:tcPr>
          <w:p>
            <w:pPr>
              <w:pStyle w:val="BodyText"/>
              <w:snapToGrid w:val="false"/>
              <w:rPr>
                <w:b/>
              </w:rPr>
            </w:pPr>
            <w:r>
              <w:rPr>
                <w:b/>
              </w:rPr>
            </w:r>
          </w:p>
        </w:tc>
      </w:tr>
      <w:tr>
        <w:trPr/>
        <w:tc>
          <w:tcPr>
            <w:tcW w:w="1818" w:type="dxa"/>
            <w:tcBorders/>
          </w:tcPr>
          <w:p>
            <w:pPr>
              <w:pStyle w:val="BodyText"/>
              <w:rPr>
                <w:b/>
              </w:rPr>
            </w:pPr>
            <w:r>
              <w:rPr>
                <w:b/>
              </w:rPr>
              <w:t>Technology</w:t>
            </w:r>
          </w:p>
        </w:tc>
        <w:tc>
          <w:tcPr>
            <w:tcW w:w="9450" w:type="dxa"/>
            <w:tcBorders/>
          </w:tcPr>
          <w:p>
            <w:pPr>
              <w:pStyle w:val="BodyText"/>
              <w:rPr/>
            </w:pPr>
            <w:r>
              <w:rPr/>
              <w:t>VoltZ is an Internet based Java application for trading electrical power forwards. It supports real-time distribution of prices to customers buying or selling term power.</w:t>
            </w:r>
          </w:p>
        </w:tc>
      </w:tr>
    </w:tbl>
    <w:p>
      <w:pPr>
        <w:pStyle w:val="BodyText"/>
        <w:rPr/>
      </w:pPr>
      <w:r>
        <w:rPr/>
      </w:r>
    </w:p>
    <w:p>
      <w:pPr>
        <w:pStyle w:val="BodyText"/>
        <w:rPr>
          <w:b/>
          <w:color w:val="008000"/>
          <w:sz w:val="36"/>
        </w:rPr>
      </w:pPr>
      <w:r>
        <w:rPr>
          <w:b/>
          <w:color w:val="008000"/>
          <w:sz w:val="36"/>
        </w:rPr>
        <w:t>Bloomberg Power Match Trading System</w:t>
      </w:r>
    </w:p>
    <w:p>
      <w:pPr>
        <w:pStyle w:val="BodyText"/>
        <w:pBdr>
          <w:bottom w:val="single" w:sz="18" w:space="1" w:color="000000"/>
        </w:pBdr>
        <w:rPr>
          <w:b/>
          <w:color w:val="008000"/>
          <w:sz w:val="36"/>
        </w:rPr>
      </w:pPr>
      <w:r>
        <w:rPr>
          <w:b/>
          <w:color w:val="008000"/>
          <w:sz w:val="36"/>
        </w:rPr>
      </w:r>
    </w:p>
    <w:p>
      <w:pPr>
        <w:pStyle w:val="Heading5"/>
        <w:ind w:hanging="0" w:start="0"/>
        <w:rPr>
          <w:b w:val="false"/>
          <w:color w:val="auto"/>
        </w:rPr>
      </w:pPr>
      <w:r>
        <w:rPr>
          <w:b w:val="false"/>
          <w:color w:val="auto"/>
        </w:rPr>
      </w:r>
    </w:p>
    <w:tbl>
      <w:tblPr>
        <w:tblW w:w="11268" w:type="dxa"/>
        <w:jc w:val="start"/>
        <w:tblInd w:w="0" w:type="dxa"/>
        <w:tblLayout w:type="fixed"/>
        <w:tblCellMar>
          <w:top w:w="0" w:type="dxa"/>
          <w:start w:w="108" w:type="dxa"/>
          <w:bottom w:w="0" w:type="dxa"/>
          <w:end w:w="108" w:type="dxa"/>
        </w:tblCellMar>
      </w:tblPr>
      <w:tblGrid>
        <w:gridCol w:w="2178"/>
        <w:gridCol w:w="9090"/>
      </w:tblGrid>
      <w:tr>
        <w:trPr/>
        <w:tc>
          <w:tcPr>
            <w:tcW w:w="2178" w:type="dxa"/>
            <w:tcBorders/>
          </w:tcPr>
          <w:p>
            <w:pPr>
              <w:pStyle w:val="Normal"/>
              <w:rPr>
                <w:b/>
                <w:color w:val="008000"/>
                <w:sz w:val="24"/>
              </w:rPr>
            </w:pPr>
            <w:r>
              <w:rPr>
                <w:b/>
                <w:color w:val="008000"/>
                <w:sz w:val="24"/>
              </w:rPr>
              <w:t>Company</w:t>
            </w:r>
          </w:p>
        </w:tc>
        <w:tc>
          <w:tcPr>
            <w:tcW w:w="9090" w:type="dxa"/>
            <w:tcBorders/>
          </w:tcPr>
          <w:p>
            <w:pPr>
              <w:pStyle w:val="Normal"/>
              <w:numPr>
                <w:ilvl w:val="0"/>
                <w:numId w:val="52"/>
              </w:numPr>
              <w:rPr>
                <w:sz w:val="24"/>
              </w:rPr>
            </w:pPr>
            <w:r>
              <w:rPr>
                <w:sz w:val="24"/>
              </w:rPr>
              <w:t>The company began offering real-time trading for electricity in September 1999.</w:t>
            </w:r>
          </w:p>
          <w:p>
            <w:pPr>
              <w:pStyle w:val="Normal"/>
              <w:numPr>
                <w:ilvl w:val="0"/>
                <w:numId w:val="52"/>
              </w:numPr>
              <w:rPr>
                <w:sz w:val="24"/>
              </w:rPr>
            </w:pPr>
            <w:r>
              <w:rPr>
                <w:sz w:val="24"/>
              </w:rPr>
              <w:t>Director of Electronic Trading for Energy is Andrew Houseman</w:t>
            </w:r>
          </w:p>
        </w:tc>
      </w:tr>
      <w:tr>
        <w:trPr/>
        <w:tc>
          <w:tcPr>
            <w:tcW w:w="2178" w:type="dxa"/>
            <w:tcBorders/>
          </w:tcPr>
          <w:p>
            <w:pPr>
              <w:pStyle w:val="Normal"/>
              <w:snapToGrid w:val="false"/>
              <w:rPr>
                <w:b/>
                <w:color w:val="008000"/>
                <w:sz w:val="24"/>
              </w:rPr>
            </w:pPr>
            <w:r>
              <w:rPr>
                <w:b/>
                <w:color w:val="008000"/>
                <w:sz w:val="24"/>
              </w:rPr>
            </w:r>
          </w:p>
        </w:tc>
        <w:tc>
          <w:tcPr>
            <w:tcW w:w="9090" w:type="dxa"/>
            <w:tcBorders/>
          </w:tcPr>
          <w:p>
            <w:pPr>
              <w:pStyle w:val="Normal"/>
              <w:snapToGrid w:val="false"/>
              <w:rPr>
                <w:b/>
                <w:color w:val="008000"/>
                <w:sz w:val="24"/>
              </w:rPr>
            </w:pPr>
            <w:r>
              <w:rPr>
                <w:b/>
                <w:color w:val="008000"/>
                <w:sz w:val="24"/>
              </w:rPr>
            </w:r>
          </w:p>
        </w:tc>
      </w:tr>
      <w:tr>
        <w:trPr/>
        <w:tc>
          <w:tcPr>
            <w:tcW w:w="2178" w:type="dxa"/>
            <w:tcBorders/>
          </w:tcPr>
          <w:p>
            <w:pPr>
              <w:pStyle w:val="Normal"/>
              <w:rPr>
                <w:b/>
                <w:color w:val="008000"/>
                <w:sz w:val="24"/>
              </w:rPr>
            </w:pPr>
            <w:r>
              <w:rPr>
                <w:b/>
                <w:color w:val="008000"/>
                <w:sz w:val="24"/>
              </w:rPr>
              <w:t>Commodities</w:t>
            </w:r>
          </w:p>
        </w:tc>
        <w:tc>
          <w:tcPr>
            <w:tcW w:w="9090" w:type="dxa"/>
            <w:tcBorders/>
          </w:tcPr>
          <w:p>
            <w:pPr>
              <w:pStyle w:val="Normal"/>
              <w:numPr>
                <w:ilvl w:val="0"/>
                <w:numId w:val="46"/>
              </w:numPr>
              <w:rPr>
                <w:sz w:val="24"/>
              </w:rPr>
            </w:pPr>
            <w:r>
              <w:rPr>
                <w:sz w:val="24"/>
              </w:rPr>
              <w:t>Power</w:t>
            </w:r>
          </w:p>
          <w:p>
            <w:pPr>
              <w:pStyle w:val="Normal"/>
              <w:numPr>
                <w:ilvl w:val="0"/>
                <w:numId w:val="46"/>
              </w:numPr>
              <w:rPr>
                <w:sz w:val="24"/>
              </w:rPr>
            </w:pPr>
            <w:r>
              <w:rPr>
                <w:sz w:val="24"/>
              </w:rPr>
              <w:t>Future: Emissions Credits and other energy products</w:t>
            </w:r>
          </w:p>
        </w:tc>
      </w:tr>
      <w:tr>
        <w:trPr/>
        <w:tc>
          <w:tcPr>
            <w:tcW w:w="2178" w:type="dxa"/>
            <w:tcBorders/>
          </w:tcPr>
          <w:p>
            <w:pPr>
              <w:pStyle w:val="Normal"/>
              <w:snapToGrid w:val="false"/>
              <w:rPr>
                <w:b/>
                <w:color w:val="008000"/>
                <w:sz w:val="24"/>
              </w:rPr>
            </w:pPr>
            <w:r>
              <w:rPr>
                <w:b/>
                <w:color w:val="008000"/>
                <w:sz w:val="24"/>
              </w:rPr>
            </w:r>
          </w:p>
        </w:tc>
        <w:tc>
          <w:tcPr>
            <w:tcW w:w="9090" w:type="dxa"/>
            <w:tcBorders/>
          </w:tcPr>
          <w:p>
            <w:pPr>
              <w:pStyle w:val="Normal"/>
              <w:snapToGrid w:val="false"/>
              <w:rPr>
                <w:b/>
                <w:color w:val="008000"/>
                <w:sz w:val="24"/>
              </w:rPr>
            </w:pPr>
            <w:r>
              <w:rPr>
                <w:b/>
                <w:color w:val="008000"/>
                <w:sz w:val="24"/>
              </w:rPr>
            </w:r>
          </w:p>
        </w:tc>
      </w:tr>
      <w:tr>
        <w:trPr/>
        <w:tc>
          <w:tcPr>
            <w:tcW w:w="2178" w:type="dxa"/>
            <w:tcBorders/>
          </w:tcPr>
          <w:p>
            <w:pPr>
              <w:pStyle w:val="Normal"/>
              <w:rPr>
                <w:b/>
                <w:color w:val="008000"/>
                <w:sz w:val="24"/>
              </w:rPr>
            </w:pPr>
            <w:r>
              <w:rPr>
                <w:b/>
                <w:color w:val="008000"/>
                <w:sz w:val="24"/>
              </w:rPr>
              <w:t>Customers</w:t>
            </w:r>
          </w:p>
        </w:tc>
        <w:tc>
          <w:tcPr>
            <w:tcW w:w="9090" w:type="dxa"/>
            <w:tcBorders/>
          </w:tcPr>
          <w:p>
            <w:pPr>
              <w:pStyle w:val="Normal"/>
              <w:rPr>
                <w:sz w:val="24"/>
              </w:rPr>
            </w:pPr>
            <w:r>
              <w:rPr>
                <w:sz w:val="24"/>
              </w:rPr>
              <w:t>Currently has about 70 customers, mostly independent power marketers and electric utilities</w:t>
            </w:r>
          </w:p>
        </w:tc>
      </w:tr>
      <w:tr>
        <w:trPr/>
        <w:tc>
          <w:tcPr>
            <w:tcW w:w="2178" w:type="dxa"/>
            <w:tcBorders/>
          </w:tcPr>
          <w:p>
            <w:pPr>
              <w:pStyle w:val="Normal"/>
              <w:snapToGrid w:val="false"/>
              <w:rPr>
                <w:b/>
                <w:color w:val="008000"/>
                <w:sz w:val="24"/>
              </w:rPr>
            </w:pPr>
            <w:r>
              <w:rPr>
                <w:b/>
                <w:color w:val="008000"/>
                <w:sz w:val="24"/>
              </w:rPr>
            </w:r>
          </w:p>
        </w:tc>
        <w:tc>
          <w:tcPr>
            <w:tcW w:w="9090" w:type="dxa"/>
            <w:tcBorders/>
          </w:tcPr>
          <w:p>
            <w:pPr>
              <w:pStyle w:val="BodyText"/>
              <w:snapToGrid w:val="false"/>
              <w:rPr>
                <w:b/>
                <w:color w:val="008000"/>
                <w:sz w:val="24"/>
              </w:rPr>
            </w:pPr>
            <w:r>
              <w:rPr>
                <w:b/>
                <w:color w:val="008000"/>
                <w:sz w:val="24"/>
              </w:rPr>
            </w:r>
          </w:p>
        </w:tc>
      </w:tr>
      <w:tr>
        <w:trPr/>
        <w:tc>
          <w:tcPr>
            <w:tcW w:w="2178" w:type="dxa"/>
            <w:tcBorders/>
          </w:tcPr>
          <w:p>
            <w:pPr>
              <w:pStyle w:val="Normal"/>
              <w:rPr>
                <w:b/>
                <w:color w:val="008000"/>
                <w:sz w:val="24"/>
              </w:rPr>
            </w:pPr>
            <w:r>
              <w:rPr>
                <w:b/>
                <w:color w:val="008000"/>
                <w:sz w:val="24"/>
              </w:rPr>
              <w:t>Volume</w:t>
            </w:r>
          </w:p>
        </w:tc>
        <w:tc>
          <w:tcPr>
            <w:tcW w:w="9090" w:type="dxa"/>
            <w:tcBorders/>
          </w:tcPr>
          <w:p>
            <w:pPr>
              <w:pStyle w:val="BodyText"/>
              <w:rPr/>
            </w:pPr>
            <w:r>
              <w:rPr/>
              <w:t>On average, the system handles about 2 million MWh per day, representing between 20% and 30% of the spot power market.</w:t>
            </w:r>
          </w:p>
        </w:tc>
      </w:tr>
    </w:tbl>
    <w:p>
      <w:pPr>
        <w:pStyle w:val="BodyText"/>
        <w:rPr>
          <w:b/>
          <w:color w:val="000080"/>
        </w:rPr>
      </w:pPr>
      <w:r>
        <w:rPr>
          <w:b/>
          <w:color w:val="000080"/>
        </w:rPr>
      </w:r>
    </w:p>
    <w:p>
      <w:pPr>
        <w:pStyle w:val="BodyText"/>
        <w:rPr>
          <w:b/>
          <w:color w:val="000080"/>
        </w:rPr>
      </w:pPr>
      <w:r>
        <w:rPr>
          <w:b/>
          <w:color w:val="000080"/>
        </w:rPr>
      </w:r>
    </w:p>
    <w:p>
      <w:pPr>
        <w:pStyle w:val="BodyText"/>
        <w:rPr>
          <w:b/>
          <w:color w:val="000080"/>
        </w:rPr>
      </w:pPr>
      <w:r>
        <w:rPr>
          <w:b/>
          <w:color w:val="000080"/>
        </w:rPr>
        <w:drawing>
          <wp:inline distT="0" distB="0" distL="0" distR="0">
            <wp:extent cx="1640840" cy="579120"/>
            <wp:effectExtent l="0" t="0" r="0" b="0"/>
            <wp:docPr id="4" name="EnbridgePetrolexch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bridgePetrolexchg" descr="" title=""/>
                    <pic:cNvPicPr>
                      <a:picLocks noChangeAspect="1" noChangeArrowheads="1"/>
                    </pic:cNvPicPr>
                  </pic:nvPicPr>
                  <pic:blipFill>
                    <a:blip r:embed="rId9"/>
                    <a:srcRect l="-16" t="-47" r="3588" b="-47"/>
                    <a:stretch>
                      <a:fillRect/>
                    </a:stretch>
                  </pic:blipFill>
                  <pic:spPr bwMode="auto">
                    <a:xfrm>
                      <a:off x="0" y="0"/>
                      <a:ext cx="1640840" cy="579120"/>
                    </a:xfrm>
                    <a:prstGeom prst="rect">
                      <a:avLst/>
                    </a:prstGeom>
                    <a:noFill/>
                  </pic:spPr>
                </pic:pic>
              </a:graphicData>
            </a:graphic>
          </wp:inline>
        </w:drawing>
      </w:r>
    </w:p>
    <w:p>
      <w:pPr>
        <w:pStyle w:val="BodyText"/>
        <w:pBdr>
          <w:bottom w:val="single" w:sz="18" w:space="1" w:color="000000"/>
        </w:pBdr>
        <w:rPr>
          <w:b/>
          <w:color w:val="000080"/>
        </w:rPr>
      </w:pPr>
      <w:r>
        <w:rPr>
          <w:b/>
          <w:color w:val="000080"/>
        </w:rPr>
      </w:r>
    </w:p>
    <w:p>
      <w:pPr>
        <w:pStyle w:val="Normal"/>
        <w:rPr>
          <w:b/>
          <w:color w:val="000080"/>
          <w:sz w:val="24"/>
        </w:rPr>
      </w:pPr>
      <w:r>
        <w:rPr>
          <w:b/>
          <w:color w:val="000080"/>
          <w:sz w:val="24"/>
        </w:rPr>
      </w:r>
    </w:p>
    <w:tbl>
      <w:tblPr>
        <w:tblW w:w="11268" w:type="dxa"/>
        <w:jc w:val="start"/>
        <w:tblInd w:w="0" w:type="dxa"/>
        <w:tblLayout w:type="fixed"/>
        <w:tblCellMar>
          <w:top w:w="0" w:type="dxa"/>
          <w:start w:w="108" w:type="dxa"/>
          <w:bottom w:w="0" w:type="dxa"/>
          <w:end w:w="108" w:type="dxa"/>
        </w:tblCellMar>
      </w:tblPr>
      <w:tblGrid>
        <w:gridCol w:w="2178"/>
        <w:gridCol w:w="9090"/>
      </w:tblGrid>
      <w:tr>
        <w:trPr/>
        <w:tc>
          <w:tcPr>
            <w:tcW w:w="2178" w:type="dxa"/>
            <w:tcBorders/>
          </w:tcPr>
          <w:p>
            <w:pPr>
              <w:pStyle w:val="Heading5"/>
              <w:ind w:hanging="0" w:start="0"/>
              <w:rPr/>
            </w:pPr>
            <w:r>
              <w:rPr/>
              <w:t>Company</w:t>
            </w:r>
          </w:p>
        </w:tc>
        <w:tc>
          <w:tcPr>
            <w:tcW w:w="9090" w:type="dxa"/>
            <w:tcBorders/>
          </w:tcPr>
          <w:p>
            <w:pPr>
              <w:pStyle w:val="Heading2"/>
              <w:ind w:hanging="0" w:start="0"/>
              <w:rPr/>
            </w:pPr>
            <w:r>
              <w:rPr/>
              <w:t>Canada’s first internet based crude oil exchange</w:t>
            </w:r>
          </w:p>
        </w:tc>
      </w:tr>
      <w:tr>
        <w:trPr/>
        <w:tc>
          <w:tcPr>
            <w:tcW w:w="2178" w:type="dxa"/>
            <w:tcBorders/>
          </w:tcPr>
          <w:p>
            <w:pPr>
              <w:pStyle w:val="Normal"/>
              <w:snapToGrid w:val="false"/>
              <w:rPr>
                <w:b/>
                <w:color w:val="000080"/>
                <w:sz w:val="24"/>
              </w:rPr>
            </w:pPr>
            <w:r>
              <w:rPr>
                <w:b/>
                <w:color w:val="000080"/>
                <w:sz w:val="24"/>
              </w:rPr>
            </w:r>
          </w:p>
        </w:tc>
        <w:tc>
          <w:tcPr>
            <w:tcW w:w="9090" w:type="dxa"/>
            <w:tcBorders/>
          </w:tcPr>
          <w:p>
            <w:pPr>
              <w:pStyle w:val="Normal"/>
              <w:snapToGrid w:val="false"/>
              <w:rPr>
                <w:b/>
                <w:color w:val="000080"/>
                <w:sz w:val="24"/>
              </w:rPr>
            </w:pPr>
            <w:r>
              <w:rPr>
                <w:b/>
                <w:color w:val="000080"/>
                <w:sz w:val="24"/>
              </w:rPr>
            </w:r>
          </w:p>
        </w:tc>
      </w:tr>
      <w:tr>
        <w:trPr/>
        <w:tc>
          <w:tcPr>
            <w:tcW w:w="2178" w:type="dxa"/>
            <w:tcBorders/>
          </w:tcPr>
          <w:p>
            <w:pPr>
              <w:pStyle w:val="Normal"/>
              <w:rPr>
                <w:b/>
                <w:color w:val="000080"/>
                <w:sz w:val="24"/>
              </w:rPr>
            </w:pPr>
            <w:r>
              <w:rPr>
                <w:b/>
                <w:color w:val="000080"/>
                <w:sz w:val="24"/>
              </w:rPr>
              <w:t>Company History</w:t>
            </w:r>
          </w:p>
        </w:tc>
        <w:tc>
          <w:tcPr>
            <w:tcW w:w="9090" w:type="dxa"/>
            <w:tcBorders/>
          </w:tcPr>
          <w:p>
            <w:pPr>
              <w:pStyle w:val="Normal"/>
              <w:rPr>
                <w:sz w:val="24"/>
              </w:rPr>
            </w:pPr>
            <w:r>
              <w:rPr>
                <w:sz w:val="24"/>
              </w:rPr>
              <w:t>Enbridge was formerly know as ElecTrade Petroleum Exchange Inc. and is based Calagary, Alberta</w:t>
            </w:r>
          </w:p>
        </w:tc>
      </w:tr>
      <w:tr>
        <w:trPr/>
        <w:tc>
          <w:tcPr>
            <w:tcW w:w="2178" w:type="dxa"/>
            <w:tcBorders/>
          </w:tcPr>
          <w:p>
            <w:pPr>
              <w:pStyle w:val="Normal"/>
              <w:snapToGrid w:val="false"/>
              <w:rPr>
                <w:b/>
                <w:color w:val="000080"/>
                <w:sz w:val="24"/>
              </w:rPr>
            </w:pPr>
            <w:r>
              <w:rPr>
                <w:b/>
                <w:color w:val="000080"/>
                <w:sz w:val="24"/>
              </w:rPr>
            </w:r>
          </w:p>
        </w:tc>
        <w:tc>
          <w:tcPr>
            <w:tcW w:w="9090" w:type="dxa"/>
            <w:tcBorders/>
          </w:tcPr>
          <w:p>
            <w:pPr>
              <w:pStyle w:val="Normal"/>
              <w:snapToGrid w:val="false"/>
              <w:rPr>
                <w:b/>
                <w:color w:val="000080"/>
                <w:sz w:val="24"/>
              </w:rPr>
            </w:pPr>
            <w:r>
              <w:rPr>
                <w:b/>
                <w:color w:val="000080"/>
                <w:sz w:val="24"/>
              </w:rPr>
            </w:r>
          </w:p>
        </w:tc>
      </w:tr>
      <w:tr>
        <w:trPr/>
        <w:tc>
          <w:tcPr>
            <w:tcW w:w="2178" w:type="dxa"/>
            <w:tcBorders/>
          </w:tcPr>
          <w:p>
            <w:pPr>
              <w:pStyle w:val="Normal"/>
              <w:rPr>
                <w:b/>
                <w:color w:val="000080"/>
                <w:sz w:val="24"/>
              </w:rPr>
            </w:pPr>
            <w:r>
              <w:rPr>
                <w:b/>
                <w:color w:val="000080"/>
                <w:sz w:val="24"/>
              </w:rPr>
              <w:t>Commodities</w:t>
            </w:r>
          </w:p>
        </w:tc>
        <w:tc>
          <w:tcPr>
            <w:tcW w:w="9090" w:type="dxa"/>
            <w:tcBorders/>
          </w:tcPr>
          <w:p>
            <w:pPr>
              <w:pStyle w:val="Normal"/>
              <w:rPr>
                <w:sz w:val="24"/>
              </w:rPr>
            </w:pPr>
            <w:r>
              <w:rPr>
                <w:sz w:val="24"/>
              </w:rPr>
              <w:t>Western Canadian Crude Oil</w:t>
            </w:r>
          </w:p>
        </w:tc>
      </w:tr>
      <w:tr>
        <w:trPr/>
        <w:tc>
          <w:tcPr>
            <w:tcW w:w="2178" w:type="dxa"/>
            <w:tcBorders/>
          </w:tcPr>
          <w:p>
            <w:pPr>
              <w:pStyle w:val="Normal"/>
              <w:snapToGrid w:val="false"/>
              <w:rPr>
                <w:b/>
                <w:color w:val="000080"/>
                <w:sz w:val="24"/>
              </w:rPr>
            </w:pPr>
            <w:r>
              <w:rPr>
                <w:b/>
                <w:color w:val="000080"/>
                <w:sz w:val="24"/>
              </w:rPr>
            </w:r>
          </w:p>
        </w:tc>
        <w:tc>
          <w:tcPr>
            <w:tcW w:w="9090" w:type="dxa"/>
            <w:tcBorders/>
          </w:tcPr>
          <w:p>
            <w:pPr>
              <w:pStyle w:val="Normal"/>
              <w:snapToGrid w:val="false"/>
              <w:rPr>
                <w:b/>
                <w:color w:val="000080"/>
                <w:sz w:val="24"/>
              </w:rPr>
            </w:pPr>
            <w:r>
              <w:rPr>
                <w:b/>
                <w:color w:val="000080"/>
                <w:sz w:val="24"/>
              </w:rPr>
            </w:r>
          </w:p>
        </w:tc>
      </w:tr>
      <w:tr>
        <w:trPr/>
        <w:tc>
          <w:tcPr>
            <w:tcW w:w="2178" w:type="dxa"/>
            <w:tcBorders/>
          </w:tcPr>
          <w:p>
            <w:pPr>
              <w:pStyle w:val="Normal"/>
              <w:rPr>
                <w:b/>
                <w:color w:val="000080"/>
                <w:sz w:val="24"/>
              </w:rPr>
            </w:pPr>
            <w:r>
              <w:rPr>
                <w:b/>
                <w:color w:val="000080"/>
                <w:sz w:val="24"/>
              </w:rPr>
              <w:t>Customers</w:t>
            </w:r>
          </w:p>
        </w:tc>
        <w:tc>
          <w:tcPr>
            <w:tcW w:w="9090" w:type="dxa"/>
            <w:tcBorders/>
          </w:tcPr>
          <w:p>
            <w:pPr>
              <w:pStyle w:val="Normal"/>
              <w:numPr>
                <w:ilvl w:val="0"/>
                <w:numId w:val="41"/>
              </w:numPr>
              <w:rPr>
                <w:sz w:val="24"/>
              </w:rPr>
            </w:pPr>
            <w:r>
              <w:rPr>
                <w:sz w:val="24"/>
              </w:rPr>
              <w:t>Buyers and sellers of Western Canadian crude oil</w:t>
            </w:r>
          </w:p>
          <w:p>
            <w:pPr>
              <w:pStyle w:val="Normal"/>
              <w:numPr>
                <w:ilvl w:val="0"/>
                <w:numId w:val="41"/>
              </w:numPr>
              <w:rPr>
                <w:sz w:val="24"/>
              </w:rPr>
            </w:pPr>
            <w:r>
              <w:rPr>
                <w:sz w:val="24"/>
              </w:rPr>
              <w:t>Enbridge has signed on more than 30 traders from 14 companies</w:t>
            </w:r>
          </w:p>
        </w:tc>
      </w:tr>
      <w:tr>
        <w:trPr/>
        <w:tc>
          <w:tcPr>
            <w:tcW w:w="2178" w:type="dxa"/>
            <w:tcBorders/>
          </w:tcPr>
          <w:p>
            <w:pPr>
              <w:pStyle w:val="Heading5"/>
              <w:snapToGrid w:val="false"/>
              <w:ind w:hanging="0" w:start="0"/>
              <w:rPr>
                <w:sz w:val="24"/>
              </w:rPr>
            </w:pPr>
            <w:r>
              <w:rPr>
                <w:sz w:val="24"/>
              </w:rPr>
            </w:r>
          </w:p>
        </w:tc>
        <w:tc>
          <w:tcPr>
            <w:tcW w:w="9090" w:type="dxa"/>
            <w:tcBorders/>
          </w:tcPr>
          <w:p>
            <w:pPr>
              <w:pStyle w:val="BodyText"/>
              <w:snapToGrid w:val="false"/>
              <w:rPr/>
            </w:pPr>
            <w:r>
              <w:rPr/>
            </w:r>
          </w:p>
        </w:tc>
      </w:tr>
      <w:tr>
        <w:trPr/>
        <w:tc>
          <w:tcPr>
            <w:tcW w:w="2178" w:type="dxa"/>
            <w:tcBorders/>
          </w:tcPr>
          <w:p>
            <w:pPr>
              <w:pStyle w:val="Heading5"/>
              <w:ind w:hanging="0" w:start="0"/>
              <w:rPr/>
            </w:pPr>
            <w:r>
              <w:rPr/>
              <w:t>Cost</w:t>
            </w:r>
          </w:p>
        </w:tc>
        <w:tc>
          <w:tcPr>
            <w:tcW w:w="9090" w:type="dxa"/>
            <w:tcBorders/>
          </w:tcPr>
          <w:p>
            <w:pPr>
              <w:pStyle w:val="BodyText"/>
              <w:rPr/>
            </w:pPr>
            <w:r>
              <w:rPr/>
              <w:t>$2,000 per month and 2 cents a barrel for each trade</w:t>
            </w:r>
          </w:p>
        </w:tc>
      </w:tr>
      <w:tr>
        <w:trPr/>
        <w:tc>
          <w:tcPr>
            <w:tcW w:w="2178" w:type="dxa"/>
            <w:tcBorders/>
          </w:tcPr>
          <w:p>
            <w:pPr>
              <w:pStyle w:val="Normal"/>
              <w:snapToGrid w:val="false"/>
              <w:rPr>
                <w:b/>
                <w:color w:val="000080"/>
                <w:sz w:val="24"/>
              </w:rPr>
            </w:pPr>
            <w:r>
              <w:rPr>
                <w:b/>
                <w:color w:val="000080"/>
                <w:sz w:val="24"/>
              </w:rPr>
            </w:r>
          </w:p>
        </w:tc>
        <w:tc>
          <w:tcPr>
            <w:tcW w:w="9090" w:type="dxa"/>
            <w:tcBorders/>
          </w:tcPr>
          <w:p>
            <w:pPr>
              <w:pStyle w:val="BodyText"/>
              <w:snapToGrid w:val="false"/>
              <w:rPr>
                <w:b/>
                <w:color w:val="000080"/>
                <w:sz w:val="24"/>
              </w:rPr>
            </w:pPr>
            <w:r>
              <w:rPr>
                <w:b/>
                <w:color w:val="000080"/>
                <w:sz w:val="24"/>
              </w:rPr>
            </w:r>
          </w:p>
        </w:tc>
      </w:tr>
      <w:tr>
        <w:trPr/>
        <w:tc>
          <w:tcPr>
            <w:tcW w:w="2178" w:type="dxa"/>
            <w:tcBorders/>
          </w:tcPr>
          <w:p>
            <w:pPr>
              <w:pStyle w:val="Normal"/>
              <w:rPr>
                <w:b/>
                <w:color w:val="000080"/>
                <w:sz w:val="24"/>
              </w:rPr>
            </w:pPr>
            <w:r>
              <w:rPr>
                <w:b/>
                <w:color w:val="000080"/>
                <w:sz w:val="24"/>
              </w:rPr>
              <w:t>Features</w:t>
            </w:r>
          </w:p>
        </w:tc>
        <w:tc>
          <w:tcPr>
            <w:tcW w:w="9090" w:type="dxa"/>
            <w:tcBorders/>
          </w:tcPr>
          <w:p>
            <w:pPr>
              <w:pStyle w:val="BodyText"/>
              <w:numPr>
                <w:ilvl w:val="0"/>
                <w:numId w:val="11"/>
              </w:numPr>
              <w:rPr/>
            </w:pPr>
            <w:r>
              <w:rPr/>
              <w:t>Offers real-time information on pricing and market conditions</w:t>
            </w:r>
          </w:p>
          <w:p>
            <w:pPr>
              <w:pStyle w:val="BodyText"/>
              <w:numPr>
                <w:ilvl w:val="0"/>
                <w:numId w:val="11"/>
              </w:numPr>
              <w:rPr/>
            </w:pPr>
            <w:r>
              <w:rPr/>
              <w:t>It also provides secure electronic connection to a wide market audience, anonymous transactions, guaranteed payment, and simplified administration of contractual procedures.</w:t>
            </w:r>
          </w:p>
        </w:tc>
      </w:tr>
      <w:tr>
        <w:trPr/>
        <w:tc>
          <w:tcPr>
            <w:tcW w:w="2178" w:type="dxa"/>
            <w:tcBorders/>
          </w:tcPr>
          <w:p>
            <w:pPr>
              <w:pStyle w:val="Normal"/>
              <w:snapToGrid w:val="false"/>
              <w:rPr>
                <w:b/>
                <w:color w:val="000080"/>
                <w:sz w:val="24"/>
              </w:rPr>
            </w:pPr>
            <w:r>
              <w:rPr>
                <w:b/>
                <w:color w:val="000080"/>
                <w:sz w:val="24"/>
              </w:rPr>
            </w:r>
          </w:p>
        </w:tc>
        <w:tc>
          <w:tcPr>
            <w:tcW w:w="9090" w:type="dxa"/>
            <w:tcBorders/>
          </w:tcPr>
          <w:p>
            <w:pPr>
              <w:pStyle w:val="Normal"/>
              <w:snapToGrid w:val="false"/>
              <w:rPr>
                <w:b/>
                <w:color w:val="000080"/>
                <w:sz w:val="24"/>
              </w:rPr>
            </w:pPr>
            <w:r>
              <w:rPr>
                <w:b/>
                <w:color w:val="000080"/>
                <w:sz w:val="24"/>
              </w:rPr>
            </w:r>
          </w:p>
        </w:tc>
      </w:tr>
      <w:tr>
        <w:trPr/>
        <w:tc>
          <w:tcPr>
            <w:tcW w:w="2178" w:type="dxa"/>
            <w:tcBorders/>
          </w:tcPr>
          <w:p>
            <w:pPr>
              <w:pStyle w:val="Normal"/>
              <w:rPr>
                <w:b/>
                <w:color w:val="000080"/>
                <w:sz w:val="24"/>
              </w:rPr>
            </w:pPr>
            <w:r>
              <w:rPr>
                <w:b/>
                <w:color w:val="000080"/>
                <w:sz w:val="24"/>
              </w:rPr>
              <w:t>Developer</w:t>
            </w:r>
          </w:p>
        </w:tc>
        <w:tc>
          <w:tcPr>
            <w:tcW w:w="9090" w:type="dxa"/>
            <w:tcBorders/>
          </w:tcPr>
          <w:p>
            <w:pPr>
              <w:pStyle w:val="Normal"/>
              <w:rPr>
                <w:sz w:val="24"/>
              </w:rPr>
            </w:pPr>
            <w:r>
              <w:rPr>
                <w:sz w:val="24"/>
              </w:rPr>
              <w:t>Burnt Sand Solutions, Inc, a canadian firm with extensive expertise in internet solutions and electronic exchange development</w:t>
            </w:r>
          </w:p>
        </w:tc>
      </w:tr>
    </w:tbl>
    <w:p>
      <w:pPr>
        <w:pStyle w:val="BodyText"/>
        <w:rPr>
          <w:b/>
          <w:color w:val="000080"/>
        </w:rPr>
      </w:pPr>
      <w:r>
        <w:rPr>
          <w:b/>
          <w:color w:val="000080"/>
        </w:rPr>
      </w:r>
    </w:p>
    <w:p>
      <w:pPr>
        <w:pStyle w:val="BodyText"/>
        <w:rPr>
          <w:b/>
          <w:color w:val="000080"/>
        </w:rPr>
      </w:pPr>
      <w:r>
        <w:rPr>
          <w:b/>
          <w:color w:val="000080"/>
        </w:rPr>
      </w:r>
    </w:p>
    <w:p>
      <w:pPr>
        <w:pStyle w:val="BodyText"/>
        <w:rPr>
          <w:b/>
          <w:color w:val="000080"/>
        </w:rPr>
      </w:pPr>
      <w:r>
        <w:rPr>
          <w:b/>
          <w:color w:val="000080"/>
        </w:rPr>
        <w:drawing>
          <wp:inline distT="0" distB="0" distL="0" distR="0">
            <wp:extent cx="1412240" cy="333375"/>
            <wp:effectExtent l="0" t="0" r="0" b="0"/>
            <wp:docPr id="5" name="nrglin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rgline" descr="" title=""/>
                    <pic:cNvPicPr>
                      <a:picLocks noChangeAspect="1" noChangeArrowheads="1"/>
                    </pic:cNvPicPr>
                  </pic:nvPicPr>
                  <pic:blipFill>
                    <a:blip r:embed="rId10"/>
                    <a:srcRect l="-5" t="23181" r="72756" b="39150"/>
                    <a:stretch>
                      <a:fillRect/>
                    </a:stretch>
                  </pic:blipFill>
                  <pic:spPr bwMode="auto">
                    <a:xfrm>
                      <a:off x="0" y="0"/>
                      <a:ext cx="1412240" cy="333375"/>
                    </a:xfrm>
                    <a:prstGeom prst="rect">
                      <a:avLst/>
                    </a:prstGeom>
                    <a:noFill/>
                  </pic:spPr>
                </pic:pic>
              </a:graphicData>
            </a:graphic>
          </wp:inline>
        </w:drawing>
      </w:r>
    </w:p>
    <w:p>
      <w:pPr>
        <w:pStyle w:val="BodyText"/>
        <w:pBdr>
          <w:bottom w:val="single" w:sz="18" w:space="1" w:color="000000"/>
        </w:pBdr>
        <w:rPr>
          <w:b/>
          <w:color w:val="000080"/>
        </w:rPr>
      </w:pPr>
      <w:r>
        <w:rPr>
          <w:b/>
          <w:color w:val="000080"/>
        </w:rPr>
      </w:r>
    </w:p>
    <w:p>
      <w:pPr>
        <w:pStyle w:val="BodyText"/>
        <w:rPr>
          <w:b/>
          <w:color w:val="000080"/>
        </w:rPr>
      </w:pPr>
      <w:r>
        <w:rPr>
          <w:b/>
          <w:color w:val="000080"/>
        </w:rPr>
      </w:r>
    </w:p>
    <w:p>
      <w:pPr>
        <w:pStyle w:val="BodyText"/>
        <w:rPr>
          <w:b/>
        </w:rPr>
      </w:pPr>
      <w:r>
        <w:rPr/>
        <w:t>NRGLine was launched on January 27, 2000 as the world’s first third-party digital web-based trading system for refined oil products. Not meant to replace, but rather to complement NRG’s existing conventional brokering and to provide it’s clients and their management access to the benefits of leading edge technology.</w:t>
      </w:r>
    </w:p>
    <w:p>
      <w:pPr>
        <w:pStyle w:val="Normal"/>
        <w:rPr>
          <w:b/>
          <w:sz w:val="24"/>
        </w:rPr>
      </w:pPr>
      <w:r>
        <w:rPr>
          <w:b/>
          <w:sz w:val="24"/>
        </w:rPr>
      </w:r>
    </w:p>
    <w:tbl>
      <w:tblPr>
        <w:tblW w:w="11268" w:type="dxa"/>
        <w:jc w:val="start"/>
        <w:tblInd w:w="0" w:type="dxa"/>
        <w:tblLayout w:type="fixed"/>
        <w:tblCellMar>
          <w:top w:w="0" w:type="dxa"/>
          <w:start w:w="108" w:type="dxa"/>
          <w:bottom w:w="0" w:type="dxa"/>
          <w:end w:w="108" w:type="dxa"/>
        </w:tblCellMar>
      </w:tblPr>
      <w:tblGrid>
        <w:gridCol w:w="2178"/>
        <w:gridCol w:w="9090"/>
      </w:tblGrid>
      <w:tr>
        <w:trPr/>
        <w:tc>
          <w:tcPr>
            <w:tcW w:w="2178" w:type="dxa"/>
            <w:tcBorders/>
          </w:tcPr>
          <w:p>
            <w:pPr>
              <w:pStyle w:val="Heading5"/>
              <w:ind w:hanging="0" w:start="0"/>
              <w:rPr>
                <w:color w:val="808080"/>
              </w:rPr>
            </w:pPr>
            <w:r>
              <w:rPr>
                <w:color w:val="808080"/>
              </w:rPr>
              <w:t>Company</w:t>
            </w:r>
          </w:p>
        </w:tc>
        <w:tc>
          <w:tcPr>
            <w:tcW w:w="9090" w:type="dxa"/>
            <w:tcBorders/>
          </w:tcPr>
          <w:p>
            <w:pPr>
              <w:pStyle w:val="Heading2"/>
              <w:ind w:hanging="0" w:start="0"/>
              <w:rPr/>
            </w:pPr>
            <w:r>
              <w:rPr/>
              <w:t>Web-based, strictly third party, online brokerage service</w:t>
            </w:r>
          </w:p>
        </w:tc>
      </w:tr>
      <w:tr>
        <w:trPr/>
        <w:tc>
          <w:tcPr>
            <w:tcW w:w="2178" w:type="dxa"/>
            <w:tcBorders/>
          </w:tcPr>
          <w:p>
            <w:pPr>
              <w:pStyle w:val="Normal"/>
              <w:snapToGrid w:val="false"/>
              <w:rPr>
                <w:b/>
                <w:color w:val="808080"/>
                <w:sz w:val="24"/>
              </w:rPr>
            </w:pPr>
            <w:r>
              <w:rPr>
                <w:b/>
                <w:color w:val="808080"/>
                <w:sz w:val="24"/>
              </w:rPr>
            </w:r>
          </w:p>
        </w:tc>
        <w:tc>
          <w:tcPr>
            <w:tcW w:w="9090" w:type="dxa"/>
            <w:tcBorders/>
          </w:tcPr>
          <w:p>
            <w:pPr>
              <w:pStyle w:val="Normal"/>
              <w:snapToGrid w:val="false"/>
              <w:rPr>
                <w:b/>
                <w:color w:val="808080"/>
                <w:sz w:val="24"/>
              </w:rPr>
            </w:pPr>
            <w:r>
              <w:rPr>
                <w:b/>
                <w:color w:val="808080"/>
                <w:sz w:val="24"/>
              </w:rPr>
            </w:r>
          </w:p>
        </w:tc>
      </w:tr>
      <w:tr>
        <w:trPr/>
        <w:tc>
          <w:tcPr>
            <w:tcW w:w="2178" w:type="dxa"/>
            <w:tcBorders/>
          </w:tcPr>
          <w:p>
            <w:pPr>
              <w:pStyle w:val="Normal"/>
              <w:rPr>
                <w:b/>
                <w:color w:val="808080"/>
                <w:sz w:val="24"/>
              </w:rPr>
            </w:pPr>
            <w:r>
              <w:rPr>
                <w:b/>
                <w:color w:val="808080"/>
                <w:sz w:val="24"/>
              </w:rPr>
              <w:t>Management</w:t>
            </w:r>
          </w:p>
        </w:tc>
        <w:tc>
          <w:tcPr>
            <w:tcW w:w="9090" w:type="dxa"/>
            <w:tcBorders/>
          </w:tcPr>
          <w:p>
            <w:pPr>
              <w:pStyle w:val="Normal"/>
              <w:ind w:start="60" w:end="0"/>
              <w:rPr>
                <w:sz w:val="24"/>
              </w:rPr>
            </w:pPr>
            <w:r>
              <w:rPr>
                <w:sz w:val="24"/>
              </w:rPr>
              <w:t>Stephen P. Leahy, Robert A Josephs, president of The Energy Group, conventional phone brokerage comp., Rich Olson, formerly of Koch, Jeff Dorrell, formerly a VP with Coastal Corp and trader with MG, John Paul Gutierrez, Senior VP for AECsoft, USA. Inc</w:t>
            </w:r>
          </w:p>
        </w:tc>
      </w:tr>
      <w:tr>
        <w:trPr/>
        <w:tc>
          <w:tcPr>
            <w:tcW w:w="2178" w:type="dxa"/>
            <w:tcBorders/>
          </w:tcPr>
          <w:p>
            <w:pPr>
              <w:pStyle w:val="Normal"/>
              <w:snapToGrid w:val="false"/>
              <w:rPr>
                <w:b/>
                <w:color w:val="808080"/>
                <w:sz w:val="24"/>
              </w:rPr>
            </w:pPr>
            <w:r>
              <w:rPr>
                <w:b/>
                <w:color w:val="808080"/>
                <w:sz w:val="24"/>
              </w:rPr>
            </w:r>
          </w:p>
        </w:tc>
        <w:tc>
          <w:tcPr>
            <w:tcW w:w="9090" w:type="dxa"/>
            <w:tcBorders/>
          </w:tcPr>
          <w:p>
            <w:pPr>
              <w:pStyle w:val="Normal"/>
              <w:snapToGrid w:val="false"/>
              <w:rPr>
                <w:b/>
                <w:color w:val="808080"/>
                <w:sz w:val="24"/>
              </w:rPr>
            </w:pPr>
            <w:r>
              <w:rPr>
                <w:b/>
                <w:color w:val="808080"/>
                <w:sz w:val="24"/>
              </w:rPr>
            </w:r>
          </w:p>
        </w:tc>
      </w:tr>
      <w:tr>
        <w:trPr/>
        <w:tc>
          <w:tcPr>
            <w:tcW w:w="2178" w:type="dxa"/>
            <w:tcBorders/>
          </w:tcPr>
          <w:p>
            <w:pPr>
              <w:pStyle w:val="Normal"/>
              <w:rPr>
                <w:b/>
                <w:color w:val="808080"/>
                <w:sz w:val="24"/>
              </w:rPr>
            </w:pPr>
            <w:r>
              <w:rPr>
                <w:b/>
                <w:color w:val="808080"/>
                <w:sz w:val="24"/>
              </w:rPr>
              <w:t>Commodities</w:t>
            </w:r>
          </w:p>
        </w:tc>
        <w:tc>
          <w:tcPr>
            <w:tcW w:w="9090" w:type="dxa"/>
            <w:tcBorders/>
          </w:tcPr>
          <w:p>
            <w:pPr>
              <w:pStyle w:val="Normal"/>
              <w:numPr>
                <w:ilvl w:val="0"/>
                <w:numId w:val="17"/>
              </w:numPr>
              <w:rPr>
                <w:sz w:val="24"/>
              </w:rPr>
            </w:pPr>
            <w:r>
              <w:rPr>
                <w:sz w:val="24"/>
              </w:rPr>
              <w:t>Energy products</w:t>
            </w:r>
          </w:p>
          <w:p>
            <w:pPr>
              <w:pStyle w:val="Normal"/>
              <w:numPr>
                <w:ilvl w:val="0"/>
                <w:numId w:val="17"/>
              </w:numPr>
              <w:rPr>
                <w:sz w:val="24"/>
              </w:rPr>
            </w:pPr>
            <w:r>
              <w:rPr>
                <w:sz w:val="24"/>
              </w:rPr>
              <w:t>Feedstocks</w:t>
            </w:r>
          </w:p>
          <w:p>
            <w:pPr>
              <w:pStyle w:val="Normal"/>
              <w:numPr>
                <w:ilvl w:val="0"/>
                <w:numId w:val="17"/>
              </w:numPr>
              <w:rPr>
                <w:sz w:val="24"/>
              </w:rPr>
            </w:pPr>
            <w:r>
              <w:rPr>
                <w:sz w:val="24"/>
              </w:rPr>
              <w:t>LPG</w:t>
            </w:r>
          </w:p>
          <w:p>
            <w:pPr>
              <w:pStyle w:val="Normal"/>
              <w:numPr>
                <w:ilvl w:val="0"/>
                <w:numId w:val="17"/>
              </w:numPr>
              <w:rPr>
                <w:sz w:val="24"/>
              </w:rPr>
            </w:pPr>
            <w:r>
              <w:rPr>
                <w:sz w:val="24"/>
              </w:rPr>
              <w:t>Petrochemicals</w:t>
            </w:r>
          </w:p>
          <w:p>
            <w:pPr>
              <w:pStyle w:val="Normal"/>
              <w:numPr>
                <w:ilvl w:val="0"/>
                <w:numId w:val="17"/>
              </w:numPr>
              <w:rPr>
                <w:sz w:val="24"/>
              </w:rPr>
            </w:pPr>
            <w:r>
              <w:rPr>
                <w:sz w:val="24"/>
              </w:rPr>
              <w:t xml:space="preserve">International Energy Partners, L.L.C. and CYNET, Inc. plan a joint venture to provide all major OTC commodities markets with online trading systems similar to NRGLine.com </w:t>
            </w:r>
          </w:p>
        </w:tc>
      </w:tr>
      <w:tr>
        <w:trPr/>
        <w:tc>
          <w:tcPr>
            <w:tcW w:w="2178" w:type="dxa"/>
            <w:tcBorders/>
          </w:tcPr>
          <w:p>
            <w:pPr>
              <w:pStyle w:val="Heading5"/>
              <w:snapToGrid w:val="false"/>
              <w:ind w:hanging="0" w:start="0"/>
              <w:rPr>
                <w:color w:val="808080"/>
                <w:sz w:val="24"/>
              </w:rPr>
            </w:pPr>
            <w:r>
              <w:rPr>
                <w:color w:val="808080"/>
                <w:sz w:val="24"/>
              </w:rPr>
            </w:r>
          </w:p>
        </w:tc>
        <w:tc>
          <w:tcPr>
            <w:tcW w:w="9090" w:type="dxa"/>
            <w:tcBorders/>
          </w:tcPr>
          <w:p>
            <w:pPr>
              <w:pStyle w:val="BodyText"/>
              <w:snapToGrid w:val="false"/>
              <w:rPr>
                <w:color w:val="808080"/>
              </w:rPr>
            </w:pPr>
            <w:r>
              <w:rPr>
                <w:color w:val="808080"/>
              </w:rPr>
            </w:r>
          </w:p>
        </w:tc>
      </w:tr>
      <w:tr>
        <w:trPr/>
        <w:tc>
          <w:tcPr>
            <w:tcW w:w="2178" w:type="dxa"/>
            <w:tcBorders/>
          </w:tcPr>
          <w:p>
            <w:pPr>
              <w:pStyle w:val="Heading5"/>
              <w:ind w:hanging="0" w:start="0"/>
              <w:rPr>
                <w:color w:val="808080"/>
              </w:rPr>
            </w:pPr>
            <w:r>
              <w:rPr>
                <w:color w:val="808080"/>
              </w:rPr>
              <w:t>Cost</w:t>
            </w:r>
          </w:p>
        </w:tc>
        <w:tc>
          <w:tcPr>
            <w:tcW w:w="9090" w:type="dxa"/>
            <w:tcBorders/>
          </w:tcPr>
          <w:p>
            <w:pPr>
              <w:pStyle w:val="BodyText"/>
              <w:numPr>
                <w:ilvl w:val="0"/>
                <w:numId w:val="58"/>
              </w:numPr>
              <w:rPr/>
            </w:pPr>
            <w:r>
              <w:rPr/>
              <w:t>Refined Products: $.01/bbl, seller side only</w:t>
            </w:r>
          </w:p>
          <w:p>
            <w:pPr>
              <w:pStyle w:val="BodyText"/>
              <w:numPr>
                <w:ilvl w:val="0"/>
                <w:numId w:val="58"/>
              </w:numPr>
              <w:rPr/>
            </w:pPr>
            <w:r>
              <w:rPr/>
              <w:t>LPG $.0150/bbl, split equally between buyer and seller</w:t>
            </w:r>
          </w:p>
        </w:tc>
      </w:tr>
      <w:tr>
        <w:trPr/>
        <w:tc>
          <w:tcPr>
            <w:tcW w:w="2178" w:type="dxa"/>
            <w:tcBorders/>
          </w:tcPr>
          <w:p>
            <w:pPr>
              <w:pStyle w:val="Normal"/>
              <w:snapToGrid w:val="false"/>
              <w:rPr>
                <w:b/>
                <w:color w:val="808080"/>
                <w:sz w:val="24"/>
              </w:rPr>
            </w:pPr>
            <w:r>
              <w:rPr>
                <w:b/>
                <w:color w:val="808080"/>
                <w:sz w:val="24"/>
              </w:rPr>
            </w:r>
          </w:p>
        </w:tc>
        <w:tc>
          <w:tcPr>
            <w:tcW w:w="9090" w:type="dxa"/>
            <w:tcBorders/>
          </w:tcPr>
          <w:p>
            <w:pPr>
              <w:pStyle w:val="BodyText"/>
              <w:snapToGrid w:val="false"/>
              <w:rPr>
                <w:b/>
                <w:color w:val="808080"/>
                <w:sz w:val="24"/>
              </w:rPr>
            </w:pPr>
            <w:r>
              <w:rPr>
                <w:b/>
                <w:color w:val="808080"/>
                <w:sz w:val="24"/>
              </w:rPr>
            </w:r>
          </w:p>
        </w:tc>
      </w:tr>
      <w:tr>
        <w:trPr/>
        <w:tc>
          <w:tcPr>
            <w:tcW w:w="2178" w:type="dxa"/>
            <w:tcBorders/>
          </w:tcPr>
          <w:p>
            <w:pPr>
              <w:pStyle w:val="Normal"/>
              <w:rPr>
                <w:b/>
                <w:color w:val="808080"/>
                <w:sz w:val="24"/>
              </w:rPr>
            </w:pPr>
            <w:r>
              <w:rPr>
                <w:b/>
                <w:color w:val="808080"/>
                <w:sz w:val="24"/>
              </w:rPr>
              <w:t>Features</w:t>
            </w:r>
          </w:p>
        </w:tc>
        <w:tc>
          <w:tcPr>
            <w:tcW w:w="9090" w:type="dxa"/>
            <w:tcBorders/>
          </w:tcPr>
          <w:p>
            <w:pPr>
              <w:pStyle w:val="Normal"/>
              <w:numPr>
                <w:ilvl w:val="0"/>
                <w:numId w:val="9"/>
              </w:numPr>
              <w:rPr>
                <w:sz w:val="24"/>
              </w:rPr>
            </w:pPr>
            <w:r>
              <w:rPr>
                <w:sz w:val="24"/>
              </w:rPr>
              <w:t>Operates from 7am-7pm during business days</w:t>
            </w:r>
          </w:p>
          <w:p>
            <w:pPr>
              <w:pStyle w:val="Normal"/>
              <w:numPr>
                <w:ilvl w:val="0"/>
                <w:numId w:val="9"/>
              </w:numPr>
              <w:rPr>
                <w:sz w:val="24"/>
              </w:rPr>
            </w:pPr>
            <w:r>
              <w:rPr>
                <w:sz w:val="24"/>
              </w:rPr>
              <w:t>NRG brokers will be limited to “read-only” system access. The power and ability to point, click and trade lies exclusively with the trader-users</w:t>
            </w:r>
          </w:p>
        </w:tc>
      </w:tr>
      <w:tr>
        <w:trPr/>
        <w:tc>
          <w:tcPr>
            <w:tcW w:w="2178" w:type="dxa"/>
            <w:tcBorders/>
          </w:tcPr>
          <w:p>
            <w:pPr>
              <w:pStyle w:val="Normal"/>
              <w:snapToGrid w:val="false"/>
              <w:rPr>
                <w:b/>
                <w:color w:val="808080"/>
                <w:sz w:val="24"/>
              </w:rPr>
            </w:pPr>
            <w:r>
              <w:rPr>
                <w:b/>
                <w:color w:val="808080"/>
                <w:sz w:val="24"/>
              </w:rPr>
            </w:r>
          </w:p>
        </w:tc>
        <w:tc>
          <w:tcPr>
            <w:tcW w:w="9090" w:type="dxa"/>
            <w:tcBorders/>
          </w:tcPr>
          <w:p>
            <w:pPr>
              <w:pStyle w:val="Normal"/>
              <w:snapToGrid w:val="false"/>
              <w:rPr>
                <w:b/>
                <w:color w:val="808080"/>
                <w:sz w:val="24"/>
              </w:rPr>
            </w:pPr>
            <w:r>
              <w:rPr>
                <w:b/>
                <w:color w:val="808080"/>
                <w:sz w:val="24"/>
              </w:rPr>
            </w:r>
          </w:p>
        </w:tc>
      </w:tr>
      <w:tr>
        <w:trPr/>
        <w:tc>
          <w:tcPr>
            <w:tcW w:w="2178" w:type="dxa"/>
            <w:tcBorders/>
          </w:tcPr>
          <w:p>
            <w:pPr>
              <w:pStyle w:val="Normal"/>
              <w:rPr>
                <w:b/>
                <w:color w:val="808080"/>
                <w:sz w:val="24"/>
              </w:rPr>
            </w:pPr>
            <w:r>
              <w:rPr>
                <w:b/>
                <w:color w:val="808080"/>
                <w:sz w:val="24"/>
              </w:rPr>
              <w:t>Development</w:t>
            </w:r>
          </w:p>
        </w:tc>
        <w:tc>
          <w:tcPr>
            <w:tcW w:w="9090" w:type="dxa"/>
            <w:tcBorders/>
          </w:tcPr>
          <w:p>
            <w:pPr>
              <w:pStyle w:val="Normal"/>
              <w:rPr>
                <w:sz w:val="24"/>
              </w:rPr>
            </w:pPr>
            <w:r>
              <w:rPr>
                <w:sz w:val="24"/>
              </w:rPr>
              <w:t>Powered by the ADC2000 trading system, developed by Tom Ren, VP of CYNET Interactive</w:t>
            </w:r>
          </w:p>
        </w:tc>
      </w:tr>
    </w:tbl>
    <w:p>
      <w:pPr>
        <w:pStyle w:val="BodyText"/>
        <w:rPr>
          <w:color w:val="000080"/>
        </w:rPr>
      </w:pPr>
      <w:r>
        <w:rPr>
          <w:color w:val="000080"/>
        </w:rPr>
      </w:r>
    </w:p>
    <w:p>
      <w:pPr>
        <w:pStyle w:val="BodyText"/>
        <w:rPr>
          <w:color w:val="000080"/>
          <w:u w:val="single"/>
        </w:rPr>
      </w:pPr>
      <w:r>
        <w:rPr>
          <w:color w:val="000080"/>
          <w:u w:val="single"/>
        </w:rPr>
      </w:r>
    </w:p>
    <w:p>
      <w:pPr>
        <w:pStyle w:val="BodyText"/>
        <w:rPr>
          <w:u w:val="single"/>
        </w:rPr>
      </w:pPr>
      <w:r>
        <w:rPr>
          <w:u w:val="single"/>
        </w:rPr>
      </w:r>
    </w:p>
    <w:p>
      <w:pPr>
        <w:pStyle w:val="BodyText"/>
        <w:rPr>
          <w:b/>
          <w:color w:val="000080"/>
          <w:sz w:val="36"/>
        </w:rPr>
      </w:pPr>
      <w:r>
        <w:rPr>
          <w:b/>
          <w:color w:val="000080"/>
          <w:sz w:val="36"/>
        </w:rPr>
        <w:t>II. Updated Profiles of Previously Reported Trading Web Sites</w:t>
      </w:r>
    </w:p>
    <w:p>
      <w:pPr>
        <w:pStyle w:val="BodyText"/>
        <w:pBdr>
          <w:top w:val="thinThickSmallGap" w:sz="24" w:space="1" w:color="000000"/>
        </w:pBdr>
        <w:rPr>
          <w:color w:val="000080"/>
        </w:rPr>
      </w:pPr>
      <w:r>
        <w:rPr>
          <w:color w:val="000080"/>
        </w:rPr>
        <w:t>* Blue text indicates information added since the November report</w:t>
      </w:r>
    </w:p>
    <w:p>
      <w:pPr>
        <w:pStyle w:val="BodyText"/>
        <w:rPr>
          <w:color w:val="000080"/>
          <w:u w:val="single"/>
        </w:rPr>
      </w:pPr>
      <w:r>
        <w:rPr>
          <w:color w:val="000080"/>
          <w:u w:val="single"/>
        </w:rPr>
      </w:r>
    </w:p>
    <w:p>
      <w:pPr>
        <w:pStyle w:val="BodyText"/>
        <w:rPr>
          <w:u w:val="single"/>
        </w:rPr>
      </w:pPr>
      <w:r>
        <w:rPr>
          <w:u w:val="single"/>
        </w:rPr>
      </w:r>
    </w:p>
    <w:p>
      <w:pPr>
        <w:pStyle w:val="BodyText"/>
        <w:rPr>
          <w:u w:val="single"/>
          <w:lang w:val="en-CA"/>
        </w:rPr>
      </w:pPr>
      <w:r>
        <w:rPr>
          <w:u w:val="single"/>
          <w:lang w:val="en-CA"/>
        </w:rPr>
        <w:drawing>
          <wp:anchor behindDoc="1" distT="0" distB="0" distL="114935" distR="114935" simplePos="0" locked="0" layoutInCell="0" allowOverlap="1" relativeHeight="7">
            <wp:simplePos x="0" y="0"/>
            <wp:positionH relativeFrom="column">
              <wp:posOffset>0</wp:posOffset>
            </wp:positionH>
            <wp:positionV relativeFrom="paragraph">
              <wp:posOffset>7620</wp:posOffset>
            </wp:positionV>
            <wp:extent cx="2377440" cy="447040"/>
            <wp:effectExtent l="0" t="0" r="0" b="0"/>
            <wp:wrapTight wrapText="bothSides">
              <wp:wrapPolygon edited="0">
                <wp:start x="-67" y="0"/>
                <wp:lineTo x="-67" y="21174"/>
                <wp:lineTo x="21599" y="21174"/>
                <wp:lineTo x="21599" y="0"/>
                <wp:lineTo x="-67" y="0"/>
              </wp:wrapPolygon>
            </wp:wrapTight>
            <wp:docPr id="6" name="HoustonStree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oustonStreet" descr="" title=""/>
                    <pic:cNvPicPr>
                      <a:picLocks noChangeAspect="1" noChangeArrowheads="1"/>
                    </pic:cNvPicPr>
                  </pic:nvPicPr>
                  <pic:blipFill>
                    <a:blip r:embed="rId11"/>
                    <a:srcRect l="-12" t="-63" r="-12" b="-63"/>
                    <a:stretch>
                      <a:fillRect/>
                    </a:stretch>
                  </pic:blipFill>
                  <pic:spPr bwMode="auto">
                    <a:xfrm>
                      <a:off x="0" y="0"/>
                      <a:ext cx="2377440" cy="447040"/>
                    </a:xfrm>
                    <a:prstGeom prst="rect">
                      <a:avLst/>
                    </a:prstGeom>
                    <a:noFill/>
                  </pic:spPr>
                </pic:pic>
              </a:graphicData>
            </a:graphic>
          </wp:anchor>
        </w:drawing>
      </w:r>
    </w:p>
    <w:p>
      <w:pPr>
        <w:pStyle w:val="BodyText"/>
        <w:rPr/>
      </w:pPr>
      <w:r>
        <w:rPr/>
      </w:r>
    </w:p>
    <w:p>
      <w:pPr>
        <w:pStyle w:val="BodyText"/>
        <w:rPr/>
      </w:pPr>
      <w:r>
        <w:rPr/>
      </w:r>
    </w:p>
    <w:p>
      <w:pPr>
        <w:pStyle w:val="Normal"/>
        <w:rPr>
          <w:sz w:val="24"/>
        </w:rPr>
      </w:pPr>
      <w:r>
        <w:rPr>
          <w:sz w:val="24"/>
        </w:rPr>
      </w:r>
    </w:p>
    <w:p>
      <w:pPr>
        <w:pStyle w:val="Normal"/>
        <w:pBdr>
          <w:top w:val="single" w:sz="18" w:space="1" w:color="000000"/>
        </w:pBdr>
        <w:rPr>
          <w:sz w:val="24"/>
        </w:rPr>
      </w:pPr>
      <w:r>
        <w:rPr>
          <w:sz w:val="24"/>
        </w:rPr>
      </w:r>
    </w:p>
    <w:p>
      <w:pPr>
        <w:pStyle w:val="BodyText"/>
        <w:jc w:val="both"/>
        <w:rPr/>
      </w:pPr>
      <w:r>
        <w:rPr>
          <w:b/>
        </w:rPr>
        <w:t>HoustonStreet.com is a full-service, internet-based electricity exchange</w:t>
      </w:r>
      <w:r>
        <w:rPr/>
        <w:t xml:space="preserve"> operating 24 hours per day, 365 days per year.  HoustonStreet’s </w:t>
      </w:r>
      <w:r>
        <w:rPr>
          <w:b/>
        </w:rPr>
        <w:t>parent company is BayCorp Holdings</w:t>
      </w:r>
      <w:r>
        <w:rPr/>
        <w:t xml:space="preserve"> and its Chief Executive Officer is Frank W. Getman, Jr., a former Boston attorney.  Omega Advisors is the principle financier.</w:t>
      </w:r>
    </w:p>
    <w:p>
      <w:pPr>
        <w:pStyle w:val="BodyText"/>
        <w:jc w:val="both"/>
        <w:rPr/>
      </w:pPr>
      <w:r>
        <w:rPr/>
      </w:r>
    </w:p>
    <w:p>
      <w:pPr>
        <w:pStyle w:val="BodyText"/>
        <w:jc w:val="both"/>
        <w:rPr/>
      </w:pPr>
      <w:r>
        <w:rPr>
          <w:b/>
        </w:rPr>
        <w:t>HoustonStreet.com was launched on July 7, 1999, and, during its first four weeks, it handled more than 270,000 MW in transactions.</w:t>
      </w:r>
      <w:r>
        <w:rPr/>
        <w:t xml:space="preserve"> According to Getman, seven of the top ten power trading companies were signed up as of September 1999. Due to the positive response, HoustonStreet decided to extend its coverage from the Northeast region (NEPOOL, PJM, and New York) to every power trading region in the United States by September 13, 1999, more than four months ahead of schedule</w:t>
      </w:r>
      <w:r>
        <w:rPr>
          <w:color w:val="FF0000"/>
        </w:rPr>
        <w:t xml:space="preserve">.  </w:t>
      </w:r>
      <w:r>
        <w:rPr/>
        <w:t>As of November 1999, sixty percent (70 out of 110) of active wholesale power trading companies in the United States have either fully registered or are in the registration process.</w:t>
      </w:r>
    </w:p>
    <w:p>
      <w:pPr>
        <w:pStyle w:val="Normal"/>
        <w:rPr/>
      </w:pPr>
      <w:r>
        <w:rPr/>
      </w:r>
    </w:p>
    <w:p>
      <w:pPr>
        <w:pStyle w:val="Normal"/>
        <w:rPr/>
      </w:pPr>
      <w:r>
        <w:rPr/>
      </w:r>
    </w:p>
    <w:tbl>
      <w:tblPr>
        <w:tblW w:w="11178" w:type="dxa"/>
        <w:jc w:val="start"/>
        <w:tblInd w:w="0" w:type="dxa"/>
        <w:tblLayout w:type="fixed"/>
        <w:tblCellMar>
          <w:top w:w="0" w:type="dxa"/>
          <w:start w:w="108" w:type="dxa"/>
          <w:bottom w:w="0" w:type="dxa"/>
          <w:end w:w="108" w:type="dxa"/>
        </w:tblCellMar>
      </w:tblPr>
      <w:tblGrid>
        <w:gridCol w:w="1728"/>
        <w:gridCol w:w="9450"/>
      </w:tblGrid>
      <w:tr>
        <w:trPr/>
        <w:tc>
          <w:tcPr>
            <w:tcW w:w="1728" w:type="dxa"/>
            <w:tcBorders/>
          </w:tcPr>
          <w:p>
            <w:pPr>
              <w:pStyle w:val="Heading1"/>
              <w:ind w:hanging="0" w:start="0"/>
              <w:rPr>
                <w:color w:val="008000"/>
                <w:sz w:val="24"/>
              </w:rPr>
            </w:pPr>
            <w:r>
              <w:rPr>
                <w:color w:val="008000"/>
                <w:sz w:val="24"/>
              </w:rPr>
              <w:t>Physical Headquarters</w:t>
            </w:r>
          </w:p>
        </w:tc>
        <w:tc>
          <w:tcPr>
            <w:tcW w:w="9450" w:type="dxa"/>
            <w:tcBorders/>
          </w:tcPr>
          <w:p>
            <w:pPr>
              <w:pStyle w:val="Heading2"/>
              <w:ind w:hanging="0" w:start="0"/>
              <w:rPr/>
            </w:pPr>
            <w:r>
              <w:rPr/>
              <w:t>New Hampshire</w:t>
            </w:r>
          </w:p>
          <w:p>
            <w:pPr>
              <w:pStyle w:val="Normal"/>
              <w:rPr>
                <w:color w:val="000080"/>
                <w:sz w:val="24"/>
              </w:rPr>
            </w:pPr>
            <w:r>
              <w:rPr>
                <w:color w:val="000080"/>
                <w:sz w:val="24"/>
              </w:rPr>
              <w:t xml:space="preserve">Open new marketing office in downtown Houston </w:t>
            </w:r>
          </w:p>
          <w:p>
            <w:pPr>
              <w:pStyle w:val="Normal"/>
              <w:rPr>
                <w:color w:val="000080"/>
                <w:sz w:val="24"/>
              </w:rPr>
            </w:pPr>
            <w:r>
              <w:rPr>
                <w:color w:val="000080"/>
                <w:sz w:val="24"/>
              </w:rPr>
              <w:t xml:space="preserve">Hired Veteran Allan Bounds to head the office as Managing Director.  Bounds has 13 years of experience and was formerly with TXU, coordinating all wholesale marketing activities in the Mid Atlantic, Southeast and Texas regions.   Bounds also held various marketing positions at El Paso Energy. </w:t>
            </w:r>
          </w:p>
        </w:tc>
      </w:tr>
      <w:tr>
        <w:trPr/>
        <w:tc>
          <w:tcPr>
            <w:tcW w:w="1728" w:type="dxa"/>
            <w:tcBorders/>
          </w:tcPr>
          <w:p>
            <w:pPr>
              <w:pStyle w:val="Heading1"/>
              <w:snapToGrid w:val="false"/>
              <w:ind w:hanging="0" w:start="0"/>
              <w:rPr>
                <w:color w:val="008000"/>
                <w:sz w:val="24"/>
              </w:rPr>
            </w:pPr>
            <w:r>
              <w:rPr>
                <w:color w:val="008000"/>
                <w:sz w:val="24"/>
              </w:rPr>
            </w:r>
          </w:p>
        </w:tc>
        <w:tc>
          <w:tcPr>
            <w:tcW w:w="9450" w:type="dxa"/>
            <w:tcBorders/>
          </w:tcPr>
          <w:p>
            <w:pPr>
              <w:pStyle w:val="Normal"/>
              <w:snapToGrid w:val="false"/>
              <w:rPr>
                <w:color w:val="008000"/>
                <w:sz w:val="24"/>
              </w:rPr>
            </w:pPr>
            <w:r>
              <w:rPr>
                <w:color w:val="008000"/>
                <w:sz w:val="24"/>
              </w:rPr>
            </w:r>
          </w:p>
        </w:tc>
      </w:tr>
      <w:tr>
        <w:trPr/>
        <w:tc>
          <w:tcPr>
            <w:tcW w:w="1728" w:type="dxa"/>
            <w:tcBorders/>
          </w:tcPr>
          <w:p>
            <w:pPr>
              <w:pStyle w:val="Heading1"/>
              <w:ind w:hanging="0" w:start="0"/>
              <w:rPr>
                <w:color w:val="008000"/>
                <w:sz w:val="24"/>
              </w:rPr>
            </w:pPr>
            <w:r>
              <w:rPr>
                <w:color w:val="008000"/>
                <w:sz w:val="24"/>
              </w:rPr>
              <w:t>Commodity</w:t>
            </w:r>
          </w:p>
        </w:tc>
        <w:tc>
          <w:tcPr>
            <w:tcW w:w="9450" w:type="dxa"/>
            <w:tcBorders/>
          </w:tcPr>
          <w:p>
            <w:pPr>
              <w:pStyle w:val="Normal"/>
              <w:rPr/>
            </w:pPr>
            <w:r>
              <w:rPr>
                <w:b/>
                <w:sz w:val="24"/>
              </w:rPr>
              <w:t>Power:</w:t>
            </w:r>
            <w:r>
              <w:rPr>
                <w:sz w:val="24"/>
              </w:rPr>
              <w:t xml:space="preserve"> 60hz, three-phase, alternating current measured in megawatt-hours (MWhs)</w:t>
            </w:r>
          </w:p>
          <w:p>
            <w:pPr>
              <w:pStyle w:val="Normal"/>
              <w:rPr>
                <w:color w:val="000080"/>
                <w:sz w:val="24"/>
              </w:rPr>
            </w:pPr>
            <w:r>
              <w:rPr>
                <w:color w:val="000080"/>
                <w:sz w:val="24"/>
              </w:rPr>
              <w:t xml:space="preserve">Oil and refined products including gasoline, heating oil, jet fuel and diesel fuel.  </w:t>
            </w:r>
          </w:p>
          <w:p>
            <w:pPr>
              <w:pStyle w:val="Normal"/>
              <w:rPr>
                <w:color w:val="000080"/>
                <w:sz w:val="24"/>
              </w:rPr>
            </w:pPr>
            <w:r>
              <w:rPr>
                <w:color w:val="000080"/>
                <w:sz w:val="24"/>
              </w:rPr>
              <w:t>Equiva Trading, a trading venture supported by Shell Oil, Texaco and Saudi Aramco, will invest more than $6 M in Houston Street to develop the new exchange.</w:t>
            </w:r>
          </w:p>
        </w:tc>
      </w:tr>
      <w:tr>
        <w:trPr/>
        <w:tc>
          <w:tcPr>
            <w:tcW w:w="1728" w:type="dxa"/>
            <w:tcBorders/>
          </w:tcPr>
          <w:p>
            <w:pPr>
              <w:pStyle w:val="Normal"/>
              <w:snapToGrid w:val="false"/>
              <w:rPr>
                <w:b/>
                <w:color w:val="008000"/>
                <w:sz w:val="24"/>
              </w:rPr>
            </w:pPr>
            <w:r>
              <w:rPr>
                <w:b/>
                <w:color w:val="008000"/>
                <w:sz w:val="24"/>
              </w:rPr>
            </w:r>
          </w:p>
        </w:tc>
        <w:tc>
          <w:tcPr>
            <w:tcW w:w="9450" w:type="dxa"/>
            <w:tcBorders/>
          </w:tcPr>
          <w:p>
            <w:pPr>
              <w:pStyle w:val="Normal"/>
              <w:snapToGrid w:val="false"/>
              <w:rPr>
                <w:b/>
                <w:color w:val="008000"/>
                <w:sz w:val="24"/>
              </w:rPr>
            </w:pPr>
            <w:r>
              <w:rPr>
                <w:b/>
                <w:color w:val="008000"/>
                <w:sz w:val="24"/>
              </w:rPr>
            </w:r>
          </w:p>
        </w:tc>
      </w:tr>
      <w:tr>
        <w:trPr/>
        <w:tc>
          <w:tcPr>
            <w:tcW w:w="1728" w:type="dxa"/>
            <w:tcBorders/>
          </w:tcPr>
          <w:p>
            <w:pPr>
              <w:pStyle w:val="Normal"/>
              <w:rPr>
                <w:b/>
                <w:color w:val="008000"/>
                <w:sz w:val="24"/>
              </w:rPr>
            </w:pPr>
            <w:r>
              <w:rPr>
                <w:b/>
                <w:color w:val="008000"/>
                <w:sz w:val="24"/>
              </w:rPr>
              <w:t>Products</w:t>
            </w:r>
          </w:p>
        </w:tc>
        <w:tc>
          <w:tcPr>
            <w:tcW w:w="9450" w:type="dxa"/>
            <w:tcBorders/>
          </w:tcPr>
          <w:p>
            <w:pPr>
              <w:pStyle w:val="BodyText"/>
              <w:rPr/>
            </w:pPr>
            <w:r>
              <w:rPr/>
              <w:t xml:space="preserve">Each trading region varies in the products commonly traded. HoustonStreet asks that traders notify the company if there are products which are unavailable that they would like to trade. </w:t>
            </w:r>
          </w:p>
          <w:p>
            <w:pPr>
              <w:pStyle w:val="BodyText"/>
              <w:rPr>
                <w:color w:val="000080"/>
              </w:rPr>
            </w:pPr>
            <w:r>
              <w:rPr>
                <w:color w:val="000080"/>
              </w:rPr>
              <w:t>The original trading floor, PowerPit, focuses on the needs of physical traders, who trade power to satisfy a specific requirement or to sell excess power.</w:t>
            </w:r>
          </w:p>
          <w:p>
            <w:pPr>
              <w:pStyle w:val="Normal"/>
              <w:numPr>
                <w:ilvl w:val="0"/>
                <w:numId w:val="53"/>
              </w:numPr>
              <w:tabs>
                <w:tab w:val="left" w:pos="720" w:leader="none"/>
              </w:tabs>
              <w:ind w:hanging="360" w:start="720" w:end="0"/>
              <w:rPr>
                <w:color w:val="000080"/>
                <w:sz w:val="24"/>
              </w:rPr>
            </w:pPr>
            <w:r>
              <w:rPr>
                <w:color w:val="000080"/>
                <w:sz w:val="24"/>
              </w:rPr>
              <w:t>PowerPit gives traders the flexibility to buy and sell any quantity of wholesale power for any time period at any delivery point in the United States</w:t>
            </w:r>
          </w:p>
          <w:p>
            <w:pPr>
              <w:pStyle w:val="Normal"/>
              <w:numPr>
                <w:ilvl w:val="0"/>
                <w:numId w:val="53"/>
              </w:numPr>
              <w:tabs>
                <w:tab w:val="left" w:pos="720" w:leader="none"/>
              </w:tabs>
              <w:ind w:hanging="360" w:start="720" w:end="0"/>
              <w:rPr>
                <w:color w:val="000080"/>
                <w:sz w:val="24"/>
              </w:rPr>
            </w:pPr>
            <w:r>
              <w:rPr>
                <w:color w:val="000080"/>
                <w:sz w:val="24"/>
              </w:rPr>
              <w:t>It allows traders to input customized information to specify the product they are trading</w:t>
            </w:r>
          </w:p>
          <w:p>
            <w:pPr>
              <w:pStyle w:val="Normal"/>
              <w:rPr>
                <w:color w:val="000080"/>
                <w:sz w:val="24"/>
              </w:rPr>
            </w:pPr>
            <w:r>
              <w:rPr>
                <w:color w:val="000080"/>
                <w:sz w:val="24"/>
              </w:rPr>
              <w:t>SpeedWay has been designed specifically for financial traders, who buy and sell large, standard blocks of on-peak power at the most heavily traded delivery points in the United States.</w:t>
            </w:r>
          </w:p>
          <w:p>
            <w:pPr>
              <w:pStyle w:val="Normal"/>
              <w:numPr>
                <w:ilvl w:val="0"/>
                <w:numId w:val="53"/>
              </w:numPr>
              <w:tabs>
                <w:tab w:val="left" w:pos="720" w:leader="none"/>
              </w:tabs>
              <w:ind w:hanging="360" w:start="720" w:end="0"/>
              <w:rPr>
                <w:color w:val="000080"/>
                <w:sz w:val="24"/>
              </w:rPr>
            </w:pPr>
            <w:r>
              <w:rPr>
                <w:color w:val="000080"/>
                <w:sz w:val="24"/>
              </w:rPr>
              <w:t>Streamlines the process by allowing them to trade only high-volumes of on-peak power for pre-determined time periods at highly traded power hubs such as Cinergy, PJM, NEPOOL, or TVA</w:t>
            </w:r>
          </w:p>
        </w:tc>
      </w:tr>
      <w:tr>
        <w:trPr/>
        <w:tc>
          <w:tcPr>
            <w:tcW w:w="1728" w:type="dxa"/>
            <w:tcBorders/>
          </w:tcPr>
          <w:p>
            <w:pPr>
              <w:pStyle w:val="Normal"/>
              <w:snapToGrid w:val="false"/>
              <w:rPr>
                <w:b/>
                <w:color w:val="008000"/>
                <w:sz w:val="24"/>
              </w:rPr>
            </w:pPr>
            <w:r>
              <w:rPr>
                <w:b/>
                <w:color w:val="008000"/>
                <w:sz w:val="24"/>
              </w:rPr>
            </w:r>
          </w:p>
        </w:tc>
        <w:tc>
          <w:tcPr>
            <w:tcW w:w="9450" w:type="dxa"/>
            <w:tcBorders/>
          </w:tcPr>
          <w:p>
            <w:pPr>
              <w:pStyle w:val="Normal"/>
              <w:snapToGrid w:val="false"/>
              <w:rPr>
                <w:b/>
                <w:i/>
                <w:i/>
                <w:color w:val="008000"/>
                <w:sz w:val="24"/>
              </w:rPr>
            </w:pPr>
            <w:r>
              <w:rPr>
                <w:b/>
                <w:i/>
                <w:color w:val="008000"/>
                <w:sz w:val="24"/>
              </w:rPr>
            </w:r>
          </w:p>
        </w:tc>
      </w:tr>
      <w:tr>
        <w:trPr/>
        <w:tc>
          <w:tcPr>
            <w:tcW w:w="1728" w:type="dxa"/>
            <w:tcBorders/>
          </w:tcPr>
          <w:p>
            <w:pPr>
              <w:pStyle w:val="Normal"/>
              <w:rPr>
                <w:b/>
                <w:color w:val="008000"/>
                <w:sz w:val="24"/>
              </w:rPr>
            </w:pPr>
            <w:r>
              <w:rPr>
                <w:b/>
                <w:color w:val="008000"/>
                <w:sz w:val="24"/>
              </w:rPr>
              <w:t>Restrictions</w:t>
            </w:r>
          </w:p>
        </w:tc>
        <w:tc>
          <w:tcPr>
            <w:tcW w:w="9450" w:type="dxa"/>
            <w:tcBorders/>
          </w:tcPr>
          <w:p>
            <w:pPr>
              <w:pStyle w:val="Normal"/>
              <w:numPr>
                <w:ilvl w:val="0"/>
                <w:numId w:val="4"/>
              </w:numPr>
              <w:rPr>
                <w:sz w:val="24"/>
              </w:rPr>
            </w:pPr>
            <w:r>
              <w:rPr>
                <w:i/>
                <w:sz w:val="24"/>
              </w:rPr>
              <w:t>Term:</w:t>
            </w:r>
            <w:r>
              <w:rPr>
                <w:sz w:val="24"/>
              </w:rPr>
              <w:t xml:space="preserve"> normal scheduling requirements within each region</w:t>
            </w:r>
          </w:p>
          <w:p>
            <w:pPr>
              <w:pStyle w:val="Normal"/>
              <w:numPr>
                <w:ilvl w:val="0"/>
                <w:numId w:val="4"/>
              </w:numPr>
              <w:rPr>
                <w:sz w:val="24"/>
              </w:rPr>
            </w:pPr>
            <w:r>
              <w:rPr>
                <w:i/>
                <w:sz w:val="24"/>
              </w:rPr>
              <w:t>Amounts:</w:t>
            </w:r>
            <w:r>
              <w:rPr>
                <w:sz w:val="24"/>
              </w:rPr>
              <w:t xml:space="preserve"> up to 99,999 MW, at up to $999,999.99 per MW, for up to 10 years in the future</w:t>
            </w:r>
          </w:p>
          <w:p>
            <w:pPr>
              <w:pStyle w:val="Normal"/>
              <w:numPr>
                <w:ilvl w:val="0"/>
                <w:numId w:val="4"/>
              </w:numPr>
              <w:rPr>
                <w:sz w:val="24"/>
              </w:rPr>
            </w:pPr>
            <w:r>
              <w:rPr>
                <w:i/>
                <w:sz w:val="24"/>
              </w:rPr>
              <w:t>Installed Capability:</w:t>
            </w:r>
            <w:r>
              <w:rPr>
                <w:sz w:val="24"/>
              </w:rPr>
              <w:t xml:space="preserve"> (A product of capacity measured in MW); can only be bought or sold for full calendar month periods</w:t>
            </w:r>
          </w:p>
        </w:tc>
      </w:tr>
      <w:tr>
        <w:trPr/>
        <w:tc>
          <w:tcPr>
            <w:tcW w:w="1728" w:type="dxa"/>
            <w:tcBorders/>
          </w:tcPr>
          <w:p>
            <w:pPr>
              <w:pStyle w:val="Normal"/>
              <w:snapToGrid w:val="false"/>
              <w:rPr>
                <w:b/>
                <w:color w:val="008000"/>
                <w:sz w:val="24"/>
              </w:rPr>
            </w:pPr>
            <w:r>
              <w:rPr>
                <w:b/>
                <w:color w:val="008000"/>
                <w:sz w:val="24"/>
              </w:rPr>
            </w:r>
          </w:p>
        </w:tc>
        <w:tc>
          <w:tcPr>
            <w:tcW w:w="9450" w:type="dxa"/>
            <w:tcBorders/>
          </w:tcPr>
          <w:p>
            <w:pPr>
              <w:pStyle w:val="Normal"/>
              <w:snapToGrid w:val="false"/>
              <w:rPr>
                <w:b/>
                <w:color w:val="008000"/>
                <w:sz w:val="24"/>
                <w:u w:val="single"/>
              </w:rPr>
            </w:pPr>
            <w:r>
              <w:rPr>
                <w:b/>
                <w:color w:val="008000"/>
                <w:sz w:val="24"/>
                <w:u w:val="single"/>
              </w:rPr>
            </w:r>
          </w:p>
        </w:tc>
      </w:tr>
      <w:tr>
        <w:trPr/>
        <w:tc>
          <w:tcPr>
            <w:tcW w:w="1728" w:type="dxa"/>
            <w:tcBorders/>
          </w:tcPr>
          <w:p>
            <w:pPr>
              <w:pStyle w:val="Normal"/>
              <w:rPr>
                <w:b/>
                <w:color w:val="008000"/>
                <w:sz w:val="24"/>
              </w:rPr>
            </w:pPr>
            <w:r>
              <w:rPr>
                <w:b/>
                <w:color w:val="008000"/>
                <w:sz w:val="24"/>
              </w:rPr>
              <w:t>Cost</w:t>
            </w:r>
          </w:p>
        </w:tc>
        <w:tc>
          <w:tcPr>
            <w:tcW w:w="9450" w:type="dxa"/>
            <w:tcBorders/>
          </w:tcPr>
          <w:p>
            <w:pPr>
              <w:pStyle w:val="Normal"/>
              <w:rPr/>
            </w:pPr>
            <w:r>
              <w:rPr>
                <w:sz w:val="24"/>
                <w:u w:val="single"/>
              </w:rPr>
              <w:t>Rate (Per MWh)</w:t>
            </w:r>
            <w:r>
              <w:rPr>
                <w:sz w:val="24"/>
              </w:rPr>
              <w:t xml:space="preserve">             </w:t>
            </w:r>
            <w:r>
              <w:rPr>
                <w:sz w:val="24"/>
                <w:u w:val="single"/>
              </w:rPr>
              <w:t>Monthly Trading Volume (MWhs)</w:t>
            </w:r>
          </w:p>
          <w:p>
            <w:pPr>
              <w:pStyle w:val="Normal"/>
              <w:rPr>
                <w:sz w:val="24"/>
              </w:rPr>
            </w:pPr>
            <w:r>
              <w:rPr>
                <w:sz w:val="24"/>
              </w:rPr>
              <w:t>2.00 cents                                     0-175,000</w:t>
            </w:r>
          </w:p>
          <w:p>
            <w:pPr>
              <w:pStyle w:val="Normal"/>
              <w:rPr>
                <w:sz w:val="24"/>
              </w:rPr>
            </w:pPr>
            <w:r>
              <w:rPr>
                <w:sz w:val="24"/>
              </w:rPr>
              <w:t>1.50 cents                                175,000-350,000</w:t>
            </w:r>
          </w:p>
          <w:p>
            <w:pPr>
              <w:pStyle w:val="Normal"/>
              <w:rPr>
                <w:sz w:val="24"/>
              </w:rPr>
            </w:pPr>
            <w:r>
              <w:rPr>
                <w:sz w:val="24"/>
              </w:rPr>
              <w:t>1.25 cents                                350,000-700,000</w:t>
            </w:r>
          </w:p>
          <w:p>
            <w:pPr>
              <w:pStyle w:val="Normal"/>
              <w:rPr>
                <w:sz w:val="24"/>
              </w:rPr>
            </w:pPr>
            <w:r>
              <w:rPr>
                <w:sz w:val="24"/>
              </w:rPr>
              <w:t>1.00 cent                                700,001- Unlimited</w:t>
            </w:r>
          </w:p>
        </w:tc>
      </w:tr>
      <w:tr>
        <w:trPr/>
        <w:tc>
          <w:tcPr>
            <w:tcW w:w="1728" w:type="dxa"/>
            <w:tcBorders/>
          </w:tcPr>
          <w:p>
            <w:pPr>
              <w:pStyle w:val="Normal"/>
              <w:snapToGrid w:val="false"/>
              <w:rPr>
                <w:b/>
                <w:color w:val="008000"/>
                <w:sz w:val="24"/>
              </w:rPr>
            </w:pPr>
            <w:r>
              <w:rPr>
                <w:b/>
                <w:color w:val="008000"/>
                <w:sz w:val="24"/>
              </w:rPr>
            </w:r>
          </w:p>
        </w:tc>
        <w:tc>
          <w:tcPr>
            <w:tcW w:w="9450" w:type="dxa"/>
            <w:tcBorders/>
          </w:tcPr>
          <w:p>
            <w:pPr>
              <w:pStyle w:val="Normal"/>
              <w:snapToGrid w:val="false"/>
              <w:rPr>
                <w:b/>
                <w:color w:val="008000"/>
                <w:sz w:val="24"/>
              </w:rPr>
            </w:pPr>
            <w:r>
              <w:rPr>
                <w:b/>
                <w:color w:val="008000"/>
                <w:sz w:val="24"/>
              </w:rPr>
            </w:r>
          </w:p>
        </w:tc>
      </w:tr>
      <w:tr>
        <w:trPr/>
        <w:tc>
          <w:tcPr>
            <w:tcW w:w="1728" w:type="dxa"/>
            <w:tcBorders/>
          </w:tcPr>
          <w:p>
            <w:pPr>
              <w:pStyle w:val="Normal"/>
              <w:rPr>
                <w:b/>
                <w:color w:val="008000"/>
                <w:sz w:val="24"/>
              </w:rPr>
            </w:pPr>
            <w:r>
              <w:rPr>
                <w:b/>
                <w:color w:val="008000"/>
                <w:sz w:val="24"/>
              </w:rPr>
              <w:t>Risk Management Features</w:t>
            </w:r>
          </w:p>
        </w:tc>
        <w:tc>
          <w:tcPr>
            <w:tcW w:w="9450" w:type="dxa"/>
            <w:tcBorders/>
          </w:tcPr>
          <w:p>
            <w:pPr>
              <w:pStyle w:val="Normal"/>
              <w:numPr>
                <w:ilvl w:val="0"/>
                <w:numId w:val="40"/>
              </w:numPr>
              <w:rPr>
                <w:sz w:val="24"/>
              </w:rPr>
            </w:pPr>
            <w:r>
              <w:rPr>
                <w:sz w:val="24"/>
              </w:rPr>
              <w:t>Automatic e-mail and fax messages are sent to all parties involved once a transaction is completed. The messages detail the trades and can be saved to a transaction history page, giving risk managers the ability to track and monitor all power deals.</w:t>
            </w:r>
          </w:p>
          <w:p>
            <w:pPr>
              <w:pStyle w:val="Normal"/>
              <w:numPr>
                <w:ilvl w:val="0"/>
                <w:numId w:val="40"/>
              </w:numPr>
              <w:rPr>
                <w:sz w:val="24"/>
              </w:rPr>
            </w:pPr>
            <w:r>
              <w:rPr>
                <w:sz w:val="24"/>
              </w:rPr>
              <w:t>Ratings indicators (credit/other) are shown in the FYI column on the “trading floor.” These ratings are customized by each trading company to indicate which companies they deem to be acceptable trading partners.</w:t>
            </w:r>
          </w:p>
        </w:tc>
      </w:tr>
      <w:tr>
        <w:trPr/>
        <w:tc>
          <w:tcPr>
            <w:tcW w:w="1728" w:type="dxa"/>
            <w:tcBorders/>
          </w:tcPr>
          <w:p>
            <w:pPr>
              <w:pStyle w:val="Normal"/>
              <w:snapToGrid w:val="false"/>
              <w:rPr>
                <w:b/>
                <w:color w:val="008000"/>
                <w:sz w:val="24"/>
              </w:rPr>
            </w:pPr>
            <w:r>
              <w:rPr>
                <w:b/>
                <w:color w:val="008000"/>
                <w:sz w:val="24"/>
              </w:rPr>
            </w:r>
          </w:p>
        </w:tc>
        <w:tc>
          <w:tcPr>
            <w:tcW w:w="9450" w:type="dxa"/>
            <w:tcBorders/>
          </w:tcPr>
          <w:p>
            <w:pPr>
              <w:pStyle w:val="Normal"/>
              <w:snapToGrid w:val="false"/>
              <w:rPr>
                <w:b/>
                <w:color w:val="008000"/>
                <w:sz w:val="24"/>
              </w:rPr>
            </w:pPr>
            <w:r>
              <w:rPr>
                <w:b/>
                <w:color w:val="008000"/>
                <w:sz w:val="24"/>
              </w:rPr>
            </w:r>
          </w:p>
        </w:tc>
      </w:tr>
      <w:tr>
        <w:trPr/>
        <w:tc>
          <w:tcPr>
            <w:tcW w:w="1728" w:type="dxa"/>
            <w:tcBorders/>
          </w:tcPr>
          <w:p>
            <w:pPr>
              <w:pStyle w:val="Normal"/>
              <w:rPr>
                <w:b/>
                <w:color w:val="008000"/>
                <w:sz w:val="24"/>
              </w:rPr>
            </w:pPr>
            <w:r>
              <w:rPr>
                <w:b/>
                <w:color w:val="008000"/>
                <w:sz w:val="24"/>
              </w:rPr>
              <w:t>Additional Features</w:t>
            </w:r>
          </w:p>
        </w:tc>
        <w:tc>
          <w:tcPr>
            <w:tcW w:w="9450" w:type="dxa"/>
            <w:tcBorders/>
          </w:tcPr>
          <w:p>
            <w:pPr>
              <w:pStyle w:val="Normal"/>
              <w:numPr>
                <w:ilvl w:val="0"/>
                <w:numId w:val="28"/>
              </w:numPr>
              <w:rPr>
                <w:sz w:val="24"/>
              </w:rPr>
            </w:pPr>
            <w:r>
              <w:rPr>
                <w:sz w:val="24"/>
              </w:rPr>
              <w:t>Partnered with EarthSat to provide members the following weather products:</w:t>
            </w:r>
          </w:p>
          <w:p>
            <w:pPr>
              <w:pStyle w:val="Normal"/>
              <w:rPr>
                <w:sz w:val="24"/>
              </w:rPr>
            </w:pPr>
            <w:r>
              <w:rPr>
                <w:sz w:val="24"/>
              </w:rPr>
              <w:t xml:space="preserve">          </w:t>
            </w:r>
            <w:r>
              <w:rPr>
                <w:sz w:val="24"/>
              </w:rPr>
              <w:t>Power Weather Checker, an hourly monitoring service for key cities in each</w:t>
            </w:r>
          </w:p>
          <w:p>
            <w:pPr>
              <w:pStyle w:val="Normal"/>
              <w:rPr>
                <w:sz w:val="24"/>
              </w:rPr>
            </w:pPr>
            <w:r>
              <w:rPr>
                <w:sz w:val="24"/>
              </w:rPr>
              <w:t xml:space="preserve">               </w:t>
            </w:r>
            <w:r>
              <w:rPr>
                <w:sz w:val="24"/>
              </w:rPr>
              <w:t>region</w:t>
            </w:r>
          </w:p>
          <w:p>
            <w:pPr>
              <w:pStyle w:val="Normal"/>
              <w:rPr>
                <w:sz w:val="24"/>
              </w:rPr>
            </w:pPr>
            <w:r>
              <w:rPr>
                <w:sz w:val="24"/>
              </w:rPr>
              <w:t xml:space="preserve">          </w:t>
            </w:r>
            <w:r>
              <w:rPr>
                <w:sz w:val="24"/>
              </w:rPr>
              <w:t>Complete historical weather data for key cities in each region</w:t>
            </w:r>
          </w:p>
          <w:p>
            <w:pPr>
              <w:pStyle w:val="Normal"/>
              <w:rPr>
                <w:sz w:val="24"/>
              </w:rPr>
            </w:pPr>
            <w:r>
              <w:rPr>
                <w:sz w:val="24"/>
              </w:rPr>
              <w:t xml:space="preserve">          </w:t>
            </w:r>
            <w:r>
              <w:rPr>
                <w:sz w:val="24"/>
              </w:rPr>
              <w:t xml:space="preserve">Twelve-month temperature departure forecast for each region </w:t>
            </w:r>
          </w:p>
          <w:p>
            <w:pPr>
              <w:pStyle w:val="Normal"/>
              <w:rPr>
                <w:sz w:val="24"/>
              </w:rPr>
            </w:pPr>
            <w:r>
              <w:rPr>
                <w:sz w:val="24"/>
              </w:rPr>
              <w:t xml:space="preserve">          </w:t>
            </w:r>
            <w:r>
              <w:rPr>
                <w:sz w:val="24"/>
              </w:rPr>
              <w:t xml:space="preserve">Day-by-day forecasts and deviation from the norms    </w:t>
            </w:r>
          </w:p>
          <w:p>
            <w:pPr>
              <w:pStyle w:val="Normal"/>
              <w:rPr>
                <w:sz w:val="24"/>
              </w:rPr>
            </w:pPr>
            <w:r>
              <w:rPr>
                <w:sz w:val="24"/>
              </w:rPr>
              <w:t xml:space="preserve">          </w:t>
            </w:r>
            <w:r>
              <w:rPr>
                <w:sz w:val="24"/>
              </w:rPr>
              <w:t xml:space="preserve">Five-day weather forecasts for approximately 150 cities    </w:t>
            </w:r>
          </w:p>
          <w:p>
            <w:pPr>
              <w:pStyle w:val="Normal"/>
              <w:rPr>
                <w:sz w:val="24"/>
              </w:rPr>
            </w:pPr>
            <w:r>
              <w:rPr>
                <w:sz w:val="24"/>
              </w:rPr>
              <w:t xml:space="preserve">          </w:t>
            </w:r>
            <w:r>
              <w:rPr>
                <w:sz w:val="24"/>
              </w:rPr>
              <w:t xml:space="preserve">Regional based weather maps and forecast          </w:t>
            </w:r>
          </w:p>
          <w:p>
            <w:pPr>
              <w:pStyle w:val="Normal"/>
              <w:numPr>
                <w:ilvl w:val="0"/>
                <w:numId w:val="28"/>
              </w:numPr>
              <w:rPr>
                <w:sz w:val="24"/>
              </w:rPr>
            </w:pPr>
            <w:r>
              <w:rPr>
                <w:sz w:val="24"/>
              </w:rPr>
              <w:t>Users can view entire trading history, sort offers and bids by price, term, volume and delivery point</w:t>
            </w:r>
          </w:p>
          <w:p>
            <w:pPr>
              <w:pStyle w:val="Normal"/>
              <w:numPr>
                <w:ilvl w:val="0"/>
                <w:numId w:val="28"/>
              </w:numPr>
              <w:rPr>
                <w:sz w:val="24"/>
              </w:rPr>
            </w:pPr>
            <w:r>
              <w:rPr>
                <w:sz w:val="24"/>
              </w:rPr>
              <w:t>Customizable auto-refresh feature that automatically updates user’s HoustonStreet trading floor</w:t>
            </w:r>
          </w:p>
          <w:p>
            <w:pPr>
              <w:pStyle w:val="Normal"/>
              <w:numPr>
                <w:ilvl w:val="0"/>
                <w:numId w:val="28"/>
              </w:numPr>
              <w:rPr>
                <w:sz w:val="24"/>
              </w:rPr>
            </w:pPr>
            <w:r>
              <w:rPr>
                <w:sz w:val="24"/>
              </w:rPr>
              <w:t>Trading between regions: HoustonStreet allows individuals to view multiple regions and execute multiple trades in each region; the appropriate OASIS site can then be accessed to reserve necessary transmission</w:t>
            </w:r>
          </w:p>
          <w:p>
            <w:pPr>
              <w:pStyle w:val="Normal"/>
              <w:numPr>
                <w:ilvl w:val="0"/>
                <w:numId w:val="28"/>
              </w:numPr>
              <w:rPr>
                <w:sz w:val="24"/>
              </w:rPr>
            </w:pPr>
            <w:r>
              <w:rPr>
                <w:sz w:val="24"/>
              </w:rPr>
              <w:t>Direct links to the New York Mercantile Exchange (NYMEX) and the California PX (CalPX) are planned</w:t>
            </w:r>
          </w:p>
          <w:p>
            <w:pPr>
              <w:pStyle w:val="Normal"/>
              <w:numPr>
                <w:ilvl w:val="0"/>
                <w:numId w:val="28"/>
              </w:numPr>
              <w:rPr>
                <w:sz w:val="24"/>
              </w:rPr>
            </w:pPr>
            <w:r>
              <w:rPr>
                <w:sz w:val="24"/>
              </w:rPr>
              <w:t>Anonymity: users can enter information about trading agreements and credit status while maintaining anonymity</w:t>
            </w:r>
          </w:p>
          <w:p>
            <w:pPr>
              <w:pStyle w:val="Normal"/>
              <w:numPr>
                <w:ilvl w:val="0"/>
                <w:numId w:val="28"/>
              </w:numPr>
              <w:rPr>
                <w:sz w:val="24"/>
              </w:rPr>
            </w:pPr>
            <w:r>
              <w:rPr>
                <w:sz w:val="24"/>
              </w:rPr>
              <w:t>Cancel/Suspend: enables traders to either suspend or cancel all of their outstanding bids and offers with a single click if they feel the market has become too unstable</w:t>
            </w:r>
          </w:p>
          <w:p>
            <w:pPr>
              <w:pStyle w:val="Normal"/>
              <w:numPr>
                <w:ilvl w:val="0"/>
                <w:numId w:val="28"/>
              </w:numPr>
              <w:rPr>
                <w:sz w:val="24"/>
              </w:rPr>
            </w:pPr>
            <w:r>
              <w:rPr>
                <w:sz w:val="24"/>
              </w:rPr>
              <w:t>Chat Room: allows traders to connect with each other in real time</w:t>
            </w:r>
          </w:p>
        </w:tc>
      </w:tr>
      <w:tr>
        <w:trPr/>
        <w:tc>
          <w:tcPr>
            <w:tcW w:w="1728" w:type="dxa"/>
            <w:tcBorders/>
          </w:tcPr>
          <w:p>
            <w:pPr>
              <w:pStyle w:val="Normal"/>
              <w:rPr>
                <w:b/>
                <w:color w:val="008000"/>
                <w:sz w:val="24"/>
              </w:rPr>
            </w:pPr>
            <w:r>
              <w:rPr>
                <w:b/>
                <w:color w:val="008000"/>
                <w:sz w:val="24"/>
              </w:rPr>
              <w:t>Personnel/ Developers</w:t>
            </w:r>
          </w:p>
        </w:tc>
        <w:tc>
          <w:tcPr>
            <w:tcW w:w="9450" w:type="dxa"/>
            <w:tcBorders/>
          </w:tcPr>
          <w:p>
            <w:pPr>
              <w:pStyle w:val="BodyText"/>
              <w:numPr>
                <w:ilvl w:val="0"/>
                <w:numId w:val="26"/>
              </w:numPr>
              <w:rPr/>
            </w:pPr>
            <w:r>
              <w:rPr>
                <w:color w:val="000080"/>
              </w:rPr>
              <w:t>Currently HoustonStreet employs twenty-two people</w:t>
            </w:r>
            <w:r>
              <w:rPr/>
              <w:t>; however, as many as sixty people were involved in its development.</w:t>
            </w:r>
          </w:p>
          <w:p>
            <w:pPr>
              <w:pStyle w:val="BodyText"/>
              <w:numPr>
                <w:ilvl w:val="0"/>
                <w:numId w:val="26"/>
              </w:numPr>
              <w:rPr>
                <w:sz w:val="22"/>
              </w:rPr>
            </w:pPr>
            <w:r>
              <w:rPr/>
              <w:t xml:space="preserve">In creating the online trading floor, Getman utilized developers such as Sapient Corp., an e-services consulting firm, and Reactivity Inc., as well as, MicroArts, which developed the demonstration models and user interfaces. </w:t>
            </w:r>
          </w:p>
          <w:p>
            <w:pPr>
              <w:pStyle w:val="BodyText"/>
              <w:rPr>
                <w:sz w:val="22"/>
              </w:rPr>
            </w:pPr>
            <w:r>
              <w:rPr>
                <w:sz w:val="22"/>
              </w:rPr>
            </w:r>
          </w:p>
        </w:tc>
      </w:tr>
    </w:tbl>
    <w:p>
      <w:pPr>
        <w:pStyle w:val="Normal"/>
        <w:rPr>
          <w:sz w:val="32"/>
        </w:rPr>
      </w:pPr>
      <w:r>
        <w:rPr>
          <w:sz w:val="32"/>
        </w:rPr>
      </w:r>
    </w:p>
    <w:p>
      <w:pPr>
        <w:pStyle w:val="Normal"/>
        <w:rPr>
          <w:sz w:val="24"/>
          <w:lang w:val="en-CA"/>
        </w:rPr>
      </w:pPr>
      <w:r>
        <w:rPr>
          <w:sz w:val="24"/>
          <w:lang w:val="en-CA"/>
        </w:rPr>
        <w:drawing>
          <wp:anchor behindDoc="1" distT="0" distB="0" distL="114935" distR="114935" simplePos="0" locked="0" layoutInCell="0" allowOverlap="1" relativeHeight="8">
            <wp:simplePos x="0" y="0"/>
            <wp:positionH relativeFrom="column">
              <wp:posOffset>0</wp:posOffset>
            </wp:positionH>
            <wp:positionV relativeFrom="paragraph">
              <wp:posOffset>51435</wp:posOffset>
            </wp:positionV>
            <wp:extent cx="2103120" cy="410210"/>
            <wp:effectExtent l="0" t="0" r="0" b="0"/>
            <wp:wrapTight wrapText="bothSides">
              <wp:wrapPolygon edited="0">
                <wp:start x="1558" y="0"/>
                <wp:lineTo x="745" y="1041"/>
                <wp:lineTo x="-67" y="6598"/>
                <wp:lineTo x="-67" y="13891"/>
                <wp:lineTo x="1151" y="20143"/>
                <wp:lineTo x="1828" y="20143"/>
                <wp:lineTo x="19162" y="20143"/>
                <wp:lineTo x="21599" y="18753"/>
                <wp:lineTo x="21599" y="13891"/>
                <wp:lineTo x="19297" y="10766"/>
                <wp:lineTo x="20381" y="1735"/>
                <wp:lineTo x="19297" y="1041"/>
                <wp:lineTo x="3385" y="0"/>
                <wp:lineTo x="1558" y="0"/>
              </wp:wrapPolygon>
            </wp:wrapTight>
            <wp:docPr id="7" name="automated%20power%20exchan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tomated%20power%20exchange" descr="" title=""/>
                    <pic:cNvPicPr>
                      <a:picLocks noChangeAspect="1" noChangeArrowheads="1"/>
                    </pic:cNvPicPr>
                  </pic:nvPicPr>
                  <pic:blipFill>
                    <a:blip r:embed="rId12"/>
                    <a:srcRect l="-12" t="-61" r="-12" b="-61"/>
                    <a:stretch>
                      <a:fillRect/>
                    </a:stretch>
                  </pic:blipFill>
                  <pic:spPr bwMode="auto">
                    <a:xfrm>
                      <a:off x="0" y="0"/>
                      <a:ext cx="2103120" cy="410210"/>
                    </a:xfrm>
                    <a:prstGeom prst="rect">
                      <a:avLst/>
                    </a:prstGeom>
                    <a:noFill/>
                  </pic:spPr>
                </pic:pic>
              </a:graphicData>
            </a:graphic>
          </wp:anchor>
        </w:drawing>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pBdr>
          <w:top w:val="single" w:sz="18" w:space="1" w:color="000000"/>
        </w:pBdr>
        <w:rPr>
          <w:sz w:val="24"/>
        </w:rPr>
      </w:pPr>
      <w:r>
        <w:rPr>
          <w:sz w:val="24"/>
        </w:rPr>
      </w:r>
    </w:p>
    <w:p>
      <w:pPr>
        <w:pStyle w:val="BodyText2"/>
        <w:jc w:val="both"/>
        <w:rPr/>
      </w:pPr>
      <w:r>
        <w:rPr>
          <w:b/>
          <w:sz w:val="24"/>
        </w:rPr>
        <w:t>Automated Power Exchange, founded by Dr. Edward G. Cazalet and Jack Ellis in 1996, operates Internet-based exchanges for the buying and selling of electricity, energy transmission, and related products</w:t>
      </w:r>
      <w:r>
        <w:rPr>
          <w:sz w:val="24"/>
        </w:rPr>
        <w:t xml:space="preserve">.   The site provides forward price discovery (prices posted in real time), autonomous anonymous matching, integrated web-based settlements, and credit management. The APX California Markets™, the APX Green Power Market™, and the APX Ohio Hub™ are currently in operation.  In addition, the New York and U.K. exchanges are scheduled to open during the second quarter of 2000 and an Illinois exchange planned for the future. APX is </w:t>
      </w:r>
      <w:r>
        <w:rPr>
          <w:b/>
          <w:sz w:val="24"/>
        </w:rPr>
        <w:t>backed by Commonwealth Edison, FirstEnergy Corp, and Bechtel,</w:t>
      </w:r>
      <w:r>
        <w:rPr>
          <w:sz w:val="24"/>
        </w:rPr>
        <w:t xml:space="preserve"> among other investors.</w:t>
      </w:r>
    </w:p>
    <w:p>
      <w:pPr>
        <w:pStyle w:val="BodyText2"/>
        <w:jc w:val="both"/>
        <w:rPr>
          <w:sz w:val="24"/>
        </w:rPr>
      </w:pPr>
      <w:r>
        <w:rPr>
          <w:sz w:val="24"/>
        </w:rPr>
      </w:r>
    </w:p>
    <w:tbl>
      <w:tblPr>
        <w:tblW w:w="11178" w:type="dxa"/>
        <w:jc w:val="start"/>
        <w:tblInd w:w="0" w:type="dxa"/>
        <w:tblLayout w:type="fixed"/>
        <w:tblCellMar>
          <w:top w:w="0" w:type="dxa"/>
          <w:start w:w="108" w:type="dxa"/>
          <w:bottom w:w="0" w:type="dxa"/>
          <w:end w:w="108" w:type="dxa"/>
        </w:tblCellMar>
      </w:tblPr>
      <w:tblGrid>
        <w:gridCol w:w="1728"/>
        <w:gridCol w:w="9450"/>
      </w:tblGrid>
      <w:tr>
        <w:trPr/>
        <w:tc>
          <w:tcPr>
            <w:tcW w:w="1728" w:type="dxa"/>
            <w:tcBorders/>
          </w:tcPr>
          <w:p>
            <w:pPr>
              <w:pStyle w:val="Heading1"/>
              <w:ind w:hanging="0" w:start="0"/>
              <w:rPr>
                <w:color w:val="FF0000"/>
                <w:sz w:val="24"/>
              </w:rPr>
            </w:pPr>
            <w:r>
              <w:rPr>
                <w:color w:val="FF0000"/>
                <w:sz w:val="24"/>
              </w:rPr>
              <w:t>The Company</w:t>
            </w:r>
          </w:p>
        </w:tc>
        <w:tc>
          <w:tcPr>
            <w:tcW w:w="9450" w:type="dxa"/>
            <w:tcBorders/>
          </w:tcPr>
          <w:p>
            <w:pPr>
              <w:pStyle w:val="Normal"/>
              <w:numPr>
                <w:ilvl w:val="0"/>
                <w:numId w:val="22"/>
              </w:numPr>
              <w:rPr>
                <w:sz w:val="24"/>
              </w:rPr>
            </w:pPr>
            <w:r>
              <w:rPr>
                <w:sz w:val="24"/>
              </w:rPr>
              <w:t xml:space="preserve">APX is a privately held company based in Cupertino, California, with regional offices in Albany, New York, Cincinnati, Ohio, and Las Vegas, Nevada. APX also has a European business development office in London.  </w:t>
            </w:r>
            <w:r>
              <w:rPr>
                <w:color w:val="000080"/>
                <w:sz w:val="24"/>
              </w:rPr>
              <w:t>APX plans to open a UK exchange in 2Q 2000.</w:t>
            </w:r>
          </w:p>
        </w:tc>
      </w:tr>
      <w:tr>
        <w:trPr/>
        <w:tc>
          <w:tcPr>
            <w:tcW w:w="1728" w:type="dxa"/>
            <w:tcBorders/>
          </w:tcPr>
          <w:p>
            <w:pPr>
              <w:pStyle w:val="Heading1"/>
              <w:snapToGrid w:val="false"/>
              <w:ind w:hanging="0" w:start="0"/>
              <w:rPr>
                <w:color w:val="FF0000"/>
                <w:sz w:val="24"/>
              </w:rPr>
            </w:pPr>
            <w:r>
              <w:rPr>
                <w:color w:val="FF0000"/>
                <w:sz w:val="24"/>
              </w:rPr>
            </w:r>
          </w:p>
        </w:tc>
        <w:tc>
          <w:tcPr>
            <w:tcW w:w="9450" w:type="dxa"/>
            <w:tcBorders/>
          </w:tcPr>
          <w:p>
            <w:pPr>
              <w:pStyle w:val="Normal"/>
              <w:snapToGrid w:val="false"/>
              <w:rPr>
                <w:b/>
                <w:color w:val="FF0000"/>
                <w:sz w:val="24"/>
              </w:rPr>
            </w:pPr>
            <w:r>
              <w:rPr>
                <w:b/>
                <w:color w:val="FF0000"/>
                <w:sz w:val="24"/>
              </w:rPr>
            </w:r>
          </w:p>
        </w:tc>
      </w:tr>
      <w:tr>
        <w:trPr/>
        <w:tc>
          <w:tcPr>
            <w:tcW w:w="1728" w:type="dxa"/>
            <w:tcBorders/>
          </w:tcPr>
          <w:p>
            <w:pPr>
              <w:pStyle w:val="Heading1"/>
              <w:ind w:hanging="0" w:start="0"/>
              <w:rPr>
                <w:color w:val="FF0000"/>
                <w:sz w:val="24"/>
              </w:rPr>
            </w:pPr>
            <w:r>
              <w:rPr>
                <w:color w:val="FF0000"/>
                <w:sz w:val="24"/>
              </w:rPr>
              <w:t>Commodities</w:t>
            </w:r>
          </w:p>
        </w:tc>
        <w:tc>
          <w:tcPr>
            <w:tcW w:w="9450" w:type="dxa"/>
            <w:tcBorders/>
          </w:tcPr>
          <w:p>
            <w:pPr>
              <w:pStyle w:val="Normal"/>
              <w:numPr>
                <w:ilvl w:val="0"/>
                <w:numId w:val="44"/>
              </w:numPr>
              <w:rPr>
                <w:b/>
                <w:sz w:val="24"/>
              </w:rPr>
            </w:pPr>
            <w:r>
              <w:rPr>
                <w:b/>
                <w:sz w:val="24"/>
              </w:rPr>
              <w:t>Power</w:t>
            </w:r>
          </w:p>
          <w:p>
            <w:pPr>
              <w:pStyle w:val="Normal"/>
              <w:numPr>
                <w:ilvl w:val="0"/>
                <w:numId w:val="44"/>
              </w:numPr>
              <w:rPr>
                <w:sz w:val="24"/>
              </w:rPr>
            </w:pPr>
            <w:r>
              <w:rPr>
                <w:b/>
                <w:sz w:val="24"/>
              </w:rPr>
              <w:t>Green Power:</w:t>
            </w:r>
            <w:r>
              <w:rPr>
                <w:sz w:val="24"/>
              </w:rPr>
              <w:t xml:space="preserve"> APX has pioneered an approach to green power. The green power market is a stand-alone market for “green attributes.” Generators sell their power into the regular commodity energy market, but for each megawatt hour of power they generate, they receive a green ticket. These tickets can be traded in a separate market by attribute (wind, geothermal, solar, biomass, small hydro, etc.) and by whether the plant is “existing” or “new.”</w:t>
            </w:r>
          </w:p>
        </w:tc>
      </w:tr>
      <w:tr>
        <w:trPr/>
        <w:tc>
          <w:tcPr>
            <w:tcW w:w="1728" w:type="dxa"/>
            <w:tcBorders/>
          </w:tcPr>
          <w:p>
            <w:pPr>
              <w:pStyle w:val="Normal"/>
              <w:snapToGrid w:val="false"/>
              <w:rPr>
                <w:b/>
                <w:color w:val="FF0000"/>
                <w:sz w:val="24"/>
              </w:rPr>
            </w:pPr>
            <w:r>
              <w:rPr>
                <w:b/>
                <w:color w:val="FF0000"/>
                <w:sz w:val="24"/>
              </w:rPr>
            </w:r>
          </w:p>
        </w:tc>
        <w:tc>
          <w:tcPr>
            <w:tcW w:w="9450" w:type="dxa"/>
            <w:tcBorders/>
          </w:tcPr>
          <w:p>
            <w:pPr>
              <w:pStyle w:val="Normal"/>
              <w:snapToGrid w:val="false"/>
              <w:rPr>
                <w:b/>
                <w:color w:val="FF0000"/>
                <w:sz w:val="24"/>
              </w:rPr>
            </w:pPr>
            <w:r>
              <w:rPr>
                <w:b/>
                <w:color w:val="FF0000"/>
                <w:sz w:val="24"/>
              </w:rPr>
            </w:r>
          </w:p>
        </w:tc>
      </w:tr>
      <w:tr>
        <w:trPr/>
        <w:tc>
          <w:tcPr>
            <w:tcW w:w="1728" w:type="dxa"/>
            <w:tcBorders/>
          </w:tcPr>
          <w:p>
            <w:pPr>
              <w:pStyle w:val="Normal"/>
              <w:rPr>
                <w:b/>
                <w:color w:val="FF0000"/>
                <w:sz w:val="24"/>
              </w:rPr>
            </w:pPr>
            <w:r>
              <w:rPr>
                <w:b/>
                <w:color w:val="FF0000"/>
                <w:sz w:val="24"/>
              </w:rPr>
              <w:t>Products</w:t>
            </w:r>
          </w:p>
        </w:tc>
        <w:tc>
          <w:tcPr>
            <w:tcW w:w="9450" w:type="dxa"/>
            <w:tcBorders/>
          </w:tcPr>
          <w:p>
            <w:pPr>
              <w:pStyle w:val="Normal"/>
              <w:numPr>
                <w:ilvl w:val="0"/>
                <w:numId w:val="49"/>
              </w:numPr>
              <w:rPr>
                <w:sz w:val="24"/>
              </w:rPr>
            </w:pPr>
            <w:r>
              <w:rPr>
                <w:b/>
                <w:sz w:val="24"/>
              </w:rPr>
              <w:t>Illinois Exchange: Initial products include hourly, daily, and weekly electricity delivered to and from interconnection points on the ComEd transmission system.</w:t>
            </w:r>
            <w:r>
              <w:rPr>
                <w:sz w:val="24"/>
              </w:rPr>
              <w:t xml:space="preserve"> (ComEd plans to be an active market participant.)</w:t>
            </w:r>
          </w:p>
          <w:p>
            <w:pPr>
              <w:pStyle w:val="Normal"/>
              <w:numPr>
                <w:ilvl w:val="0"/>
                <w:numId w:val="33"/>
              </w:numPr>
              <w:rPr>
                <w:sz w:val="24"/>
              </w:rPr>
            </w:pPr>
            <w:r>
              <w:rPr>
                <w:sz w:val="24"/>
              </w:rPr>
              <w:t xml:space="preserve">In the decentralized market approach advocated by APX, participants simply submit </w:t>
            </w:r>
            <w:r>
              <w:rPr>
                <w:b/>
                <w:sz w:val="24"/>
              </w:rPr>
              <w:t xml:space="preserve">quantity-only orders or orders with limit prices </w:t>
            </w:r>
            <w:r>
              <w:rPr>
                <w:sz w:val="24"/>
              </w:rPr>
              <w:t>into a commodity-style exchange.</w:t>
            </w:r>
            <w:r>
              <w:rPr>
                <w:sz w:val="22"/>
              </w:rPr>
              <w:t xml:space="preserve"> </w:t>
            </w:r>
          </w:p>
        </w:tc>
      </w:tr>
      <w:tr>
        <w:trPr/>
        <w:tc>
          <w:tcPr>
            <w:tcW w:w="1728" w:type="dxa"/>
            <w:tcBorders/>
          </w:tcPr>
          <w:p>
            <w:pPr>
              <w:pStyle w:val="Normal"/>
              <w:snapToGrid w:val="false"/>
              <w:rPr>
                <w:b/>
                <w:color w:val="FF0000"/>
                <w:sz w:val="24"/>
              </w:rPr>
            </w:pPr>
            <w:r>
              <w:rPr>
                <w:b/>
                <w:color w:val="FF0000"/>
                <w:sz w:val="24"/>
              </w:rPr>
            </w:r>
          </w:p>
        </w:tc>
        <w:tc>
          <w:tcPr>
            <w:tcW w:w="9450" w:type="dxa"/>
            <w:tcBorders/>
          </w:tcPr>
          <w:p>
            <w:pPr>
              <w:pStyle w:val="Normal"/>
              <w:snapToGrid w:val="false"/>
              <w:rPr>
                <w:b/>
                <w:color w:val="FF0000"/>
                <w:sz w:val="24"/>
              </w:rPr>
            </w:pPr>
            <w:r>
              <w:rPr>
                <w:b/>
                <w:color w:val="FF0000"/>
                <w:sz w:val="24"/>
              </w:rPr>
            </w:r>
          </w:p>
        </w:tc>
      </w:tr>
      <w:tr>
        <w:trPr/>
        <w:tc>
          <w:tcPr>
            <w:tcW w:w="1728" w:type="dxa"/>
            <w:tcBorders/>
          </w:tcPr>
          <w:p>
            <w:pPr>
              <w:pStyle w:val="Normal"/>
              <w:rPr>
                <w:b/>
                <w:color w:val="FF0000"/>
                <w:sz w:val="24"/>
              </w:rPr>
            </w:pPr>
            <w:r>
              <w:rPr>
                <w:b/>
                <w:color w:val="FF0000"/>
                <w:sz w:val="24"/>
              </w:rPr>
              <w:t>Features</w:t>
            </w:r>
          </w:p>
        </w:tc>
        <w:tc>
          <w:tcPr>
            <w:tcW w:w="9450" w:type="dxa"/>
            <w:tcBorders/>
          </w:tcPr>
          <w:p>
            <w:pPr>
              <w:pStyle w:val="Normal"/>
              <w:numPr>
                <w:ilvl w:val="0"/>
                <w:numId w:val="27"/>
              </w:numPr>
              <w:rPr>
                <w:sz w:val="24"/>
              </w:rPr>
            </w:pPr>
            <w:r>
              <w:rPr>
                <w:sz w:val="24"/>
              </w:rPr>
              <w:t xml:space="preserve">Forward price discovery </w:t>
            </w:r>
          </w:p>
          <w:p>
            <w:pPr>
              <w:pStyle w:val="Normal"/>
              <w:numPr>
                <w:ilvl w:val="0"/>
                <w:numId w:val="29"/>
              </w:numPr>
              <w:rPr>
                <w:sz w:val="24"/>
              </w:rPr>
            </w:pPr>
            <w:r>
              <w:rPr>
                <w:sz w:val="24"/>
              </w:rPr>
              <w:t xml:space="preserve">Automated anonymous matching </w:t>
            </w:r>
          </w:p>
          <w:p>
            <w:pPr>
              <w:pStyle w:val="Normal"/>
              <w:numPr>
                <w:ilvl w:val="0"/>
                <w:numId w:val="29"/>
              </w:numPr>
              <w:rPr>
                <w:sz w:val="24"/>
              </w:rPr>
            </w:pPr>
            <w:r>
              <w:rPr>
                <w:sz w:val="24"/>
              </w:rPr>
              <w:t xml:space="preserve">Scheduling of contracted trades </w:t>
            </w:r>
          </w:p>
          <w:p>
            <w:pPr>
              <w:pStyle w:val="Normal"/>
              <w:numPr>
                <w:ilvl w:val="0"/>
                <w:numId w:val="29"/>
              </w:numPr>
              <w:rPr>
                <w:sz w:val="24"/>
              </w:rPr>
            </w:pPr>
            <w:r>
              <w:rPr>
                <w:sz w:val="24"/>
              </w:rPr>
              <w:t xml:space="preserve">Integrated web-based settlements </w:t>
            </w:r>
          </w:p>
          <w:p>
            <w:pPr>
              <w:pStyle w:val="Normal"/>
              <w:numPr>
                <w:ilvl w:val="0"/>
                <w:numId w:val="29"/>
              </w:numPr>
              <w:rPr>
                <w:sz w:val="24"/>
              </w:rPr>
            </w:pPr>
            <w:r>
              <w:rPr>
                <w:sz w:val="24"/>
              </w:rPr>
              <w:t xml:space="preserve">Credit management </w:t>
            </w:r>
          </w:p>
          <w:p>
            <w:pPr>
              <w:pStyle w:val="Normal"/>
              <w:numPr>
                <w:ilvl w:val="0"/>
                <w:numId w:val="29"/>
              </w:numPr>
              <w:rPr>
                <w:sz w:val="24"/>
              </w:rPr>
            </w:pPr>
            <w:r>
              <w:rPr>
                <w:sz w:val="24"/>
              </w:rPr>
              <w:t>Automated access to all California markets</w:t>
            </w:r>
          </w:p>
          <w:p>
            <w:pPr>
              <w:pStyle w:val="Normal"/>
              <w:numPr>
                <w:ilvl w:val="0"/>
                <w:numId w:val="29"/>
              </w:numPr>
              <w:rPr>
                <w:sz w:val="24"/>
              </w:rPr>
            </w:pPr>
            <w:r>
              <w:rPr>
                <w:sz w:val="24"/>
              </w:rPr>
              <w:t>Markets</w:t>
            </w:r>
          </w:p>
          <w:p>
            <w:pPr>
              <w:pStyle w:val="Normal"/>
              <w:numPr>
                <w:ilvl w:val="0"/>
                <w:numId w:val="14"/>
              </w:numPr>
              <w:ind w:hanging="360" w:start="600" w:end="0"/>
              <w:rPr>
                <w:sz w:val="24"/>
              </w:rPr>
            </w:pPr>
            <w:r>
              <w:rPr>
                <w:sz w:val="24"/>
              </w:rPr>
              <w:t>Current: APX, CalPX, CAISO</w:t>
            </w:r>
          </w:p>
          <w:p>
            <w:pPr>
              <w:pStyle w:val="Normal"/>
              <w:numPr>
                <w:ilvl w:val="0"/>
                <w:numId w:val="14"/>
              </w:numPr>
              <w:ind w:hanging="360" w:start="600" w:end="0"/>
              <w:rPr>
                <w:sz w:val="24"/>
              </w:rPr>
            </w:pPr>
            <w:r>
              <w:rPr>
                <w:sz w:val="24"/>
              </w:rPr>
              <w:t xml:space="preserve">2000: UK &amp; New York </w:t>
            </w:r>
          </w:p>
          <w:p>
            <w:pPr>
              <w:pStyle w:val="Normal"/>
              <w:numPr>
                <w:ilvl w:val="0"/>
                <w:numId w:val="29"/>
              </w:numPr>
              <w:rPr>
                <w:sz w:val="24"/>
              </w:rPr>
            </w:pPr>
            <w:r>
              <w:rPr>
                <w:sz w:val="24"/>
              </w:rPr>
              <w:t xml:space="preserve">System Power - Hourly Energy </w:t>
            </w:r>
          </w:p>
          <w:p>
            <w:pPr>
              <w:pStyle w:val="Normal"/>
              <w:numPr>
                <w:ilvl w:val="0"/>
                <w:numId w:val="29"/>
              </w:numPr>
              <w:rPr>
                <w:sz w:val="24"/>
              </w:rPr>
            </w:pPr>
            <w:r>
              <w:rPr>
                <w:sz w:val="24"/>
              </w:rPr>
              <w:t xml:space="preserve">On and Off-Peak Strips </w:t>
            </w:r>
          </w:p>
          <w:p>
            <w:pPr>
              <w:pStyle w:val="Normal"/>
              <w:numPr>
                <w:ilvl w:val="0"/>
                <w:numId w:val="29"/>
              </w:numPr>
              <w:rPr>
                <w:sz w:val="24"/>
              </w:rPr>
            </w:pPr>
            <w:r>
              <w:rPr>
                <w:sz w:val="24"/>
              </w:rPr>
              <w:t xml:space="preserve">Green Tickets </w:t>
            </w:r>
          </w:p>
          <w:p>
            <w:pPr>
              <w:pStyle w:val="Normal"/>
              <w:numPr>
                <w:ilvl w:val="0"/>
                <w:numId w:val="29"/>
              </w:numPr>
              <w:rPr>
                <w:sz w:val="24"/>
              </w:rPr>
            </w:pPr>
            <w:r>
              <w:rPr>
                <w:sz w:val="24"/>
              </w:rPr>
              <w:t>Seven-Day Forward Markets</w:t>
            </w:r>
            <w:r>
              <w:rPr>
                <w:sz w:val="22"/>
              </w:rPr>
              <w:t xml:space="preserve"> </w:t>
            </w:r>
          </w:p>
        </w:tc>
      </w:tr>
      <w:tr>
        <w:trPr/>
        <w:tc>
          <w:tcPr>
            <w:tcW w:w="1728" w:type="dxa"/>
            <w:tcBorders/>
          </w:tcPr>
          <w:p>
            <w:pPr>
              <w:pStyle w:val="Normal"/>
              <w:rPr>
                <w:b/>
                <w:color w:val="FF0000"/>
                <w:sz w:val="24"/>
              </w:rPr>
            </w:pPr>
            <w:r>
              <w:rPr>
                <w:b/>
                <w:color w:val="FF0000"/>
                <w:sz w:val="24"/>
              </w:rPr>
              <w:t>U.K. Exchange</w:t>
            </w:r>
          </w:p>
        </w:tc>
        <w:tc>
          <w:tcPr>
            <w:tcW w:w="9450" w:type="dxa"/>
            <w:tcBorders/>
          </w:tcPr>
          <w:p>
            <w:pPr>
              <w:pStyle w:val="BodyText"/>
              <w:rPr>
                <w:b/>
                <w:color w:val="000080"/>
              </w:rPr>
            </w:pPr>
            <w:r>
              <w:rPr>
                <w:b/>
                <w:color w:val="000080"/>
              </w:rPr>
              <w:t>APX has announced plans for its first foreign exchange, in the United Kingdom.</w:t>
            </w:r>
          </w:p>
          <w:p>
            <w:pPr>
              <w:pStyle w:val="Normal"/>
              <w:numPr>
                <w:ilvl w:val="0"/>
                <w:numId w:val="6"/>
              </w:numPr>
              <w:rPr>
                <w:color w:val="000080"/>
                <w:sz w:val="24"/>
              </w:rPr>
            </w:pPr>
            <w:r>
              <w:rPr>
                <w:color w:val="000080"/>
                <w:sz w:val="24"/>
              </w:rPr>
              <w:t>APX will open its APX UK market during the 2Q of 2000, and introduce new electricity trading arrangements in fall of 2000</w:t>
            </w:r>
          </w:p>
          <w:p>
            <w:pPr>
              <w:pStyle w:val="Normal"/>
              <w:numPr>
                <w:ilvl w:val="0"/>
                <w:numId w:val="6"/>
              </w:numPr>
              <w:rPr>
                <w:sz w:val="22"/>
              </w:rPr>
            </w:pPr>
            <w:r>
              <w:rPr>
                <w:color w:val="000080"/>
                <w:sz w:val="24"/>
              </w:rPr>
              <w:t>In the UK, APX will offer a variety of physical and financial instruments for electricity delivered in England and Wales, from 30 minutes to up to one year ahead. Customers will be able to simultaneously enter bids and offers.</w:t>
            </w:r>
          </w:p>
        </w:tc>
      </w:tr>
      <w:tr>
        <w:trPr/>
        <w:tc>
          <w:tcPr>
            <w:tcW w:w="1728" w:type="dxa"/>
            <w:tcBorders/>
          </w:tcPr>
          <w:p>
            <w:pPr>
              <w:pStyle w:val="Normal"/>
              <w:snapToGrid w:val="false"/>
              <w:rPr>
                <w:b/>
                <w:color w:val="FF0000"/>
                <w:sz w:val="24"/>
              </w:rPr>
            </w:pPr>
            <w:r>
              <w:rPr>
                <w:b/>
                <w:color w:val="FF0000"/>
                <w:sz w:val="24"/>
              </w:rPr>
            </w:r>
          </w:p>
        </w:tc>
        <w:tc>
          <w:tcPr>
            <w:tcW w:w="9450" w:type="dxa"/>
            <w:tcBorders/>
          </w:tcPr>
          <w:p>
            <w:pPr>
              <w:pStyle w:val="Normal"/>
              <w:snapToGrid w:val="false"/>
              <w:rPr>
                <w:b/>
                <w:color w:val="000080"/>
                <w:sz w:val="22"/>
              </w:rPr>
            </w:pPr>
            <w:r>
              <w:rPr>
                <w:b/>
                <w:color w:val="000080"/>
                <w:sz w:val="22"/>
              </w:rPr>
            </w:r>
          </w:p>
        </w:tc>
      </w:tr>
      <w:tr>
        <w:trPr/>
        <w:tc>
          <w:tcPr>
            <w:tcW w:w="1728" w:type="dxa"/>
            <w:tcBorders/>
          </w:tcPr>
          <w:p>
            <w:pPr>
              <w:pStyle w:val="Normal"/>
              <w:rPr>
                <w:b/>
                <w:color w:val="FF0000"/>
                <w:sz w:val="24"/>
              </w:rPr>
            </w:pPr>
            <w:r>
              <w:rPr>
                <w:b/>
                <w:color w:val="FF0000"/>
                <w:sz w:val="24"/>
              </w:rPr>
              <w:t>Company History</w:t>
            </w:r>
          </w:p>
        </w:tc>
        <w:tc>
          <w:tcPr>
            <w:tcW w:w="9450" w:type="dxa"/>
            <w:tcBorders/>
          </w:tcPr>
          <w:p>
            <w:pPr>
              <w:pStyle w:val="Normal"/>
              <w:numPr>
                <w:ilvl w:val="0"/>
                <w:numId w:val="47"/>
              </w:numPr>
              <w:rPr>
                <w:color w:val="000080"/>
                <w:sz w:val="22"/>
              </w:rPr>
            </w:pPr>
            <w:r>
              <w:rPr>
                <w:b/>
                <w:color w:val="000080"/>
                <w:sz w:val="22"/>
              </w:rPr>
              <w:t xml:space="preserve">DECEMBER 1999: </w:t>
            </w:r>
            <w:r>
              <w:rPr>
                <w:color w:val="000080"/>
                <w:sz w:val="22"/>
              </w:rPr>
              <w:t>APX announces plans for a new exchange in the United Kingdom</w:t>
            </w:r>
          </w:p>
          <w:p>
            <w:pPr>
              <w:pStyle w:val="Normal"/>
              <w:numPr>
                <w:ilvl w:val="0"/>
                <w:numId w:val="47"/>
              </w:numPr>
              <w:rPr>
                <w:b/>
                <w:sz w:val="22"/>
              </w:rPr>
            </w:pPr>
            <w:r>
              <w:rPr>
                <w:b/>
                <w:sz w:val="24"/>
              </w:rPr>
              <w:t>OCTOBER 1999:</w:t>
            </w:r>
            <w:r>
              <w:rPr>
                <w:sz w:val="24"/>
              </w:rPr>
              <w:t xml:space="preserve"> The Mountain West Independent Scheduling Administrator, which will take over the transmission grid in Nevada, chose Automated Power Exchange (APX), along with Bechtel, to build and operate the grids’ operating infrastructure. For at least three years, APX will provide annual, monthly, and daily transmission rights auctions, ancillary services auctions, transmission and energy scheduling services, settlement and billing services, ISA website postings and real-time price notification. This contract is valued at $15M. Bechtel, as subcontractor, will provide technical assistance.</w:t>
            </w:r>
          </w:p>
          <w:p>
            <w:pPr>
              <w:pStyle w:val="Normal"/>
              <w:numPr>
                <w:ilvl w:val="0"/>
                <w:numId w:val="21"/>
              </w:numPr>
              <w:rPr>
                <w:b/>
                <w:sz w:val="22"/>
              </w:rPr>
            </w:pPr>
            <w:r>
              <w:rPr>
                <w:b/>
                <w:sz w:val="24"/>
              </w:rPr>
              <w:t>AUGUST 1999:</w:t>
            </w:r>
            <w:r>
              <w:rPr>
                <w:sz w:val="24"/>
              </w:rPr>
              <w:t xml:space="preserve"> Announces plans to offer Internet-based power trading system once retail competition begins in Arizona, New Mexico, Nevada, and Texas</w:t>
            </w:r>
          </w:p>
          <w:p>
            <w:pPr>
              <w:pStyle w:val="Normal"/>
              <w:numPr>
                <w:ilvl w:val="0"/>
                <w:numId w:val="21"/>
              </w:numPr>
              <w:rPr>
                <w:sz w:val="24"/>
              </w:rPr>
            </w:pPr>
            <w:r>
              <w:rPr>
                <w:b/>
                <w:sz w:val="24"/>
              </w:rPr>
              <w:t>AUGUST 1999:</w:t>
            </w:r>
            <w:r>
              <w:rPr>
                <w:sz w:val="24"/>
              </w:rPr>
              <w:t xml:space="preserve"> Receives $15.5M in second round of venture capital funding.  APX plans to use this capital to establish a number of additional exchanges both in the U.S. and internationally.</w:t>
            </w:r>
          </w:p>
          <w:p>
            <w:pPr>
              <w:pStyle w:val="Normal"/>
              <w:numPr>
                <w:ilvl w:val="0"/>
                <w:numId w:val="50"/>
              </w:numPr>
              <w:rPr>
                <w:b/>
                <w:sz w:val="22"/>
              </w:rPr>
            </w:pPr>
            <w:r>
              <w:rPr>
                <w:b/>
                <w:sz w:val="24"/>
              </w:rPr>
              <w:t xml:space="preserve">JULY 1999: </w:t>
            </w:r>
            <w:r>
              <w:rPr>
                <w:sz w:val="24"/>
              </w:rPr>
              <w:t>APX announces joint-venture with ComEd to develop a new power exchange in Illinois</w:t>
            </w:r>
          </w:p>
          <w:p>
            <w:pPr>
              <w:pStyle w:val="Normal"/>
              <w:numPr>
                <w:ilvl w:val="0"/>
                <w:numId w:val="47"/>
              </w:numPr>
              <w:rPr>
                <w:b/>
                <w:sz w:val="22"/>
              </w:rPr>
            </w:pPr>
            <w:r>
              <w:rPr>
                <w:b/>
                <w:sz w:val="24"/>
              </w:rPr>
              <w:t>JANUARY 1999:</w:t>
            </w:r>
            <w:r>
              <w:rPr>
                <w:sz w:val="24"/>
              </w:rPr>
              <w:t xml:space="preserve"> APX announces joint-venture with FirstEnergy to develop a new power exchange in Ohio</w:t>
            </w:r>
          </w:p>
          <w:p>
            <w:pPr>
              <w:pStyle w:val="Normal"/>
              <w:numPr>
                <w:ilvl w:val="0"/>
                <w:numId w:val="47"/>
              </w:numPr>
              <w:rPr>
                <w:b/>
                <w:sz w:val="22"/>
              </w:rPr>
            </w:pPr>
            <w:r>
              <w:rPr>
                <w:b/>
                <w:sz w:val="24"/>
              </w:rPr>
              <w:t>NOVEMBER 1998:</w:t>
            </w:r>
            <w:r>
              <w:rPr>
                <w:sz w:val="24"/>
              </w:rPr>
              <w:t xml:space="preserve"> Trading services extended to include daily, as well as hourly, blocks</w:t>
            </w:r>
          </w:p>
          <w:p>
            <w:pPr>
              <w:pStyle w:val="Normal"/>
              <w:numPr>
                <w:ilvl w:val="0"/>
                <w:numId w:val="47"/>
              </w:numPr>
              <w:rPr>
                <w:b/>
                <w:sz w:val="22"/>
              </w:rPr>
            </w:pPr>
            <w:r>
              <w:rPr>
                <w:b/>
                <w:sz w:val="24"/>
              </w:rPr>
              <w:t>OCTOBER 1998:</w:t>
            </w:r>
            <w:r>
              <w:rPr>
                <w:sz w:val="24"/>
              </w:rPr>
              <w:t xml:space="preserve"> APX announces opening of New York marketplace</w:t>
            </w:r>
          </w:p>
          <w:p>
            <w:pPr>
              <w:pStyle w:val="Normal"/>
              <w:numPr>
                <w:ilvl w:val="0"/>
                <w:numId w:val="47"/>
              </w:numPr>
              <w:rPr>
                <w:b/>
                <w:sz w:val="22"/>
              </w:rPr>
            </w:pPr>
            <w:r>
              <w:rPr>
                <w:b/>
                <w:sz w:val="24"/>
              </w:rPr>
              <w:t>MAY 1998:</w:t>
            </w:r>
            <w:r>
              <w:rPr>
                <w:sz w:val="24"/>
              </w:rPr>
              <w:t xml:space="preserve"> APX Green Market certified by Green-e program</w:t>
            </w:r>
          </w:p>
          <w:p>
            <w:pPr>
              <w:pStyle w:val="Normal"/>
              <w:numPr>
                <w:ilvl w:val="0"/>
                <w:numId w:val="47"/>
              </w:numPr>
              <w:rPr>
                <w:b/>
                <w:sz w:val="22"/>
              </w:rPr>
            </w:pPr>
            <w:r>
              <w:rPr>
                <w:b/>
                <w:sz w:val="24"/>
              </w:rPr>
              <w:t>MARCH 1998:</w:t>
            </w:r>
            <w:r>
              <w:rPr>
                <w:sz w:val="24"/>
              </w:rPr>
              <w:t xml:space="preserve"> APX opens its first energy market in California</w:t>
            </w:r>
          </w:p>
          <w:p>
            <w:pPr>
              <w:pStyle w:val="Normal"/>
              <w:numPr>
                <w:ilvl w:val="0"/>
                <w:numId w:val="47"/>
              </w:numPr>
              <w:rPr>
                <w:b/>
                <w:sz w:val="22"/>
              </w:rPr>
            </w:pPr>
            <w:r>
              <w:rPr>
                <w:b/>
                <w:sz w:val="24"/>
              </w:rPr>
              <w:t xml:space="preserve">1996: </w:t>
            </w:r>
            <w:r>
              <w:rPr>
                <w:sz w:val="24"/>
              </w:rPr>
              <w:t>APX was founded</w:t>
            </w:r>
          </w:p>
        </w:tc>
      </w:tr>
      <w:tr>
        <w:trPr/>
        <w:tc>
          <w:tcPr>
            <w:tcW w:w="1728" w:type="dxa"/>
            <w:tcBorders/>
          </w:tcPr>
          <w:p>
            <w:pPr>
              <w:pStyle w:val="Normal"/>
              <w:snapToGrid w:val="false"/>
              <w:rPr>
                <w:b/>
                <w:color w:val="FF0000"/>
                <w:sz w:val="24"/>
              </w:rPr>
            </w:pPr>
            <w:r>
              <w:rPr>
                <w:b/>
                <w:color w:val="FF0000"/>
                <w:sz w:val="24"/>
              </w:rPr>
            </w:r>
          </w:p>
        </w:tc>
        <w:tc>
          <w:tcPr>
            <w:tcW w:w="9450" w:type="dxa"/>
            <w:tcBorders/>
          </w:tcPr>
          <w:p>
            <w:pPr>
              <w:pStyle w:val="Normal"/>
              <w:snapToGrid w:val="false"/>
              <w:rPr>
                <w:b/>
                <w:color w:val="FF0000"/>
                <w:sz w:val="22"/>
              </w:rPr>
            </w:pPr>
            <w:r>
              <w:rPr>
                <w:b/>
                <w:color w:val="FF0000"/>
                <w:sz w:val="22"/>
              </w:rPr>
            </w:r>
          </w:p>
        </w:tc>
      </w:tr>
      <w:tr>
        <w:trPr/>
        <w:tc>
          <w:tcPr>
            <w:tcW w:w="1728" w:type="dxa"/>
            <w:tcBorders/>
          </w:tcPr>
          <w:p>
            <w:pPr>
              <w:pStyle w:val="Normal"/>
              <w:rPr>
                <w:b/>
                <w:color w:val="FF0000"/>
                <w:sz w:val="24"/>
              </w:rPr>
            </w:pPr>
            <w:r>
              <w:rPr>
                <w:b/>
                <w:color w:val="FF0000"/>
                <w:sz w:val="24"/>
              </w:rPr>
              <w:t>Management</w:t>
            </w:r>
          </w:p>
        </w:tc>
        <w:tc>
          <w:tcPr>
            <w:tcW w:w="9450" w:type="dxa"/>
            <w:tcBorders/>
          </w:tcPr>
          <w:p>
            <w:pPr>
              <w:pStyle w:val="Normal"/>
              <w:numPr>
                <w:ilvl w:val="0"/>
                <w:numId w:val="13"/>
              </w:numPr>
              <w:rPr>
                <w:b/>
                <w:sz w:val="24"/>
              </w:rPr>
            </w:pPr>
            <w:r>
              <w:rPr>
                <w:b/>
                <w:sz w:val="24"/>
              </w:rPr>
              <w:t xml:space="preserve">Dr. Edward G. Cazalet </w:t>
            </w:r>
          </w:p>
          <w:p>
            <w:pPr>
              <w:pStyle w:val="Heading3"/>
              <w:rPr>
                <w:sz w:val="24"/>
              </w:rPr>
            </w:pPr>
            <w:r>
              <w:rPr>
                <w:sz w:val="24"/>
              </w:rPr>
              <w:t xml:space="preserve">Founder and CEO </w:t>
            </w:r>
          </w:p>
          <w:p>
            <w:pPr>
              <w:pStyle w:val="Normal"/>
              <w:ind w:start="360" w:end="0"/>
              <w:rPr/>
            </w:pPr>
            <w:r>
              <w:rPr>
                <w:sz w:val="24"/>
              </w:rPr>
              <w:t xml:space="preserve">Under the leadership of Dr. Ed Cazalet , APX has rapidly become a leading provider of full-service Internet-based exchanges for electric energy, transmission capacity, and related products.  Dr. Cazalet, an internationally recognized expert on the electric industry, is an outspoken advocate of a free electricity market as states and countries deregulate. For his contributions to the industry, </w:t>
            </w:r>
            <w:r>
              <w:rPr>
                <w:sz w:val="24"/>
                <w:u w:val="single"/>
              </w:rPr>
              <w:t>Public Utilities Fortnightly</w:t>
            </w:r>
            <w:r>
              <w:rPr>
                <w:sz w:val="24"/>
              </w:rPr>
              <w:t xml:space="preserve"> magazine named Dr. Cazalet "Innovator of the Year" for 1999.</w:t>
            </w:r>
          </w:p>
          <w:p>
            <w:pPr>
              <w:pStyle w:val="Normal"/>
              <w:numPr>
                <w:ilvl w:val="0"/>
                <w:numId w:val="57"/>
              </w:numPr>
              <w:rPr>
                <w:b/>
                <w:sz w:val="24"/>
              </w:rPr>
            </w:pPr>
            <w:r>
              <w:rPr>
                <w:b/>
                <w:sz w:val="24"/>
              </w:rPr>
              <w:t xml:space="preserve">Jack Ellis </w:t>
            </w:r>
          </w:p>
          <w:p>
            <w:pPr>
              <w:pStyle w:val="Heading3"/>
              <w:rPr>
                <w:sz w:val="24"/>
              </w:rPr>
            </w:pPr>
            <w:r>
              <w:rPr>
                <w:sz w:val="24"/>
              </w:rPr>
              <w:t>Executive Vice President and Founder</w:t>
            </w:r>
          </w:p>
          <w:p>
            <w:pPr>
              <w:pStyle w:val="Normal"/>
              <w:numPr>
                <w:ilvl w:val="0"/>
                <w:numId w:val="2"/>
              </w:numPr>
              <w:rPr>
                <w:b/>
                <w:sz w:val="24"/>
              </w:rPr>
            </w:pPr>
            <w:r>
              <w:rPr>
                <w:b/>
                <w:sz w:val="24"/>
              </w:rPr>
              <w:t>Russ Kinsch</w:t>
            </w:r>
          </w:p>
          <w:p>
            <w:pPr>
              <w:pStyle w:val="Heading3"/>
              <w:rPr>
                <w:sz w:val="24"/>
              </w:rPr>
            </w:pPr>
            <w:r>
              <w:rPr>
                <w:sz w:val="24"/>
              </w:rPr>
              <w:t xml:space="preserve">Chief Financial Officer </w:t>
            </w:r>
          </w:p>
          <w:p>
            <w:pPr>
              <w:pStyle w:val="Normal"/>
              <w:numPr>
                <w:ilvl w:val="0"/>
                <w:numId w:val="51"/>
              </w:numPr>
              <w:rPr>
                <w:b/>
                <w:sz w:val="24"/>
              </w:rPr>
            </w:pPr>
            <w:r>
              <w:rPr>
                <w:b/>
                <w:sz w:val="24"/>
              </w:rPr>
              <w:t xml:space="preserve">John Stremel </w:t>
            </w:r>
          </w:p>
          <w:p>
            <w:pPr>
              <w:pStyle w:val="Heading3"/>
              <w:rPr>
                <w:sz w:val="24"/>
              </w:rPr>
            </w:pPr>
            <w:r>
              <w:rPr>
                <w:sz w:val="24"/>
              </w:rPr>
              <w:t>Vice President of Software Development</w:t>
            </w:r>
          </w:p>
          <w:p>
            <w:pPr>
              <w:pStyle w:val="Normal"/>
              <w:numPr>
                <w:ilvl w:val="0"/>
                <w:numId w:val="45"/>
              </w:numPr>
              <w:rPr>
                <w:b/>
                <w:sz w:val="24"/>
              </w:rPr>
            </w:pPr>
            <w:r>
              <w:rPr>
                <w:b/>
                <w:sz w:val="24"/>
              </w:rPr>
              <w:t>Board of Directors</w:t>
            </w:r>
          </w:p>
          <w:p>
            <w:pPr>
              <w:pStyle w:val="Normal"/>
              <w:ind w:start="360" w:end="0"/>
              <w:rPr>
                <w:b/>
                <w:sz w:val="24"/>
              </w:rPr>
            </w:pPr>
            <w:r>
              <w:rPr>
                <w:i/>
                <w:sz w:val="24"/>
              </w:rPr>
              <w:t>Jake Tarr</w:t>
            </w:r>
            <w:r>
              <w:rPr>
                <w:sz w:val="24"/>
              </w:rPr>
              <w:t xml:space="preserve">               Managing Director of Kinetic Ventures</w:t>
            </w:r>
          </w:p>
          <w:p>
            <w:pPr>
              <w:pStyle w:val="Normal"/>
              <w:ind w:start="360" w:end="0"/>
              <w:rPr>
                <w:b/>
                <w:sz w:val="24"/>
              </w:rPr>
            </w:pPr>
            <w:r>
              <w:rPr>
                <w:i/>
                <w:sz w:val="24"/>
              </w:rPr>
              <w:t>Robert Larson</w:t>
            </w:r>
            <w:r>
              <w:rPr>
                <w:b/>
                <w:sz w:val="24"/>
              </w:rPr>
              <w:t xml:space="preserve">        </w:t>
            </w:r>
            <w:r>
              <w:rPr>
                <w:sz w:val="24"/>
              </w:rPr>
              <w:t>Representative of Woodside Fund</w:t>
            </w:r>
          </w:p>
        </w:tc>
      </w:tr>
    </w:tbl>
    <w:p>
      <w:pPr>
        <w:pStyle w:val="Normal"/>
        <w:rPr>
          <w:sz w:val="22"/>
        </w:rPr>
      </w:pPr>
      <w:r>
        <w:rPr>
          <w:sz w:val="22"/>
        </w:rPr>
      </w:r>
    </w:p>
    <w:p>
      <w:pPr>
        <w:pStyle w:val="Normal"/>
        <w:rPr>
          <w:sz w:val="22"/>
        </w:rPr>
      </w:pPr>
      <w:r>
        <w:rPr>
          <w:sz w:val="22"/>
        </w:rPr>
      </w:r>
    </w:p>
    <w:p>
      <w:pPr>
        <w:pStyle w:val="Normal"/>
        <w:rPr>
          <w:b/>
          <w:color w:val="FF0000"/>
          <w:sz w:val="16"/>
        </w:rPr>
      </w:pPr>
      <w:r>
        <w:rPr>
          <w:b/>
          <w:color w:val="FF0000"/>
          <w:sz w:val="16"/>
        </w:rPr>
      </w:r>
    </w:p>
    <w:p>
      <w:pPr>
        <w:pStyle w:val="Normal"/>
        <w:rPr>
          <w:b/>
          <w:color w:val="FF0000"/>
          <w:sz w:val="16"/>
        </w:rPr>
      </w:pPr>
      <w:r>
        <w:rPr>
          <w:b/>
          <w:color w:val="FF0000"/>
          <w:sz w:val="16"/>
        </w:rPr>
      </w:r>
    </w:p>
    <w:p>
      <w:pPr>
        <w:pStyle w:val="Normal"/>
        <w:rPr>
          <w:b/>
          <w:color w:val="FF0000"/>
          <w:sz w:val="24"/>
        </w:rPr>
      </w:pPr>
      <w:r>
        <w:rPr>
          <w:b/>
          <w:color w:val="FF0000"/>
          <w:sz w:val="24"/>
        </w:rPr>
      </w:r>
    </w:p>
    <w:p>
      <w:pPr>
        <w:pStyle w:val="Normal"/>
        <w:rPr>
          <w:b/>
          <w:color w:val="FF0000"/>
          <w:sz w:val="16"/>
        </w:rPr>
      </w:pPr>
      <w:r>
        <w:rPr>
          <w:b/>
          <w:color w:val="FF0000"/>
          <w:sz w:val="16"/>
        </w:rPr>
      </w:r>
    </w:p>
    <w:p>
      <w:pPr>
        <w:pStyle w:val="Normal"/>
        <w:rPr>
          <w:b/>
          <w:color w:val="FF0000"/>
          <w:sz w:val="16"/>
        </w:rPr>
      </w:pPr>
      <w:r>
        <w:rPr>
          <w:b/>
          <w:color w:val="FF0000"/>
          <w:sz w:val="16"/>
        </w:rPr>
      </w:r>
    </w:p>
    <w:p>
      <w:pPr>
        <w:pStyle w:val="Normal"/>
        <w:rPr>
          <w:b/>
          <w:color w:val="FF0000"/>
          <w:sz w:val="16"/>
        </w:rPr>
      </w:pPr>
      <w:r>
        <w:rPr>
          <w:b/>
          <w:color w:val="FF0000"/>
          <w:sz w:val="16"/>
        </w:rPr>
      </w:r>
    </w:p>
    <w:p>
      <w:pPr>
        <w:pStyle w:val="Normal"/>
        <w:rPr>
          <w:b/>
          <w:color w:val="FF0000"/>
          <w:sz w:val="16"/>
        </w:rPr>
      </w:pPr>
      <w:r>
        <w:rPr>
          <w:b/>
          <w:color w:val="FF0000"/>
          <w:sz w:val="16"/>
        </w:rPr>
      </w:r>
    </w:p>
    <w:p>
      <w:pPr>
        <w:pStyle w:val="Normal"/>
        <w:rPr>
          <w:b/>
          <w:color w:val="FF0000"/>
          <w:sz w:val="16"/>
        </w:rPr>
      </w:pPr>
      <w:r>
        <w:rPr>
          <w:b/>
          <w:color w:val="FF0000"/>
          <w:sz w:val="16"/>
        </w:rPr>
      </w:r>
    </w:p>
    <w:p>
      <w:pPr>
        <w:pStyle w:val="Normal"/>
        <w:rPr>
          <w:b/>
          <w:color w:val="FF0000"/>
          <w:sz w:val="16"/>
        </w:rPr>
      </w:pPr>
      <w:r>
        <w:rPr>
          <w:b/>
          <w:color w:val="FF0000"/>
          <w:sz w:val="16"/>
        </w:rPr>
      </w:r>
    </w:p>
    <w:p>
      <w:pPr>
        <w:pStyle w:val="Normal"/>
        <w:rPr>
          <w:b/>
          <w:color w:val="FF0000"/>
          <w:sz w:val="16"/>
        </w:rPr>
      </w:pPr>
      <w:r>
        <w:rPr>
          <w:b/>
          <w:color w:val="FF0000"/>
          <w:sz w:val="16"/>
        </w:rPr>
      </w:r>
    </w:p>
    <w:p>
      <w:pPr>
        <w:pStyle w:val="Normal"/>
        <w:rPr>
          <w:b/>
          <w:color w:val="FF0000"/>
          <w:sz w:val="16"/>
          <w:lang w:val="en-CA"/>
        </w:rPr>
      </w:pPr>
      <w:r>
        <w:rPr>
          <w:b/>
          <w:color w:val="FF0000"/>
          <w:sz w:val="16"/>
          <w:lang w:val="en-CA"/>
        </w:rPr>
        <w:drawing>
          <wp:anchor behindDoc="1" distT="0" distB="0" distL="114935" distR="114935" simplePos="0" locked="0" layoutInCell="0" allowOverlap="1" relativeHeight="9">
            <wp:simplePos x="0" y="0"/>
            <wp:positionH relativeFrom="column">
              <wp:posOffset>0</wp:posOffset>
            </wp:positionH>
            <wp:positionV relativeFrom="paragraph">
              <wp:posOffset>-420370</wp:posOffset>
            </wp:positionV>
            <wp:extent cx="1571625" cy="590550"/>
            <wp:effectExtent l="0" t="0" r="0" b="0"/>
            <wp:wrapTight wrapText="bothSides">
              <wp:wrapPolygon edited="0">
                <wp:start x="1034" y="271"/>
                <wp:lineTo x="310" y="543"/>
                <wp:lineTo x="-102" y="2992"/>
                <wp:lineTo x="-102" y="19593"/>
                <wp:lineTo x="1757" y="21225"/>
                <wp:lineTo x="5581" y="21225"/>
                <wp:lineTo x="6408" y="21225"/>
                <wp:lineTo x="21600" y="20409"/>
                <wp:lineTo x="21600" y="543"/>
                <wp:lineTo x="21393" y="271"/>
                <wp:lineTo x="1034" y="271"/>
              </wp:wrapPolygon>
            </wp:wrapTight>
            <wp:docPr id="8" name="Altr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tra" descr="" title=""/>
                    <pic:cNvPicPr>
                      <a:picLocks noChangeAspect="1" noChangeArrowheads="1"/>
                    </pic:cNvPicPr>
                  </pic:nvPicPr>
                  <pic:blipFill>
                    <a:blip r:embed="rId13"/>
                    <a:srcRect l="-18" t="-48" r="-18" b="-48"/>
                    <a:stretch>
                      <a:fillRect/>
                    </a:stretch>
                  </pic:blipFill>
                  <pic:spPr bwMode="auto">
                    <a:xfrm>
                      <a:off x="0" y="0"/>
                      <a:ext cx="1571625" cy="590550"/>
                    </a:xfrm>
                    <a:prstGeom prst="rect">
                      <a:avLst/>
                    </a:prstGeom>
                    <a:noFill/>
                  </pic:spPr>
                </pic:pic>
              </a:graphicData>
            </a:graphic>
          </wp:anchor>
        </w:drawing>
      </w:r>
    </w:p>
    <w:p>
      <w:pPr>
        <w:pStyle w:val="Normal"/>
        <w:rPr>
          <w:sz w:val="16"/>
        </w:rPr>
      </w:pPr>
      <w:r>
        <w:rPr>
          <w:sz w:val="16"/>
        </w:rPr>
      </w:r>
    </w:p>
    <w:p>
      <w:pPr>
        <w:pStyle w:val="Normal"/>
        <w:rPr>
          <w:sz w:val="16"/>
        </w:rPr>
      </w:pPr>
      <w:r>
        <w:rPr>
          <w:sz w:val="16"/>
        </w:rPr>
      </w:r>
    </w:p>
    <w:p>
      <w:pPr>
        <w:pStyle w:val="Normal"/>
        <w:pBdr>
          <w:top w:val="single" w:sz="18" w:space="1" w:color="000000"/>
        </w:pBdr>
        <w:rPr/>
      </w:pPr>
      <w:r>
        <w:rPr/>
      </w:r>
    </w:p>
    <w:p>
      <w:pPr>
        <w:pStyle w:val="BodyText3"/>
        <w:pBdr>
          <w:top w:val="single" w:sz="18" w:space="1" w:color="000000"/>
        </w:pBdr>
        <w:jc w:val="both"/>
        <w:rPr/>
      </w:pPr>
      <w:r>
        <w:rPr/>
        <w:t xml:space="preserve">Altra Energy Technologies is an independent, privately funded company which </w:t>
      </w:r>
      <w:r>
        <w:rPr>
          <w:b/>
        </w:rPr>
        <w:t>provides electronic commerce services and enterprise application software</w:t>
      </w:r>
      <w:r>
        <w:rPr/>
        <w:t xml:space="preserve"> for buying, selling and transporting energy. Originally created by The Williams Companies, Inc. and PanEnergy Corp. (now Duke Energy) in 1996, its </w:t>
      </w:r>
      <w:r>
        <w:rPr>
          <w:b/>
        </w:rPr>
        <w:t>revenues have grown over 300% in three years</w:t>
      </w:r>
      <w:r>
        <w:rPr/>
        <w:t>. Over 75 companies in six countries use Altra’s energy transaction management systems and e-commerce facilities.  Altra claims that “more energy is bought, sold, and transported through Altra systems than any other technology worldwide.” Altra’s e-commerce business is divided into two areas:</w:t>
      </w:r>
    </w:p>
    <w:p>
      <w:pPr>
        <w:pStyle w:val="BodyText3"/>
        <w:pBdr>
          <w:top w:val="single" w:sz="18" w:space="1" w:color="000000"/>
        </w:pBdr>
        <w:rPr/>
      </w:pPr>
      <w:r>
        <w:rPr/>
      </w:r>
    </w:p>
    <w:p>
      <w:pPr>
        <w:pStyle w:val="BodyText3"/>
        <w:pBdr>
          <w:top w:val="single" w:sz="18" w:space="1" w:color="000000"/>
        </w:pBdr>
        <w:rPr>
          <w:b/>
        </w:rPr>
      </w:pPr>
      <w:r>
        <w:rPr>
          <w:b/>
        </w:rPr>
        <w:t>Commercial Transactions:</w:t>
      </w:r>
    </w:p>
    <w:p>
      <w:pPr>
        <w:pStyle w:val="BodyText3"/>
        <w:pBdr>
          <w:top w:val="single" w:sz="18" w:space="1" w:color="000000"/>
        </w:pBdr>
        <w:jc w:val="both"/>
        <w:rPr/>
      </w:pPr>
      <w:r>
        <w:rPr/>
        <w:t xml:space="preserve">Over 400 professional energy traders in North America use Altra’s electronic trading systems as a means of price discovery and deal execution. These systems, called Altrade™, include online trading for NGL/Crude, gas, and most recently, power. </w:t>
      </w:r>
      <w:r>
        <w:rPr>
          <w:b/>
        </w:rPr>
        <w:t>In 1998, Altra’s Altrade™ systems, together with the recently acquired QuickTrade System, facilitated an estimated $6B in energy transactions</w:t>
      </w:r>
      <w:r>
        <w:rPr/>
        <w:t xml:space="preserve"> through the public Internet and their respective private networks. These transactions ranged from $10,000-$250,000 per “click.” Since that time, Altra acquired TransEnergy, and both companies have made significant investments in electronic power trading that will pave the way for further advancement in that area. </w:t>
      </w:r>
    </w:p>
    <w:p>
      <w:pPr>
        <w:pStyle w:val="BodyText3"/>
        <w:pBdr>
          <w:top w:val="single" w:sz="18" w:space="1" w:color="000000"/>
        </w:pBdr>
        <w:rPr>
          <w:b/>
        </w:rPr>
      </w:pPr>
      <w:r>
        <w:rPr>
          <w:b/>
        </w:rPr>
      </w:r>
    </w:p>
    <w:p>
      <w:pPr>
        <w:pStyle w:val="BodyText3"/>
        <w:pBdr>
          <w:top w:val="nil"/>
        </w:pBdr>
        <w:rPr>
          <w:b/>
        </w:rPr>
      </w:pPr>
      <w:r>
        <w:rPr>
          <w:b/>
        </w:rPr>
        <w:t>Operational Transactions:</w:t>
      </w:r>
    </w:p>
    <w:p>
      <w:pPr>
        <w:pStyle w:val="BodyText3"/>
        <w:pBdr>
          <w:top w:val="nil"/>
        </w:pBdr>
        <w:rPr/>
      </w:pPr>
      <w:r>
        <w:rPr/>
        <w:t>Altra develops and markets a suite of software products for electronic communication of scheduling and accounting information as well as tools to manage back office operations.</w:t>
      </w:r>
    </w:p>
    <w:p>
      <w:pPr>
        <w:pStyle w:val="BodyText3"/>
        <w:pBdr>
          <w:top w:val="nil"/>
        </w:pBdr>
        <w:rPr/>
      </w:pPr>
      <w:r>
        <w:rPr/>
      </w:r>
    </w:p>
    <w:tbl>
      <w:tblPr>
        <w:tblW w:w="11088" w:type="dxa"/>
        <w:jc w:val="start"/>
        <w:tblInd w:w="0" w:type="dxa"/>
        <w:tblLayout w:type="fixed"/>
        <w:tblCellMar>
          <w:top w:w="0" w:type="dxa"/>
          <w:start w:w="108" w:type="dxa"/>
          <w:bottom w:w="0" w:type="dxa"/>
          <w:end w:w="108" w:type="dxa"/>
        </w:tblCellMar>
      </w:tblPr>
      <w:tblGrid>
        <w:gridCol w:w="2088"/>
        <w:gridCol w:w="9000"/>
      </w:tblGrid>
      <w:tr>
        <w:trPr/>
        <w:tc>
          <w:tcPr>
            <w:tcW w:w="2088" w:type="dxa"/>
            <w:tcBorders/>
          </w:tcPr>
          <w:p>
            <w:pPr>
              <w:pStyle w:val="Heading5"/>
              <w:ind w:hanging="0" w:start="0"/>
              <w:rPr/>
            </w:pPr>
            <w:r>
              <w:rPr/>
              <w:t>Commercial:</w:t>
            </w:r>
          </w:p>
          <w:p>
            <w:pPr>
              <w:pStyle w:val="Heading5"/>
              <w:ind w:hanging="0" w:start="0"/>
              <w:rPr>
                <w:i/>
                <w:i/>
              </w:rPr>
            </w:pPr>
            <w:r>
              <w:rPr>
                <w:i/>
              </w:rPr>
              <w:t xml:space="preserve">Altrade™ System for Online Trading </w:t>
            </w:r>
          </w:p>
        </w:tc>
        <w:tc>
          <w:tcPr>
            <w:tcW w:w="9000" w:type="dxa"/>
            <w:tcBorders/>
          </w:tcPr>
          <w:p>
            <w:pPr>
              <w:pStyle w:val="Normal"/>
              <w:numPr>
                <w:ilvl w:val="0"/>
                <w:numId w:val="30"/>
              </w:numPr>
              <w:rPr>
                <w:sz w:val="24"/>
              </w:rPr>
            </w:pPr>
            <w:r>
              <w:rPr>
                <w:b/>
                <w:sz w:val="24"/>
              </w:rPr>
              <w:t>NGL/Crude:</w:t>
            </w:r>
            <w:r>
              <w:rPr>
                <w:sz w:val="24"/>
              </w:rPr>
              <w:t xml:space="preserve"> Altra’s real-time electronic brokerage system for cash trading of crude oil and natural gas liquids</w:t>
            </w:r>
          </w:p>
          <w:p>
            <w:pPr>
              <w:pStyle w:val="Normal"/>
              <w:numPr>
                <w:ilvl w:val="0"/>
                <w:numId w:val="59"/>
              </w:numPr>
              <w:ind w:hanging="360" w:start="780" w:end="0"/>
              <w:rPr>
                <w:color w:val="000080"/>
                <w:sz w:val="24"/>
              </w:rPr>
            </w:pPr>
            <w:r>
              <w:rPr>
                <w:sz w:val="24"/>
              </w:rPr>
              <w:t>Cash trading at every major crude and NGL trading point in North America</w:t>
            </w:r>
          </w:p>
          <w:p>
            <w:pPr>
              <w:pStyle w:val="Normal"/>
              <w:numPr>
                <w:ilvl w:val="0"/>
                <w:numId w:val="59"/>
              </w:numPr>
              <w:ind w:hanging="360" w:start="780" w:end="0"/>
              <w:rPr>
                <w:color w:val="000080"/>
                <w:sz w:val="24"/>
              </w:rPr>
            </w:pPr>
            <w:r>
              <w:rPr>
                <w:color w:val="000080"/>
                <w:sz w:val="24"/>
              </w:rPr>
              <w:t xml:space="preserve">Crude and NGl are </w:t>
            </w:r>
            <w:r>
              <w:rPr>
                <w:i/>
                <w:color w:val="000080"/>
                <w:sz w:val="24"/>
              </w:rPr>
              <w:t>not</w:t>
            </w:r>
            <w:r>
              <w:rPr>
                <w:color w:val="000080"/>
                <w:sz w:val="24"/>
              </w:rPr>
              <w:t xml:space="preserve"> traded on a clearing basis, but instead are traded on a “name give-up” basis in which the traders pre-select a group of partners with whom they trade</w:t>
            </w:r>
          </w:p>
          <w:p>
            <w:pPr>
              <w:pStyle w:val="Normal"/>
              <w:numPr>
                <w:ilvl w:val="0"/>
                <w:numId w:val="30"/>
              </w:numPr>
              <w:rPr>
                <w:sz w:val="24"/>
              </w:rPr>
            </w:pPr>
            <w:r>
              <w:rPr>
                <w:b/>
                <w:sz w:val="24"/>
              </w:rPr>
              <w:t>Gas:</w:t>
            </w:r>
            <w:r>
              <w:rPr>
                <w:sz w:val="24"/>
              </w:rPr>
              <w:t xml:space="preserve"> Real-time, online system for trading wholesale gas 24 hours per day, 7days per week.</w:t>
            </w:r>
          </w:p>
          <w:p>
            <w:pPr>
              <w:pStyle w:val="Normal"/>
              <w:numPr>
                <w:ilvl w:val="0"/>
                <w:numId w:val="35"/>
              </w:numPr>
              <w:ind w:hanging="360" w:start="720" w:end="0"/>
              <w:rPr>
                <w:sz w:val="24"/>
              </w:rPr>
            </w:pPr>
            <w:r>
              <w:rPr>
                <w:color w:val="000080"/>
                <w:sz w:val="24"/>
              </w:rPr>
              <w:t>System boasts 800 traders online, buying and selling gas on a clearing basis at 140 pricing points across North America</w:t>
            </w:r>
          </w:p>
        </w:tc>
      </w:tr>
      <w:tr>
        <w:trPr/>
        <w:tc>
          <w:tcPr>
            <w:tcW w:w="2088" w:type="dxa"/>
            <w:tcBorders/>
          </w:tcPr>
          <w:p>
            <w:pPr>
              <w:pStyle w:val="Normal"/>
              <w:snapToGrid w:val="false"/>
              <w:rPr>
                <w:b/>
                <w:color w:val="000080"/>
                <w:sz w:val="24"/>
              </w:rPr>
            </w:pPr>
            <w:r>
              <w:rPr>
                <w:b/>
                <w:color w:val="000080"/>
                <w:sz w:val="24"/>
              </w:rPr>
            </w:r>
          </w:p>
        </w:tc>
        <w:tc>
          <w:tcPr>
            <w:tcW w:w="9000" w:type="dxa"/>
            <w:tcBorders/>
          </w:tcPr>
          <w:p>
            <w:pPr>
              <w:pStyle w:val="Normal"/>
              <w:numPr>
                <w:ilvl w:val="0"/>
                <w:numId w:val="30"/>
              </w:numPr>
              <w:rPr>
                <w:color w:val="000080"/>
                <w:sz w:val="24"/>
              </w:rPr>
            </w:pPr>
            <w:r>
              <w:rPr>
                <w:b/>
                <w:sz w:val="24"/>
              </w:rPr>
              <w:t>Power:</w:t>
            </w:r>
            <w:r>
              <w:rPr>
                <w:sz w:val="24"/>
              </w:rPr>
              <w:t xml:space="preserve"> Unveiled in April of 1998, it is a real-time online system on which traders can buy and sell wholesale electric power electronically at all the major trading locations throughout North America.  </w:t>
            </w:r>
            <w:r>
              <w:rPr>
                <w:color w:val="000080"/>
                <w:sz w:val="24"/>
              </w:rPr>
              <w:t>As of January 2000, Altra has received firm commitments from over 300 traders, agreeing to put Altrade Power on their desktops, with trading to begin in the near future.</w:t>
            </w:r>
          </w:p>
          <w:p>
            <w:pPr>
              <w:pStyle w:val="Normal"/>
              <w:numPr>
                <w:ilvl w:val="0"/>
                <w:numId w:val="8"/>
              </w:numPr>
              <w:ind w:hanging="360" w:start="702" w:end="0"/>
              <w:rPr>
                <w:sz w:val="24"/>
              </w:rPr>
            </w:pPr>
            <w:r>
              <w:rPr>
                <w:sz w:val="24"/>
              </w:rPr>
              <w:t>Access to real-time pricing information</w:t>
            </w:r>
          </w:p>
          <w:p>
            <w:pPr>
              <w:pStyle w:val="Normal"/>
              <w:numPr>
                <w:ilvl w:val="0"/>
                <w:numId w:val="8"/>
              </w:numPr>
              <w:ind w:hanging="360" w:start="702" w:end="0"/>
              <w:rPr>
                <w:sz w:val="24"/>
              </w:rPr>
            </w:pPr>
            <w:r>
              <w:rPr>
                <w:sz w:val="24"/>
              </w:rPr>
              <w:t>Power trading conducted on a clearing basis</w:t>
            </w:r>
          </w:p>
          <w:p>
            <w:pPr>
              <w:pStyle w:val="Normal"/>
              <w:numPr>
                <w:ilvl w:val="0"/>
                <w:numId w:val="8"/>
              </w:numPr>
              <w:ind w:hanging="360" w:start="702" w:end="0"/>
              <w:rPr>
                <w:sz w:val="24"/>
              </w:rPr>
            </w:pPr>
            <w:r>
              <w:rPr>
                <w:sz w:val="24"/>
              </w:rPr>
              <w:t>Flexibility to do standardized current and out month trading (from hourly to forward month), with combinations of fixed or indexed-based pricing</w:t>
            </w:r>
          </w:p>
          <w:p>
            <w:pPr>
              <w:pStyle w:val="Normal"/>
              <w:numPr>
                <w:ilvl w:val="0"/>
                <w:numId w:val="8"/>
              </w:numPr>
              <w:ind w:hanging="360" w:start="702" w:end="0"/>
              <w:rPr>
                <w:sz w:val="24"/>
              </w:rPr>
            </w:pPr>
            <w:r>
              <w:rPr>
                <w:sz w:val="24"/>
              </w:rPr>
              <w:t>Access to all major power trading points in North America, including ERCOT, ECAR, Mid-Colombia, New England (ATC), Palo Verde, COB, PJM, Into Cinergy, Into ComEd, Into Entergy, and Into TVA</w:t>
            </w:r>
          </w:p>
          <w:p>
            <w:pPr>
              <w:pStyle w:val="Normal"/>
              <w:numPr>
                <w:ilvl w:val="0"/>
                <w:numId w:val="8"/>
              </w:numPr>
              <w:ind w:hanging="360" w:start="702" w:end="0"/>
              <w:rPr>
                <w:sz w:val="24"/>
              </w:rPr>
            </w:pPr>
            <w:r>
              <w:rPr>
                <w:sz w:val="24"/>
              </w:rPr>
              <w:t>Use of standard terms and conditions or customized deal-making</w:t>
            </w:r>
          </w:p>
          <w:p>
            <w:pPr>
              <w:pStyle w:val="Normal"/>
              <w:rPr>
                <w:sz w:val="24"/>
              </w:rPr>
            </w:pPr>
            <w:r>
              <w:rPr>
                <w:sz w:val="24"/>
              </w:rPr>
              <w:t>Variety of open-ended trading instruments</w:t>
            </w:r>
          </w:p>
        </w:tc>
      </w:tr>
      <w:tr>
        <w:trPr/>
        <w:tc>
          <w:tcPr>
            <w:tcW w:w="2088" w:type="dxa"/>
            <w:tcBorders/>
          </w:tcPr>
          <w:p>
            <w:pPr>
              <w:pStyle w:val="Normal"/>
              <w:rPr>
                <w:b/>
                <w:color w:val="000080"/>
                <w:sz w:val="24"/>
              </w:rPr>
            </w:pPr>
            <w:r>
              <w:rPr>
                <w:b/>
                <w:color w:val="000080"/>
                <w:sz w:val="24"/>
              </w:rPr>
              <w:t>Volume</w:t>
            </w:r>
          </w:p>
        </w:tc>
        <w:tc>
          <w:tcPr>
            <w:tcW w:w="9000" w:type="dxa"/>
            <w:tcBorders/>
          </w:tcPr>
          <w:p>
            <w:pPr>
              <w:pStyle w:val="Normal"/>
              <w:numPr>
                <w:ilvl w:val="0"/>
                <w:numId w:val="37"/>
              </w:numPr>
              <w:rPr>
                <w:sz w:val="24"/>
              </w:rPr>
            </w:pPr>
            <w:r>
              <w:rPr>
                <w:sz w:val="24"/>
              </w:rPr>
              <w:t xml:space="preserve">Anticipate over 5 bcf per day in natural gas trading </w:t>
            </w:r>
          </w:p>
          <w:p>
            <w:pPr>
              <w:pStyle w:val="Normal"/>
              <w:numPr>
                <w:ilvl w:val="0"/>
                <w:numId w:val="37"/>
              </w:numPr>
              <w:rPr>
                <w:color w:val="000080"/>
                <w:sz w:val="24"/>
              </w:rPr>
            </w:pPr>
            <w:r>
              <w:rPr>
                <w:color w:val="000080"/>
                <w:sz w:val="24"/>
              </w:rPr>
              <w:t>Recently, Altra launched real-time crude trading, system records trading volumes of 200,000 bbl/day accounting for about 5% of the U.S. market</w:t>
            </w:r>
          </w:p>
          <w:p>
            <w:pPr>
              <w:pStyle w:val="Normal"/>
              <w:numPr>
                <w:ilvl w:val="0"/>
                <w:numId w:val="24"/>
              </w:numPr>
              <w:rPr>
                <w:sz w:val="24"/>
              </w:rPr>
            </w:pPr>
            <w:r>
              <w:rPr>
                <w:color w:val="000080"/>
                <w:sz w:val="24"/>
              </w:rPr>
              <w:t>The company also controls a large portion, about 40%, of the NGL spot market, between 1 million to1.5 million bbl/day</w:t>
            </w:r>
          </w:p>
        </w:tc>
      </w:tr>
      <w:tr>
        <w:trPr/>
        <w:tc>
          <w:tcPr>
            <w:tcW w:w="2088" w:type="dxa"/>
            <w:tcBorders/>
          </w:tcPr>
          <w:p>
            <w:pPr>
              <w:pStyle w:val="Normal"/>
              <w:snapToGrid w:val="false"/>
              <w:rPr>
                <w:b/>
                <w:color w:val="000080"/>
                <w:sz w:val="24"/>
              </w:rPr>
            </w:pPr>
            <w:r>
              <w:rPr>
                <w:b/>
                <w:color w:val="000080"/>
                <w:sz w:val="24"/>
              </w:rPr>
            </w:r>
          </w:p>
        </w:tc>
        <w:tc>
          <w:tcPr>
            <w:tcW w:w="9000" w:type="dxa"/>
            <w:tcBorders/>
          </w:tcPr>
          <w:p>
            <w:pPr>
              <w:pStyle w:val="Normal"/>
              <w:snapToGrid w:val="false"/>
              <w:rPr>
                <w:b/>
                <w:color w:val="000080"/>
                <w:sz w:val="24"/>
              </w:rPr>
            </w:pPr>
            <w:r>
              <w:rPr>
                <w:b/>
                <w:color w:val="000080"/>
                <w:sz w:val="24"/>
              </w:rPr>
            </w:r>
          </w:p>
        </w:tc>
      </w:tr>
      <w:tr>
        <w:trPr/>
        <w:tc>
          <w:tcPr>
            <w:tcW w:w="2088" w:type="dxa"/>
            <w:tcBorders/>
          </w:tcPr>
          <w:p>
            <w:pPr>
              <w:pStyle w:val="Normal"/>
              <w:rPr>
                <w:b/>
                <w:color w:val="000080"/>
                <w:sz w:val="24"/>
              </w:rPr>
            </w:pPr>
            <w:r>
              <w:rPr>
                <w:b/>
                <w:color w:val="000080"/>
                <w:sz w:val="24"/>
              </w:rPr>
              <w:t>Operational:</w:t>
            </w:r>
          </w:p>
          <w:p>
            <w:pPr>
              <w:pStyle w:val="Normal"/>
              <w:rPr>
                <w:b/>
                <w:i/>
                <w:i/>
                <w:color w:val="000080"/>
                <w:sz w:val="24"/>
              </w:rPr>
            </w:pPr>
            <w:r>
              <w:rPr>
                <w:b/>
                <w:i/>
                <w:color w:val="000080"/>
                <w:sz w:val="24"/>
              </w:rPr>
              <w:t>Software Systems</w:t>
            </w:r>
          </w:p>
        </w:tc>
        <w:tc>
          <w:tcPr>
            <w:tcW w:w="9000" w:type="dxa"/>
            <w:tcBorders/>
          </w:tcPr>
          <w:p>
            <w:pPr>
              <w:pStyle w:val="Normal"/>
              <w:numPr>
                <w:ilvl w:val="0"/>
                <w:numId w:val="20"/>
              </w:numPr>
              <w:rPr>
                <w:sz w:val="24"/>
              </w:rPr>
            </w:pPr>
            <w:r>
              <w:rPr>
                <w:b/>
                <w:sz w:val="24"/>
              </w:rPr>
              <w:t>Altra Gas, Altra Pipeline, and AltraWeb:</w:t>
            </w:r>
            <w:r>
              <w:rPr>
                <w:sz w:val="24"/>
              </w:rPr>
              <w:t xml:space="preserve"> Allows Altra users to schedule gas, view purchases/sales, track energy positions and generate invoices and remittance statements.</w:t>
            </w:r>
          </w:p>
          <w:p>
            <w:pPr>
              <w:pStyle w:val="Normal"/>
              <w:numPr>
                <w:ilvl w:val="0"/>
                <w:numId w:val="20"/>
              </w:numPr>
              <w:rPr>
                <w:sz w:val="24"/>
              </w:rPr>
            </w:pPr>
            <w:r>
              <w:rPr>
                <w:b/>
                <w:sz w:val="24"/>
              </w:rPr>
              <w:t>Altra Power:</w:t>
            </w:r>
            <w:r>
              <w:rPr>
                <w:sz w:val="24"/>
              </w:rPr>
              <w:t xml:space="preserve"> Scheduling and Delivery: a multi-commodity transaction management application. </w:t>
            </w:r>
          </w:p>
          <w:p>
            <w:pPr>
              <w:pStyle w:val="Normal"/>
              <w:numPr>
                <w:ilvl w:val="0"/>
                <w:numId w:val="20"/>
              </w:numPr>
              <w:rPr>
                <w:sz w:val="24"/>
              </w:rPr>
            </w:pPr>
            <w:r>
              <w:rPr>
                <w:b/>
                <w:sz w:val="24"/>
              </w:rPr>
              <w:t>Altra Risk:</w:t>
            </w:r>
            <w:r>
              <w:rPr>
                <w:sz w:val="24"/>
              </w:rPr>
              <w:t xml:space="preserve"> Fully integrates all aspects of trading and risk management for gas related commodities.</w:t>
            </w:r>
          </w:p>
        </w:tc>
      </w:tr>
      <w:tr>
        <w:trPr/>
        <w:tc>
          <w:tcPr>
            <w:tcW w:w="2088" w:type="dxa"/>
            <w:tcBorders/>
          </w:tcPr>
          <w:p>
            <w:pPr>
              <w:pStyle w:val="Normal"/>
              <w:snapToGrid w:val="false"/>
              <w:rPr>
                <w:b/>
                <w:color w:val="000080"/>
                <w:sz w:val="24"/>
              </w:rPr>
            </w:pPr>
            <w:r>
              <w:rPr>
                <w:b/>
                <w:color w:val="000080"/>
                <w:sz w:val="24"/>
              </w:rPr>
            </w:r>
          </w:p>
        </w:tc>
        <w:tc>
          <w:tcPr>
            <w:tcW w:w="9000" w:type="dxa"/>
            <w:tcBorders/>
          </w:tcPr>
          <w:p>
            <w:pPr>
              <w:pStyle w:val="Normal"/>
              <w:snapToGrid w:val="false"/>
              <w:rPr>
                <w:b/>
                <w:color w:val="000080"/>
                <w:sz w:val="24"/>
              </w:rPr>
            </w:pPr>
            <w:r>
              <w:rPr>
                <w:b/>
                <w:color w:val="000080"/>
                <w:sz w:val="24"/>
              </w:rPr>
            </w:r>
          </w:p>
        </w:tc>
      </w:tr>
      <w:tr>
        <w:trPr/>
        <w:tc>
          <w:tcPr>
            <w:tcW w:w="2088" w:type="dxa"/>
            <w:tcBorders/>
          </w:tcPr>
          <w:p>
            <w:pPr>
              <w:pStyle w:val="Normal"/>
              <w:rPr>
                <w:b/>
                <w:color w:val="000080"/>
                <w:sz w:val="24"/>
              </w:rPr>
            </w:pPr>
            <w:r>
              <w:rPr>
                <w:b/>
                <w:color w:val="000080"/>
                <w:sz w:val="24"/>
              </w:rPr>
              <w:t>Links</w:t>
            </w:r>
          </w:p>
        </w:tc>
        <w:tc>
          <w:tcPr>
            <w:tcW w:w="9000" w:type="dxa"/>
            <w:tcBorders/>
          </w:tcPr>
          <w:p>
            <w:pPr>
              <w:pStyle w:val="Heading8"/>
              <w:ind w:hanging="0" w:start="0"/>
              <w:rPr/>
            </w:pPr>
            <w:r>
              <w:rPr/>
              <w:t>Crude Oil and Gas</w:t>
            </w:r>
          </w:p>
          <w:p>
            <w:pPr>
              <w:pStyle w:val="Normal"/>
              <w:numPr>
                <w:ilvl w:val="0"/>
                <w:numId w:val="19"/>
              </w:numPr>
              <w:rPr>
                <w:sz w:val="24"/>
              </w:rPr>
            </w:pPr>
            <w:r>
              <w:rPr>
                <w:sz w:val="24"/>
              </w:rPr>
              <w:t>NYMEX, Reuters</w:t>
            </w:r>
          </w:p>
          <w:p>
            <w:pPr>
              <w:pStyle w:val="Heading8"/>
              <w:ind w:hanging="0" w:start="0"/>
              <w:rPr/>
            </w:pPr>
            <w:r>
              <w:rPr/>
              <w:t>Gas</w:t>
            </w:r>
          </w:p>
          <w:p>
            <w:pPr>
              <w:pStyle w:val="Normal"/>
              <w:numPr>
                <w:ilvl w:val="0"/>
                <w:numId w:val="54"/>
              </w:numPr>
              <w:rPr>
                <w:sz w:val="24"/>
              </w:rPr>
            </w:pPr>
            <w:r>
              <w:rPr>
                <w:sz w:val="24"/>
              </w:rPr>
              <w:t>All U.S. pipelines</w:t>
            </w:r>
          </w:p>
          <w:p>
            <w:pPr>
              <w:pStyle w:val="Normal"/>
              <w:numPr>
                <w:ilvl w:val="0"/>
                <w:numId w:val="54"/>
              </w:numPr>
              <w:rPr>
                <w:sz w:val="24"/>
              </w:rPr>
            </w:pPr>
            <w:r>
              <w:rPr>
                <w:sz w:val="24"/>
              </w:rPr>
              <w:t>Canadian pipelines – Nova Gas Transmission/TransCanada, Union Gas, Westcoast Energy</w:t>
            </w:r>
          </w:p>
          <w:p>
            <w:pPr>
              <w:pStyle w:val="Heading8"/>
              <w:ind w:hanging="0" w:start="0"/>
              <w:rPr/>
            </w:pPr>
            <w:r>
              <w:rPr/>
              <w:t>Weather Links</w:t>
            </w:r>
          </w:p>
          <w:p>
            <w:pPr>
              <w:pStyle w:val="Normal"/>
              <w:numPr>
                <w:ilvl w:val="0"/>
                <w:numId w:val="42"/>
              </w:numPr>
              <w:rPr>
                <w:sz w:val="24"/>
              </w:rPr>
            </w:pPr>
            <w:r>
              <w:rPr>
                <w:sz w:val="24"/>
              </w:rPr>
              <w:t>USA Today, Netcast, The Weather Channel, Intellicast, Environment Canada, U.S. National Weather Service and Weather Express</w:t>
            </w:r>
          </w:p>
        </w:tc>
      </w:tr>
      <w:tr>
        <w:trPr/>
        <w:tc>
          <w:tcPr>
            <w:tcW w:w="2088" w:type="dxa"/>
            <w:tcBorders/>
          </w:tcPr>
          <w:p>
            <w:pPr>
              <w:pStyle w:val="Heading5"/>
              <w:snapToGrid w:val="false"/>
              <w:ind w:hanging="0" w:start="0"/>
              <w:rPr>
                <w:sz w:val="22"/>
              </w:rPr>
            </w:pPr>
            <w:r>
              <w:rPr>
                <w:sz w:val="22"/>
              </w:rPr>
            </w:r>
          </w:p>
        </w:tc>
        <w:tc>
          <w:tcPr>
            <w:tcW w:w="9000" w:type="dxa"/>
            <w:tcBorders/>
          </w:tcPr>
          <w:p>
            <w:pPr>
              <w:pStyle w:val="Normal"/>
              <w:snapToGrid w:val="false"/>
              <w:rPr>
                <w:sz w:val="24"/>
              </w:rPr>
            </w:pPr>
            <w:r>
              <w:rPr>
                <w:sz w:val="24"/>
              </w:rPr>
            </w:r>
          </w:p>
        </w:tc>
      </w:tr>
      <w:tr>
        <w:trPr/>
        <w:tc>
          <w:tcPr>
            <w:tcW w:w="2088" w:type="dxa"/>
            <w:tcBorders/>
          </w:tcPr>
          <w:p>
            <w:pPr>
              <w:pStyle w:val="Heading5"/>
              <w:ind w:hanging="0" w:start="0"/>
              <w:rPr/>
            </w:pPr>
            <w:r>
              <w:rPr/>
              <w:t>The Company</w:t>
            </w:r>
          </w:p>
        </w:tc>
        <w:tc>
          <w:tcPr>
            <w:tcW w:w="9000" w:type="dxa"/>
            <w:tcBorders/>
          </w:tcPr>
          <w:p>
            <w:pPr>
              <w:pStyle w:val="Normal"/>
              <w:numPr>
                <w:ilvl w:val="0"/>
                <w:numId w:val="55"/>
              </w:numPr>
              <w:rPr>
                <w:sz w:val="24"/>
              </w:rPr>
            </w:pPr>
            <w:r>
              <w:rPr>
                <w:sz w:val="24"/>
              </w:rPr>
              <w:t>1,200 users of Altrade™ Electronic Trading System</w:t>
            </w:r>
          </w:p>
          <w:p>
            <w:pPr>
              <w:pStyle w:val="Normal"/>
              <w:numPr>
                <w:ilvl w:val="0"/>
                <w:numId w:val="55"/>
              </w:numPr>
              <w:rPr>
                <w:sz w:val="24"/>
              </w:rPr>
            </w:pPr>
            <w:r>
              <w:rPr>
                <w:sz w:val="24"/>
              </w:rPr>
              <w:t>4,000 users of Altra’s products around the world</w:t>
            </w:r>
          </w:p>
          <w:p>
            <w:pPr>
              <w:pStyle w:val="Normal"/>
              <w:numPr>
                <w:ilvl w:val="0"/>
                <w:numId w:val="55"/>
              </w:numPr>
              <w:rPr>
                <w:sz w:val="24"/>
              </w:rPr>
            </w:pPr>
            <w:r>
              <w:rPr>
                <w:sz w:val="24"/>
              </w:rPr>
              <w:t>160 employees</w:t>
            </w:r>
          </w:p>
          <w:p>
            <w:pPr>
              <w:pStyle w:val="Normal"/>
              <w:numPr>
                <w:ilvl w:val="0"/>
                <w:numId w:val="55"/>
              </w:numPr>
              <w:rPr>
                <w:b/>
                <w:sz w:val="24"/>
              </w:rPr>
            </w:pPr>
            <w:r>
              <w:rPr>
                <w:b/>
                <w:sz w:val="24"/>
              </w:rPr>
              <w:t>Three distribution centers, one in Australia, in Europe, and in Latin America</w:t>
            </w:r>
          </w:p>
        </w:tc>
      </w:tr>
      <w:tr>
        <w:trPr/>
        <w:tc>
          <w:tcPr>
            <w:tcW w:w="2088" w:type="dxa"/>
            <w:tcBorders/>
          </w:tcPr>
          <w:p>
            <w:pPr>
              <w:pStyle w:val="Normal"/>
              <w:snapToGrid w:val="false"/>
              <w:rPr>
                <w:b/>
                <w:color w:val="000080"/>
                <w:sz w:val="24"/>
              </w:rPr>
            </w:pPr>
            <w:r>
              <w:rPr>
                <w:b/>
                <w:color w:val="000080"/>
                <w:sz w:val="24"/>
              </w:rPr>
            </w:r>
          </w:p>
        </w:tc>
        <w:tc>
          <w:tcPr>
            <w:tcW w:w="9000" w:type="dxa"/>
            <w:tcBorders/>
          </w:tcPr>
          <w:p>
            <w:pPr>
              <w:pStyle w:val="Normal"/>
              <w:snapToGrid w:val="false"/>
              <w:rPr>
                <w:b/>
                <w:color w:val="000080"/>
                <w:sz w:val="24"/>
              </w:rPr>
            </w:pPr>
            <w:r>
              <w:rPr>
                <w:b/>
                <w:color w:val="000080"/>
                <w:sz w:val="24"/>
              </w:rPr>
            </w:r>
          </w:p>
        </w:tc>
      </w:tr>
      <w:tr>
        <w:trPr/>
        <w:tc>
          <w:tcPr>
            <w:tcW w:w="2088" w:type="dxa"/>
            <w:tcBorders/>
          </w:tcPr>
          <w:p>
            <w:pPr>
              <w:pStyle w:val="Normal"/>
              <w:rPr>
                <w:b/>
                <w:color w:val="000080"/>
                <w:sz w:val="24"/>
              </w:rPr>
            </w:pPr>
            <w:r>
              <w:rPr>
                <w:b/>
                <w:color w:val="000080"/>
                <w:sz w:val="24"/>
              </w:rPr>
              <w:t>Management</w:t>
            </w:r>
          </w:p>
        </w:tc>
        <w:tc>
          <w:tcPr>
            <w:tcW w:w="9000" w:type="dxa"/>
            <w:tcBorders/>
          </w:tcPr>
          <w:p>
            <w:pPr>
              <w:pStyle w:val="Normal"/>
              <w:numPr>
                <w:ilvl w:val="0"/>
                <w:numId w:val="18"/>
              </w:numPr>
              <w:rPr>
                <w:b/>
                <w:sz w:val="24"/>
              </w:rPr>
            </w:pPr>
            <w:r>
              <w:rPr>
                <w:b/>
                <w:sz w:val="24"/>
              </w:rPr>
              <w:t>E. Russell “Rusty” Braziel</w:t>
            </w:r>
          </w:p>
          <w:p>
            <w:pPr>
              <w:pStyle w:val="Heading4"/>
              <w:ind w:hanging="0" w:start="0"/>
              <w:rPr/>
            </w:pPr>
            <w:r>
              <w:rPr>
                <w:sz w:val="24"/>
              </w:rPr>
              <w:t xml:space="preserve">      </w:t>
            </w:r>
            <w:r>
              <w:rPr>
                <w:sz w:val="24"/>
              </w:rPr>
              <w:t>Chairman of the Board</w:t>
            </w:r>
          </w:p>
          <w:p>
            <w:pPr>
              <w:pStyle w:val="Normal"/>
              <w:numPr>
                <w:ilvl w:val="0"/>
                <w:numId w:val="12"/>
              </w:numPr>
              <w:rPr>
                <w:b/>
                <w:sz w:val="24"/>
              </w:rPr>
            </w:pPr>
            <w:r>
              <w:rPr>
                <w:b/>
                <w:sz w:val="24"/>
              </w:rPr>
              <w:t>Paul Bourke</w:t>
            </w:r>
          </w:p>
          <w:p>
            <w:pPr>
              <w:pStyle w:val="Normal"/>
              <w:rPr/>
            </w:pPr>
            <w:r>
              <w:rPr>
                <w:b/>
                <w:sz w:val="24"/>
              </w:rPr>
              <w:t xml:space="preserve">      </w:t>
            </w:r>
            <w:r>
              <w:rPr>
                <w:i/>
                <w:sz w:val="24"/>
              </w:rPr>
              <w:t>Chief Executive Officer</w:t>
            </w:r>
          </w:p>
          <w:p>
            <w:pPr>
              <w:pStyle w:val="Normal"/>
              <w:numPr>
                <w:ilvl w:val="0"/>
                <w:numId w:val="12"/>
              </w:numPr>
              <w:rPr>
                <w:b/>
                <w:sz w:val="24"/>
              </w:rPr>
            </w:pPr>
            <w:r>
              <w:rPr>
                <w:b/>
                <w:sz w:val="24"/>
              </w:rPr>
              <w:t>John Bakewell</w:t>
            </w:r>
          </w:p>
          <w:p>
            <w:pPr>
              <w:pStyle w:val="Normal"/>
              <w:numPr>
                <w:ilvl w:val="0"/>
                <w:numId w:val="12"/>
              </w:numPr>
              <w:rPr>
                <w:sz w:val="24"/>
              </w:rPr>
            </w:pPr>
            <w:r>
              <w:rPr>
                <w:b/>
                <w:sz w:val="24"/>
              </w:rPr>
              <w:t>Susan Bauch</w:t>
            </w:r>
          </w:p>
        </w:tc>
      </w:tr>
      <w:tr>
        <w:trPr/>
        <w:tc>
          <w:tcPr>
            <w:tcW w:w="2088" w:type="dxa"/>
            <w:tcBorders/>
          </w:tcPr>
          <w:p>
            <w:pPr>
              <w:pStyle w:val="Normal"/>
              <w:snapToGrid w:val="false"/>
              <w:rPr>
                <w:b/>
                <w:color w:val="000080"/>
                <w:sz w:val="24"/>
              </w:rPr>
            </w:pPr>
            <w:r>
              <w:rPr>
                <w:b/>
                <w:color w:val="000080"/>
                <w:sz w:val="24"/>
              </w:rPr>
            </w:r>
          </w:p>
        </w:tc>
        <w:tc>
          <w:tcPr>
            <w:tcW w:w="9000" w:type="dxa"/>
            <w:tcBorders/>
          </w:tcPr>
          <w:p>
            <w:pPr>
              <w:pStyle w:val="Normal"/>
              <w:snapToGrid w:val="false"/>
              <w:rPr>
                <w:b/>
                <w:color w:val="000080"/>
                <w:sz w:val="24"/>
              </w:rPr>
            </w:pPr>
            <w:r>
              <w:rPr>
                <w:b/>
                <w:color w:val="000080"/>
                <w:sz w:val="24"/>
              </w:rPr>
            </w:r>
          </w:p>
        </w:tc>
      </w:tr>
      <w:tr>
        <w:trPr/>
        <w:tc>
          <w:tcPr>
            <w:tcW w:w="2088" w:type="dxa"/>
            <w:tcBorders/>
          </w:tcPr>
          <w:p>
            <w:pPr>
              <w:pStyle w:val="Normal"/>
              <w:rPr>
                <w:b/>
                <w:color w:val="000080"/>
                <w:sz w:val="24"/>
              </w:rPr>
            </w:pPr>
            <w:r>
              <w:rPr>
                <w:b/>
                <w:color w:val="000080"/>
                <w:sz w:val="24"/>
              </w:rPr>
              <w:t>Company History</w:t>
            </w:r>
          </w:p>
        </w:tc>
        <w:tc>
          <w:tcPr>
            <w:tcW w:w="9000" w:type="dxa"/>
            <w:tcBorders/>
          </w:tcPr>
          <w:p>
            <w:pPr>
              <w:pStyle w:val="Normal"/>
              <w:numPr>
                <w:ilvl w:val="0"/>
                <w:numId w:val="7"/>
              </w:numPr>
              <w:rPr>
                <w:sz w:val="24"/>
              </w:rPr>
            </w:pPr>
            <w:r>
              <w:rPr>
                <w:b/>
                <w:color w:val="000080"/>
                <w:sz w:val="24"/>
              </w:rPr>
              <w:t>DECEMBER 1999:</w:t>
            </w:r>
            <w:r>
              <w:rPr>
                <w:color w:val="000080"/>
                <w:sz w:val="24"/>
              </w:rPr>
              <w:t xml:space="preserve"> Altra acquired Unified Information, Inc., a Kirkland, Washington-based vendor of real-time scheduling, management, and settlements software for electric power companies</w:t>
            </w:r>
          </w:p>
          <w:p>
            <w:pPr>
              <w:pStyle w:val="Normal"/>
              <w:numPr>
                <w:ilvl w:val="0"/>
                <w:numId w:val="7"/>
              </w:numPr>
              <w:rPr>
                <w:sz w:val="24"/>
              </w:rPr>
            </w:pPr>
            <w:r>
              <w:rPr>
                <w:b/>
                <w:sz w:val="24"/>
              </w:rPr>
              <w:t>SEPTEMBER 1999:</w:t>
            </w:r>
            <w:r>
              <w:rPr>
                <w:sz w:val="24"/>
              </w:rPr>
              <w:t xml:space="preserve"> Altrade’s physically delivered natural gas and natural gas swaps hits 146 Bcf and 135 Bcf respectively </w:t>
            </w:r>
          </w:p>
          <w:p>
            <w:pPr>
              <w:pStyle w:val="Normal"/>
              <w:numPr>
                <w:ilvl w:val="0"/>
                <w:numId w:val="7"/>
              </w:numPr>
              <w:rPr>
                <w:sz w:val="24"/>
              </w:rPr>
            </w:pPr>
            <w:r>
              <w:rPr>
                <w:b/>
                <w:sz w:val="24"/>
              </w:rPr>
              <w:t>AUGUST 1999:</w:t>
            </w:r>
            <w:r>
              <w:rPr>
                <w:sz w:val="24"/>
              </w:rPr>
              <w:t xml:space="preserve"> Natural gas liquids trading hits 2.51 million BBLS on Altrade Crude/NGL</w:t>
            </w:r>
          </w:p>
          <w:p>
            <w:pPr>
              <w:pStyle w:val="Normal"/>
              <w:numPr>
                <w:ilvl w:val="0"/>
                <w:numId w:val="7"/>
              </w:numPr>
              <w:rPr>
                <w:sz w:val="24"/>
              </w:rPr>
            </w:pPr>
            <w:r>
              <w:rPr>
                <w:b/>
                <w:sz w:val="24"/>
              </w:rPr>
              <w:t>JULY 1999:</w:t>
            </w:r>
            <w:r>
              <w:rPr>
                <w:sz w:val="24"/>
              </w:rPr>
              <w:t xml:space="preserve"> Aquires the assets of TransEnergy Management, a competing provider of marketing, transportation, and risk management software</w:t>
            </w:r>
          </w:p>
          <w:p>
            <w:pPr>
              <w:pStyle w:val="Normal"/>
              <w:numPr>
                <w:ilvl w:val="0"/>
                <w:numId w:val="7"/>
              </w:numPr>
              <w:rPr>
                <w:sz w:val="24"/>
              </w:rPr>
            </w:pPr>
            <w:r>
              <w:rPr>
                <w:b/>
                <w:sz w:val="24"/>
              </w:rPr>
              <w:t>MARCH 1999:</w:t>
            </w:r>
            <w:r>
              <w:rPr>
                <w:sz w:val="24"/>
              </w:rPr>
              <w:t xml:space="preserve"> Acquires Atlanta-based Energy Imperium, a provider of energy-related commodity trading and risk management software</w:t>
            </w:r>
          </w:p>
          <w:p>
            <w:pPr>
              <w:pStyle w:val="Normal"/>
              <w:numPr>
                <w:ilvl w:val="0"/>
                <w:numId w:val="7"/>
              </w:numPr>
              <w:rPr>
                <w:b/>
                <w:sz w:val="24"/>
              </w:rPr>
            </w:pPr>
            <w:r>
              <w:rPr>
                <w:b/>
                <w:sz w:val="24"/>
              </w:rPr>
              <w:t xml:space="preserve">FEBRUARY 1999: </w:t>
            </w:r>
            <w:r>
              <w:rPr>
                <w:sz w:val="24"/>
              </w:rPr>
              <w:t>Gas trading volumes on January 28 hit 30 Bcf on Altrade and newly acquired QuickTrade LLC</w:t>
            </w:r>
          </w:p>
          <w:p>
            <w:pPr>
              <w:pStyle w:val="Normal"/>
              <w:numPr>
                <w:ilvl w:val="0"/>
                <w:numId w:val="7"/>
              </w:numPr>
              <w:rPr>
                <w:sz w:val="24"/>
              </w:rPr>
            </w:pPr>
            <w:r>
              <w:rPr>
                <w:b/>
                <w:sz w:val="24"/>
              </w:rPr>
              <w:t>JANUARY 1999:</w:t>
            </w:r>
            <w:r>
              <w:rPr>
                <w:sz w:val="24"/>
              </w:rPr>
              <w:t xml:space="preserve"> Acquires QuickTrade LLC and QuickTrade Canada</w:t>
            </w:r>
          </w:p>
          <w:p>
            <w:pPr>
              <w:pStyle w:val="Normal"/>
              <w:numPr>
                <w:ilvl w:val="0"/>
                <w:numId w:val="7"/>
              </w:numPr>
              <w:rPr>
                <w:sz w:val="24"/>
              </w:rPr>
            </w:pPr>
            <w:r>
              <w:rPr>
                <w:b/>
                <w:sz w:val="24"/>
              </w:rPr>
              <w:t>APRIL 1998:</w:t>
            </w:r>
            <w:r>
              <w:rPr>
                <w:sz w:val="24"/>
              </w:rPr>
              <w:t xml:space="preserve"> Altra unveils Streamline™ for Power (now called Altrade™ for Power)</w:t>
            </w:r>
          </w:p>
        </w:tc>
      </w:tr>
    </w:tbl>
    <w:p>
      <w:pPr>
        <w:pStyle w:val="Normal"/>
        <w:pBdr>
          <w:bottom w:val="single" w:sz="18" w:space="1" w:color="000000"/>
        </w:pBdr>
        <w:rPr>
          <w:b/>
          <w:color w:val="0000FF"/>
          <w:sz w:val="40"/>
        </w:rPr>
      </w:pPr>
      <w:r>
        <w:rPr>
          <w:b/>
          <w:color w:val="0000FF"/>
          <w:sz w:val="40"/>
        </w:rPr>
        <w:t>Tradeweather.com</w:t>
      </w:r>
    </w:p>
    <w:p>
      <w:pPr>
        <w:pStyle w:val="Normal"/>
        <w:pBdr>
          <w:bottom w:val="single" w:sz="18" w:space="1" w:color="000000"/>
        </w:pBdr>
        <w:jc w:val="center"/>
        <w:rPr>
          <w:b/>
          <w:color w:val="0000FF"/>
          <w:sz w:val="24"/>
        </w:rPr>
      </w:pPr>
      <w:r>
        <w:rPr>
          <w:b/>
          <w:color w:val="0000FF"/>
          <w:sz w:val="24"/>
        </w:rPr>
      </w:r>
    </w:p>
    <w:p>
      <w:pPr>
        <w:pStyle w:val="BodyText"/>
        <w:jc w:val="both"/>
        <w:rPr>
          <w:b/>
          <w:color w:val="0000FF"/>
          <w:sz w:val="24"/>
        </w:rPr>
      </w:pPr>
      <w:r>
        <w:rPr>
          <w:b/>
          <w:color w:val="0000FF"/>
          <w:sz w:val="24"/>
        </w:rPr>
      </w:r>
    </w:p>
    <w:p>
      <w:pPr>
        <w:pStyle w:val="BodyText"/>
        <w:jc w:val="both"/>
        <w:rPr/>
      </w:pPr>
      <w:r>
        <w:rPr>
          <w:color w:val="000080"/>
        </w:rPr>
        <w:t xml:space="preserve">Tradeweather.com launched on January 18, 2000. The exchange includes automated order placement and execution, personalized portfolio tracking, real-time quotes 24 hours per day, seven days per week. Site includes historical data, pricing models, and discounted weather forecasts that will assist traders and hedgers to structure, purchase and trade weather risk management products.  </w:t>
      </w:r>
      <w:r>
        <w:rPr/>
        <w:t xml:space="preserve">Tradeweather.com will serve as marketplace for subscribers to trade </w:t>
      </w:r>
      <w:r>
        <w:rPr>
          <w:b/>
        </w:rPr>
        <w:t xml:space="preserve">puts, calls, collars, and swaps on heating-degree days, cooling-degree days, and precipitation </w:t>
      </w:r>
      <w:r>
        <w:rPr/>
        <w:t xml:space="preserve">in up to 100 cities. </w:t>
      </w:r>
    </w:p>
    <w:p>
      <w:pPr>
        <w:pStyle w:val="BodyText"/>
        <w:jc w:val="both"/>
        <w:rPr>
          <w:sz w:val="16"/>
        </w:rPr>
      </w:pPr>
      <w:r>
        <w:rPr>
          <w:sz w:val="16"/>
        </w:rPr>
      </w:r>
    </w:p>
    <w:tbl>
      <w:tblPr>
        <w:tblW w:w="11178" w:type="dxa"/>
        <w:jc w:val="start"/>
        <w:tblInd w:w="0" w:type="dxa"/>
        <w:tblLayout w:type="fixed"/>
        <w:tblCellMar>
          <w:top w:w="0" w:type="dxa"/>
          <w:start w:w="108" w:type="dxa"/>
          <w:bottom w:w="0" w:type="dxa"/>
          <w:end w:w="108" w:type="dxa"/>
        </w:tblCellMar>
      </w:tblPr>
      <w:tblGrid>
        <w:gridCol w:w="2178"/>
        <w:gridCol w:w="9000"/>
      </w:tblGrid>
      <w:tr>
        <w:trPr/>
        <w:tc>
          <w:tcPr>
            <w:tcW w:w="2178" w:type="dxa"/>
            <w:tcBorders/>
          </w:tcPr>
          <w:p>
            <w:pPr>
              <w:pStyle w:val="Heading9"/>
              <w:ind w:hanging="0" w:start="0"/>
              <w:rPr>
                <w:color w:val="0000FF"/>
              </w:rPr>
            </w:pPr>
            <w:r>
              <w:rPr>
                <w:color w:val="0000FF"/>
              </w:rPr>
              <w:t>The Company</w:t>
            </w:r>
          </w:p>
        </w:tc>
        <w:tc>
          <w:tcPr>
            <w:tcW w:w="9000" w:type="dxa"/>
            <w:tcBorders/>
          </w:tcPr>
          <w:p>
            <w:pPr>
              <w:pStyle w:val="Normal"/>
              <w:numPr>
                <w:ilvl w:val="0"/>
                <w:numId w:val="63"/>
              </w:numPr>
              <w:rPr>
                <w:sz w:val="24"/>
              </w:rPr>
            </w:pPr>
            <w:r>
              <w:rPr>
                <w:sz w:val="24"/>
              </w:rPr>
              <w:t>Joint-Venture Partners:</w:t>
            </w:r>
          </w:p>
          <w:p>
            <w:pPr>
              <w:pStyle w:val="Normal"/>
              <w:numPr>
                <w:ilvl w:val="0"/>
                <w:numId w:val="3"/>
              </w:numPr>
              <w:ind w:hanging="360" w:start="600" w:end="0"/>
              <w:rPr>
                <w:sz w:val="24"/>
              </w:rPr>
            </w:pPr>
            <w:r>
              <w:rPr>
                <w:sz w:val="24"/>
              </w:rPr>
              <w:t>Iguana Studios (software company)</w:t>
            </w:r>
          </w:p>
          <w:p>
            <w:pPr>
              <w:pStyle w:val="Normal"/>
              <w:numPr>
                <w:ilvl w:val="0"/>
                <w:numId w:val="3"/>
              </w:numPr>
              <w:ind w:hanging="360" w:start="600" w:end="0"/>
              <w:rPr>
                <w:sz w:val="24"/>
              </w:rPr>
            </w:pPr>
            <w:r>
              <w:rPr>
                <w:sz w:val="24"/>
              </w:rPr>
              <w:t>Risk Strategies Corp.’s Weathertrade, Inc.(Connecticut-based company)</w:t>
            </w:r>
          </w:p>
          <w:p>
            <w:pPr>
              <w:pStyle w:val="Normal"/>
              <w:numPr>
                <w:ilvl w:val="0"/>
                <w:numId w:val="60"/>
              </w:numPr>
              <w:rPr>
                <w:sz w:val="24"/>
              </w:rPr>
            </w:pPr>
            <w:r>
              <w:rPr>
                <w:sz w:val="24"/>
              </w:rPr>
              <w:t>Development began in 1997</w:t>
            </w:r>
          </w:p>
        </w:tc>
      </w:tr>
      <w:tr>
        <w:trPr/>
        <w:tc>
          <w:tcPr>
            <w:tcW w:w="2178" w:type="dxa"/>
            <w:tcBorders/>
          </w:tcPr>
          <w:p>
            <w:pPr>
              <w:pStyle w:val="Normal"/>
              <w:snapToGrid w:val="false"/>
              <w:rPr>
                <w:b/>
                <w:color w:val="0000FF"/>
                <w:sz w:val="24"/>
              </w:rPr>
            </w:pPr>
            <w:r>
              <w:rPr>
                <w:b/>
                <w:color w:val="0000FF"/>
                <w:sz w:val="24"/>
              </w:rPr>
            </w:r>
          </w:p>
        </w:tc>
        <w:tc>
          <w:tcPr>
            <w:tcW w:w="9000" w:type="dxa"/>
            <w:tcBorders/>
          </w:tcPr>
          <w:p>
            <w:pPr>
              <w:pStyle w:val="Heading2"/>
              <w:snapToGrid w:val="false"/>
              <w:ind w:hanging="0" w:start="0"/>
              <w:rPr>
                <w:b/>
                <w:color w:val="0000FF"/>
                <w:sz w:val="24"/>
              </w:rPr>
            </w:pPr>
            <w:r>
              <w:rPr>
                <w:b/>
                <w:color w:val="0000FF"/>
                <w:sz w:val="24"/>
              </w:rPr>
            </w:r>
          </w:p>
        </w:tc>
      </w:tr>
      <w:tr>
        <w:trPr/>
        <w:tc>
          <w:tcPr>
            <w:tcW w:w="2178" w:type="dxa"/>
            <w:tcBorders/>
          </w:tcPr>
          <w:p>
            <w:pPr>
              <w:pStyle w:val="Normal"/>
              <w:rPr>
                <w:b/>
                <w:color w:val="0000FF"/>
                <w:sz w:val="24"/>
              </w:rPr>
            </w:pPr>
            <w:r>
              <w:rPr>
                <w:b/>
                <w:color w:val="0000FF"/>
                <w:sz w:val="24"/>
              </w:rPr>
              <w:t>Management</w:t>
            </w:r>
          </w:p>
        </w:tc>
        <w:tc>
          <w:tcPr>
            <w:tcW w:w="9000" w:type="dxa"/>
            <w:tcBorders/>
          </w:tcPr>
          <w:p>
            <w:pPr>
              <w:pStyle w:val="Heading2"/>
              <w:ind w:hanging="0" w:start="0"/>
              <w:rPr>
                <w:b/>
              </w:rPr>
            </w:pPr>
            <w:r>
              <w:rPr>
                <w:b/>
              </w:rPr>
              <w:t>Pat Patterson</w:t>
            </w:r>
          </w:p>
          <w:p>
            <w:pPr>
              <w:pStyle w:val="Normal"/>
              <w:rPr>
                <w:i/>
                <w:i/>
                <w:sz w:val="24"/>
              </w:rPr>
            </w:pPr>
            <w:r>
              <w:rPr>
                <w:i/>
                <w:sz w:val="24"/>
              </w:rPr>
              <w:t>President and CEO of Weathertrade, Inc.</w:t>
            </w:r>
          </w:p>
        </w:tc>
      </w:tr>
      <w:tr>
        <w:trPr/>
        <w:tc>
          <w:tcPr>
            <w:tcW w:w="2178" w:type="dxa"/>
            <w:tcBorders/>
          </w:tcPr>
          <w:p>
            <w:pPr>
              <w:pStyle w:val="Normal"/>
              <w:snapToGrid w:val="false"/>
              <w:rPr>
                <w:b/>
                <w:i/>
                <w:i/>
                <w:color w:val="0000FF"/>
                <w:sz w:val="24"/>
              </w:rPr>
            </w:pPr>
            <w:r>
              <w:rPr>
                <w:b/>
                <w:i/>
                <w:color w:val="0000FF"/>
                <w:sz w:val="24"/>
              </w:rPr>
            </w:r>
          </w:p>
        </w:tc>
        <w:tc>
          <w:tcPr>
            <w:tcW w:w="9000" w:type="dxa"/>
            <w:tcBorders/>
          </w:tcPr>
          <w:p>
            <w:pPr>
              <w:pStyle w:val="Normal"/>
              <w:snapToGrid w:val="false"/>
              <w:rPr>
                <w:b/>
                <w:color w:val="0000FF"/>
                <w:sz w:val="24"/>
              </w:rPr>
            </w:pPr>
            <w:r>
              <w:rPr>
                <w:b/>
                <w:color w:val="0000FF"/>
                <w:sz w:val="24"/>
              </w:rPr>
            </w:r>
          </w:p>
        </w:tc>
      </w:tr>
      <w:tr>
        <w:trPr/>
        <w:tc>
          <w:tcPr>
            <w:tcW w:w="2178" w:type="dxa"/>
            <w:tcBorders/>
          </w:tcPr>
          <w:p>
            <w:pPr>
              <w:pStyle w:val="Normal"/>
              <w:rPr>
                <w:b/>
                <w:color w:val="0000FF"/>
                <w:sz w:val="24"/>
              </w:rPr>
            </w:pPr>
            <w:r>
              <w:rPr>
                <w:b/>
                <w:color w:val="0000FF"/>
                <w:sz w:val="24"/>
              </w:rPr>
              <w:t>Commodities</w:t>
            </w:r>
          </w:p>
        </w:tc>
        <w:tc>
          <w:tcPr>
            <w:tcW w:w="9000" w:type="dxa"/>
            <w:tcBorders/>
          </w:tcPr>
          <w:p>
            <w:pPr>
              <w:pStyle w:val="Normal"/>
              <w:rPr>
                <w:sz w:val="24"/>
              </w:rPr>
            </w:pPr>
            <w:r>
              <w:rPr>
                <w:sz w:val="24"/>
              </w:rPr>
              <w:t>Weather:</w:t>
            </w:r>
          </w:p>
          <w:p>
            <w:pPr>
              <w:pStyle w:val="Normal"/>
              <w:rPr>
                <w:sz w:val="24"/>
              </w:rPr>
            </w:pPr>
            <w:r>
              <w:rPr>
                <w:sz w:val="24"/>
              </w:rPr>
              <w:t xml:space="preserve">          </w:t>
            </w:r>
            <w:r>
              <w:rPr>
                <w:sz w:val="24"/>
              </w:rPr>
              <w:t>Heating-degree days, Cooling-degree days, Precipitation</w:t>
            </w:r>
          </w:p>
        </w:tc>
      </w:tr>
      <w:tr>
        <w:trPr/>
        <w:tc>
          <w:tcPr>
            <w:tcW w:w="2178" w:type="dxa"/>
            <w:tcBorders/>
          </w:tcPr>
          <w:p>
            <w:pPr>
              <w:pStyle w:val="Normal"/>
              <w:rPr>
                <w:b/>
                <w:color w:val="0000FF"/>
                <w:sz w:val="24"/>
              </w:rPr>
            </w:pPr>
            <w:r>
              <w:rPr>
                <w:b/>
                <w:color w:val="0000FF"/>
                <w:sz w:val="24"/>
              </w:rPr>
              <w:t>Products</w:t>
            </w:r>
          </w:p>
        </w:tc>
        <w:tc>
          <w:tcPr>
            <w:tcW w:w="9000" w:type="dxa"/>
            <w:tcBorders/>
          </w:tcPr>
          <w:p>
            <w:pPr>
              <w:pStyle w:val="Normal"/>
              <w:numPr>
                <w:ilvl w:val="0"/>
                <w:numId w:val="65"/>
              </w:numPr>
              <w:rPr>
                <w:sz w:val="24"/>
              </w:rPr>
            </w:pPr>
            <w:r>
              <w:rPr>
                <w:sz w:val="24"/>
              </w:rPr>
              <w:t>Collars</w:t>
            </w:r>
          </w:p>
          <w:p>
            <w:pPr>
              <w:pStyle w:val="Normal"/>
              <w:numPr>
                <w:ilvl w:val="0"/>
                <w:numId w:val="65"/>
              </w:numPr>
              <w:rPr>
                <w:sz w:val="24"/>
              </w:rPr>
            </w:pPr>
            <w:r>
              <w:rPr>
                <w:sz w:val="24"/>
              </w:rPr>
              <w:t>Puts</w:t>
            </w:r>
          </w:p>
          <w:p>
            <w:pPr>
              <w:pStyle w:val="Normal"/>
              <w:numPr>
                <w:ilvl w:val="0"/>
                <w:numId w:val="65"/>
              </w:numPr>
              <w:rPr>
                <w:sz w:val="24"/>
              </w:rPr>
            </w:pPr>
            <w:r>
              <w:rPr>
                <w:sz w:val="24"/>
              </w:rPr>
              <w:t>Calls</w:t>
            </w:r>
          </w:p>
          <w:p>
            <w:pPr>
              <w:pStyle w:val="Normal"/>
              <w:numPr>
                <w:ilvl w:val="0"/>
                <w:numId w:val="65"/>
              </w:numPr>
              <w:rPr>
                <w:sz w:val="24"/>
              </w:rPr>
            </w:pPr>
            <w:r>
              <w:rPr>
                <w:sz w:val="24"/>
              </w:rPr>
              <w:t>Swaps</w:t>
            </w:r>
          </w:p>
        </w:tc>
      </w:tr>
      <w:tr>
        <w:trPr/>
        <w:tc>
          <w:tcPr>
            <w:tcW w:w="2178" w:type="dxa"/>
            <w:tcBorders/>
          </w:tcPr>
          <w:p>
            <w:pPr>
              <w:pStyle w:val="Normal"/>
              <w:snapToGrid w:val="false"/>
              <w:rPr>
                <w:b/>
                <w:color w:val="0000FF"/>
                <w:sz w:val="24"/>
              </w:rPr>
            </w:pPr>
            <w:r>
              <w:rPr>
                <w:b/>
                <w:color w:val="0000FF"/>
                <w:sz w:val="24"/>
              </w:rPr>
            </w:r>
          </w:p>
        </w:tc>
        <w:tc>
          <w:tcPr>
            <w:tcW w:w="9000" w:type="dxa"/>
            <w:tcBorders/>
          </w:tcPr>
          <w:p>
            <w:pPr>
              <w:pStyle w:val="Normal"/>
              <w:snapToGrid w:val="false"/>
              <w:rPr>
                <w:b/>
                <w:color w:val="0000FF"/>
                <w:sz w:val="24"/>
              </w:rPr>
            </w:pPr>
            <w:r>
              <w:rPr>
                <w:b/>
                <w:color w:val="0000FF"/>
                <w:sz w:val="24"/>
              </w:rPr>
            </w:r>
          </w:p>
        </w:tc>
      </w:tr>
      <w:tr>
        <w:trPr/>
        <w:tc>
          <w:tcPr>
            <w:tcW w:w="2178" w:type="dxa"/>
            <w:tcBorders/>
          </w:tcPr>
          <w:p>
            <w:pPr>
              <w:pStyle w:val="Normal"/>
              <w:rPr>
                <w:b/>
                <w:color w:val="0000FF"/>
                <w:sz w:val="24"/>
              </w:rPr>
            </w:pPr>
            <w:r>
              <w:rPr>
                <w:b/>
                <w:color w:val="0000FF"/>
                <w:sz w:val="24"/>
              </w:rPr>
              <w:t>Features</w:t>
            </w:r>
          </w:p>
        </w:tc>
        <w:tc>
          <w:tcPr>
            <w:tcW w:w="9000" w:type="dxa"/>
            <w:tcBorders/>
          </w:tcPr>
          <w:p>
            <w:pPr>
              <w:pStyle w:val="Normal"/>
              <w:numPr>
                <w:ilvl w:val="0"/>
                <w:numId w:val="65"/>
              </w:numPr>
              <w:rPr>
                <w:sz w:val="24"/>
              </w:rPr>
            </w:pPr>
            <w:r>
              <w:rPr>
                <w:sz w:val="24"/>
              </w:rPr>
              <w:t>Weather forecasts</w:t>
            </w:r>
          </w:p>
          <w:p>
            <w:pPr>
              <w:pStyle w:val="Normal"/>
              <w:numPr>
                <w:ilvl w:val="0"/>
                <w:numId w:val="65"/>
              </w:numPr>
              <w:rPr>
                <w:sz w:val="24"/>
              </w:rPr>
            </w:pPr>
            <w:r>
              <w:rPr>
                <w:sz w:val="24"/>
              </w:rPr>
              <w:t>Price modeling to help a trader determine premiums or “burn rates” for a particular city in a particular deal</w:t>
            </w:r>
          </w:p>
          <w:p>
            <w:pPr>
              <w:pStyle w:val="Normal"/>
              <w:numPr>
                <w:ilvl w:val="0"/>
                <w:numId w:val="65"/>
              </w:numPr>
              <w:rPr>
                <w:sz w:val="24"/>
              </w:rPr>
            </w:pPr>
            <w:r>
              <w:rPr>
                <w:sz w:val="24"/>
              </w:rPr>
              <w:t>Live view of bids, offers, and their status</w:t>
            </w:r>
          </w:p>
          <w:p>
            <w:pPr>
              <w:pStyle w:val="Normal"/>
              <w:numPr>
                <w:ilvl w:val="0"/>
                <w:numId w:val="65"/>
              </w:numPr>
              <w:rPr>
                <w:sz w:val="24"/>
              </w:rPr>
            </w:pPr>
            <w:r>
              <w:rPr>
                <w:sz w:val="24"/>
              </w:rPr>
              <w:t>Traders can set a payment amount per-degree-day with a “limit strike” of a specific number of days</w:t>
            </w:r>
          </w:p>
        </w:tc>
      </w:tr>
      <w:tr>
        <w:trPr/>
        <w:tc>
          <w:tcPr>
            <w:tcW w:w="2178" w:type="dxa"/>
            <w:tcBorders/>
          </w:tcPr>
          <w:p>
            <w:pPr>
              <w:pStyle w:val="Normal"/>
              <w:snapToGrid w:val="false"/>
              <w:rPr>
                <w:b/>
                <w:color w:val="0000FF"/>
                <w:sz w:val="24"/>
              </w:rPr>
            </w:pPr>
            <w:r>
              <w:rPr>
                <w:b/>
                <w:color w:val="0000FF"/>
                <w:sz w:val="24"/>
              </w:rPr>
            </w:r>
          </w:p>
        </w:tc>
        <w:tc>
          <w:tcPr>
            <w:tcW w:w="9000" w:type="dxa"/>
            <w:tcBorders/>
          </w:tcPr>
          <w:p>
            <w:pPr>
              <w:pStyle w:val="Normal"/>
              <w:snapToGrid w:val="false"/>
              <w:rPr>
                <w:b/>
                <w:color w:val="FF0000"/>
                <w:sz w:val="24"/>
              </w:rPr>
            </w:pPr>
            <w:r>
              <w:rPr>
                <w:b/>
                <w:color w:val="FF0000"/>
                <w:sz w:val="24"/>
              </w:rPr>
            </w:r>
          </w:p>
        </w:tc>
      </w:tr>
      <w:tr>
        <w:trPr/>
        <w:tc>
          <w:tcPr>
            <w:tcW w:w="2178" w:type="dxa"/>
            <w:tcBorders/>
          </w:tcPr>
          <w:p>
            <w:pPr>
              <w:pStyle w:val="Normal"/>
              <w:rPr>
                <w:b/>
                <w:color w:val="0000FF"/>
                <w:sz w:val="24"/>
              </w:rPr>
            </w:pPr>
            <w:r>
              <w:rPr>
                <w:b/>
                <w:color w:val="0000FF"/>
                <w:sz w:val="24"/>
              </w:rPr>
              <w:t>Restrictions</w:t>
            </w:r>
          </w:p>
        </w:tc>
        <w:tc>
          <w:tcPr>
            <w:tcW w:w="9000" w:type="dxa"/>
            <w:tcBorders/>
          </w:tcPr>
          <w:p>
            <w:pPr>
              <w:pStyle w:val="Normal"/>
              <w:rPr>
                <w:color w:val="FF0000"/>
                <w:sz w:val="24"/>
              </w:rPr>
            </w:pPr>
            <w:r>
              <w:rPr>
                <w:sz w:val="24"/>
              </w:rPr>
              <w:t xml:space="preserve">Will deal </w:t>
            </w:r>
            <w:r>
              <w:rPr>
                <w:b/>
                <w:sz w:val="24"/>
              </w:rPr>
              <w:t>solely with over-the-counter weather products</w:t>
            </w:r>
            <w:r>
              <w:rPr>
                <w:sz w:val="24"/>
              </w:rPr>
              <w:t>, not the HDD and CDD futures contracts opened by the Chicago Mercantile Exchange last month</w:t>
            </w:r>
          </w:p>
        </w:tc>
      </w:tr>
    </w:tbl>
    <w:p>
      <w:pPr>
        <w:pStyle w:val="Normal"/>
        <w:spacing w:before="120" w:after="120"/>
        <w:rPr>
          <w:sz w:val="36"/>
          <w:lang w:val="en-CA"/>
        </w:rPr>
      </w:pPr>
      <w:r>
        <w:rPr>
          <w:sz w:val="36"/>
          <w:lang w:val="en-CA"/>
        </w:rPr>
        <w:object w:dxaOrig="1681" w:dyaOrig="2041">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7.2pt;margin-top:26.15pt;width:72.1pt;height:87.55pt;mso-wrap-distance-left:9.05pt;mso-wrap-distance-right:9.05pt;mso-position-horizontal-relative:text;mso-position-vertical-relative:text" filled="f" o:ole="">
            <v:imagedata r:id="rId15" o:title=""/>
            <w10:wrap type="tight"/>
          </v:shape>
          <o:OLEObject Type="Embed" ProgID="Word.Document.12" ShapeID="ole_rId14" DrawAspect="Content" ObjectID="_1560862739" r:id="rId14"/>
        </w:object>
      </w:r>
    </w:p>
    <w:p>
      <w:pPr>
        <w:pStyle w:val="Normal"/>
        <w:spacing w:before="120" w:after="120"/>
        <w:rPr>
          <w:sz w:val="28"/>
        </w:rPr>
      </w:pPr>
      <w:r>
        <w:rPr>
          <w:sz w:val="28"/>
        </w:rPr>
      </w:r>
    </w:p>
    <w:p>
      <w:pPr>
        <w:pStyle w:val="Normal"/>
        <w:spacing w:before="120" w:after="120"/>
        <w:rPr>
          <w:sz w:val="28"/>
        </w:rPr>
      </w:pPr>
      <w:r>
        <w:rPr>
          <w:sz w:val="28"/>
        </w:rPr>
      </w:r>
    </w:p>
    <w:p>
      <w:pPr>
        <w:pStyle w:val="Normal"/>
        <w:spacing w:before="120" w:after="120"/>
        <w:jc w:val="both"/>
        <w:rPr>
          <w:sz w:val="28"/>
        </w:rPr>
      </w:pPr>
      <w:r>
        <w:rPr>
          <w:sz w:val="28"/>
        </w:rPr>
      </w:r>
    </w:p>
    <w:p>
      <w:pPr>
        <w:pStyle w:val="Normal"/>
        <w:pBdr>
          <w:top w:val="single" w:sz="18" w:space="1" w:color="000000"/>
        </w:pBdr>
        <w:rPr>
          <w:sz w:val="28"/>
        </w:rPr>
      </w:pPr>
      <w:r>
        <w:rPr>
          <w:sz w:val="28"/>
        </w:rPr>
      </w:r>
    </w:p>
    <w:p>
      <w:pPr>
        <w:pStyle w:val="BodyText"/>
        <w:jc w:val="both"/>
        <w:rPr/>
      </w:pPr>
      <w:r>
        <w:rPr/>
        <w:t xml:space="preserve">On </w:t>
      </w:r>
      <w:r>
        <w:rPr>
          <w:b/>
        </w:rPr>
        <w:t>May 1,1999</w:t>
      </w:r>
      <w:r>
        <w:rPr/>
        <w:t xml:space="preserve">, Independent System Operator New England (ISO) </w:t>
      </w:r>
      <w:r>
        <w:rPr>
          <w:b/>
        </w:rPr>
        <w:t>launched a virtual trading floor</w:t>
      </w:r>
      <w:r>
        <w:rPr/>
        <w:t xml:space="preserve"> to connect market participants to the power exchange for the New England wholesale electric market. The Internet allows the ISO to receive bids and contracts for energy and related services from participating organizations, schedule and dispatch energy resources, support settlements and billing for market services, and publish reports detailing market and participant-specific activities.</w:t>
      </w:r>
    </w:p>
    <w:p>
      <w:pPr>
        <w:pStyle w:val="BodyText"/>
        <w:jc w:val="both"/>
        <w:rPr/>
      </w:pPr>
      <w:r>
        <w:rPr/>
      </w:r>
    </w:p>
    <w:p>
      <w:pPr>
        <w:pStyle w:val="BodyText"/>
        <w:jc w:val="both"/>
        <w:rPr/>
      </w:pPr>
      <w:r>
        <w:rPr/>
        <w:t>The ISO New England was established in July 1997 and is responsible for the secure and reliable operation of the NEPOOL region’s bulk electric power grid.  ISO New England administers the wholesale energy and ancillary services markets in New England and the NEPOOL Open Access Transmission Tariff.</w:t>
      </w:r>
    </w:p>
    <w:p>
      <w:pPr>
        <w:pStyle w:val="BodyText"/>
        <w:rPr/>
      </w:pPr>
      <w:r>
        <w:rPr/>
      </w:r>
    </w:p>
    <w:tbl>
      <w:tblPr>
        <w:tblW w:w="11178" w:type="dxa"/>
        <w:jc w:val="start"/>
        <w:tblInd w:w="0" w:type="dxa"/>
        <w:tblLayout w:type="fixed"/>
        <w:tblCellMar>
          <w:top w:w="0" w:type="dxa"/>
          <w:start w:w="108" w:type="dxa"/>
          <w:bottom w:w="0" w:type="dxa"/>
          <w:end w:w="108" w:type="dxa"/>
        </w:tblCellMar>
      </w:tblPr>
      <w:tblGrid>
        <w:gridCol w:w="1728"/>
        <w:gridCol w:w="9450"/>
      </w:tblGrid>
      <w:tr>
        <w:trPr/>
        <w:tc>
          <w:tcPr>
            <w:tcW w:w="1728" w:type="dxa"/>
            <w:tcBorders/>
          </w:tcPr>
          <w:p>
            <w:pPr>
              <w:pStyle w:val="Heading1"/>
              <w:ind w:hanging="0" w:start="0"/>
              <w:rPr>
                <w:color w:val="808080"/>
                <w:sz w:val="24"/>
              </w:rPr>
            </w:pPr>
            <w:r>
              <w:rPr>
                <w:color w:val="808080"/>
                <w:sz w:val="24"/>
              </w:rPr>
              <w:t>Physical Headquarters</w:t>
            </w:r>
          </w:p>
        </w:tc>
        <w:tc>
          <w:tcPr>
            <w:tcW w:w="9450" w:type="dxa"/>
            <w:tcBorders/>
          </w:tcPr>
          <w:p>
            <w:pPr>
              <w:pStyle w:val="Heading2"/>
              <w:ind w:hanging="0" w:start="0"/>
              <w:rPr/>
            </w:pPr>
            <w:r>
              <w:rPr/>
              <w:t>Holyoke, Massachusetts</w:t>
            </w:r>
          </w:p>
        </w:tc>
      </w:tr>
      <w:tr>
        <w:trPr/>
        <w:tc>
          <w:tcPr>
            <w:tcW w:w="1728" w:type="dxa"/>
            <w:tcBorders/>
          </w:tcPr>
          <w:p>
            <w:pPr>
              <w:pStyle w:val="Heading1"/>
              <w:snapToGrid w:val="false"/>
              <w:ind w:hanging="0" w:start="0"/>
              <w:rPr>
                <w:color w:val="808080"/>
                <w:sz w:val="24"/>
              </w:rPr>
            </w:pPr>
            <w:r>
              <w:rPr>
                <w:color w:val="808080"/>
                <w:sz w:val="24"/>
              </w:rPr>
            </w:r>
          </w:p>
        </w:tc>
        <w:tc>
          <w:tcPr>
            <w:tcW w:w="9450" w:type="dxa"/>
            <w:tcBorders/>
          </w:tcPr>
          <w:p>
            <w:pPr>
              <w:pStyle w:val="Normal"/>
              <w:snapToGrid w:val="false"/>
              <w:rPr>
                <w:color w:val="808080"/>
                <w:sz w:val="24"/>
              </w:rPr>
            </w:pPr>
            <w:r>
              <w:rPr>
                <w:color w:val="808080"/>
                <w:sz w:val="24"/>
              </w:rPr>
            </w:r>
          </w:p>
        </w:tc>
      </w:tr>
      <w:tr>
        <w:trPr/>
        <w:tc>
          <w:tcPr>
            <w:tcW w:w="1728" w:type="dxa"/>
            <w:tcBorders/>
          </w:tcPr>
          <w:p>
            <w:pPr>
              <w:pStyle w:val="Heading1"/>
              <w:ind w:hanging="0" w:start="0"/>
              <w:rPr>
                <w:color w:val="808080"/>
                <w:sz w:val="24"/>
              </w:rPr>
            </w:pPr>
            <w:r>
              <w:rPr>
                <w:color w:val="808080"/>
                <w:sz w:val="24"/>
              </w:rPr>
              <w:t>Commodity</w:t>
            </w:r>
          </w:p>
        </w:tc>
        <w:tc>
          <w:tcPr>
            <w:tcW w:w="9450" w:type="dxa"/>
            <w:tcBorders/>
          </w:tcPr>
          <w:p>
            <w:pPr>
              <w:pStyle w:val="Normal"/>
              <w:rPr/>
            </w:pPr>
            <w:r>
              <w:rPr>
                <w:b/>
                <w:sz w:val="24"/>
              </w:rPr>
              <w:t>Power:</w:t>
            </w:r>
            <w:r>
              <w:rPr>
                <w:sz w:val="24"/>
              </w:rPr>
              <w:t xml:space="preserve"> for day ahead and hourly market for the NEPOOL region (Connecticut, Massachusetts, Rhode Island, Maine, Vermont, and New Hampshire)</w:t>
            </w:r>
          </w:p>
        </w:tc>
      </w:tr>
      <w:tr>
        <w:trPr/>
        <w:tc>
          <w:tcPr>
            <w:tcW w:w="1728" w:type="dxa"/>
            <w:tcBorders/>
          </w:tcPr>
          <w:p>
            <w:pPr>
              <w:pStyle w:val="Normal"/>
              <w:snapToGrid w:val="false"/>
              <w:rPr>
                <w:b/>
                <w:color w:val="808080"/>
                <w:sz w:val="24"/>
              </w:rPr>
            </w:pPr>
            <w:r>
              <w:rPr>
                <w:b/>
                <w:color w:val="808080"/>
                <w:sz w:val="24"/>
              </w:rPr>
            </w:r>
          </w:p>
        </w:tc>
        <w:tc>
          <w:tcPr>
            <w:tcW w:w="9450" w:type="dxa"/>
            <w:tcBorders/>
          </w:tcPr>
          <w:p>
            <w:pPr>
              <w:pStyle w:val="Normal"/>
              <w:snapToGrid w:val="false"/>
              <w:rPr>
                <w:b/>
                <w:color w:val="808080"/>
                <w:sz w:val="24"/>
              </w:rPr>
            </w:pPr>
            <w:r>
              <w:rPr>
                <w:b/>
                <w:color w:val="808080"/>
                <w:sz w:val="24"/>
              </w:rPr>
            </w:r>
          </w:p>
        </w:tc>
      </w:tr>
      <w:tr>
        <w:trPr/>
        <w:tc>
          <w:tcPr>
            <w:tcW w:w="1728" w:type="dxa"/>
            <w:tcBorders/>
          </w:tcPr>
          <w:p>
            <w:pPr>
              <w:pStyle w:val="Heading5"/>
              <w:ind w:hanging="0" w:start="0"/>
              <w:rPr>
                <w:color w:val="808080"/>
              </w:rPr>
            </w:pPr>
            <w:r>
              <w:rPr>
                <w:color w:val="808080"/>
              </w:rPr>
              <w:t>Products</w:t>
            </w:r>
          </w:p>
        </w:tc>
        <w:tc>
          <w:tcPr>
            <w:tcW w:w="9450" w:type="dxa"/>
            <w:tcBorders/>
          </w:tcPr>
          <w:p>
            <w:pPr>
              <w:pStyle w:val="Normal"/>
              <w:rPr/>
            </w:pPr>
            <w:r>
              <w:rPr>
                <w:sz w:val="24"/>
              </w:rPr>
              <w:t xml:space="preserve">Offers </w:t>
            </w:r>
            <w:r>
              <w:rPr>
                <w:b/>
                <w:sz w:val="24"/>
              </w:rPr>
              <w:t>seven wholesale electricity products</w:t>
            </w:r>
            <w:r>
              <w:rPr>
                <w:sz w:val="24"/>
              </w:rPr>
              <w:t xml:space="preserve"> in the “energy” and “reliable” markets.  Wholesale buyers can purchase all or some of their electricity needs at a competitively bid, market clearing price in the new “spot” market.  </w:t>
            </w:r>
          </w:p>
          <w:p>
            <w:pPr>
              <w:pStyle w:val="Normal"/>
              <w:rPr>
                <w:sz w:val="24"/>
              </w:rPr>
            </w:pPr>
            <w:r>
              <w:rPr>
                <w:sz w:val="24"/>
              </w:rPr>
            </w:r>
          </w:p>
        </w:tc>
      </w:tr>
      <w:tr>
        <w:trPr/>
        <w:tc>
          <w:tcPr>
            <w:tcW w:w="1728" w:type="dxa"/>
            <w:tcBorders/>
          </w:tcPr>
          <w:p>
            <w:pPr>
              <w:pStyle w:val="Normal"/>
              <w:snapToGrid w:val="false"/>
              <w:rPr>
                <w:b/>
                <w:color w:val="808080"/>
                <w:sz w:val="24"/>
              </w:rPr>
            </w:pPr>
            <w:r>
              <w:rPr>
                <w:b/>
                <w:color w:val="808080"/>
                <w:sz w:val="24"/>
              </w:rPr>
            </w:r>
          </w:p>
        </w:tc>
        <w:tc>
          <w:tcPr>
            <w:tcW w:w="9450" w:type="dxa"/>
            <w:tcBorders/>
          </w:tcPr>
          <w:p>
            <w:pPr>
              <w:pStyle w:val="Normal"/>
              <w:snapToGrid w:val="false"/>
              <w:rPr>
                <w:b/>
                <w:i/>
                <w:i/>
                <w:color w:val="808080"/>
                <w:sz w:val="24"/>
              </w:rPr>
            </w:pPr>
            <w:r>
              <w:rPr>
                <w:b/>
                <w:i/>
                <w:color w:val="808080"/>
                <w:sz w:val="24"/>
              </w:rPr>
            </w:r>
          </w:p>
        </w:tc>
      </w:tr>
      <w:tr>
        <w:trPr/>
        <w:tc>
          <w:tcPr>
            <w:tcW w:w="1728" w:type="dxa"/>
            <w:tcBorders/>
          </w:tcPr>
          <w:p>
            <w:pPr>
              <w:pStyle w:val="Heading5"/>
              <w:ind w:hanging="0" w:start="0"/>
              <w:rPr>
                <w:color w:val="808080"/>
              </w:rPr>
            </w:pPr>
            <w:r>
              <w:rPr>
                <w:color w:val="808080"/>
              </w:rPr>
              <w:t>Participants</w:t>
            </w:r>
          </w:p>
        </w:tc>
        <w:tc>
          <w:tcPr>
            <w:tcW w:w="9450" w:type="dxa"/>
            <w:tcBorders/>
          </w:tcPr>
          <w:p>
            <w:pPr>
              <w:pStyle w:val="Normal"/>
              <w:rPr>
                <w:sz w:val="24"/>
              </w:rPr>
            </w:pPr>
            <w:r>
              <w:rPr>
                <w:sz w:val="24"/>
              </w:rPr>
              <w:t>130 electric generators, suppliers, marketers, brokers and load aggregators</w:t>
            </w:r>
          </w:p>
        </w:tc>
      </w:tr>
      <w:tr>
        <w:trPr/>
        <w:tc>
          <w:tcPr>
            <w:tcW w:w="1728" w:type="dxa"/>
            <w:tcBorders/>
          </w:tcPr>
          <w:p>
            <w:pPr>
              <w:pStyle w:val="Normal"/>
              <w:snapToGrid w:val="false"/>
              <w:rPr>
                <w:b/>
                <w:color w:val="808080"/>
                <w:sz w:val="24"/>
              </w:rPr>
            </w:pPr>
            <w:r>
              <w:rPr>
                <w:b/>
                <w:color w:val="808080"/>
                <w:sz w:val="24"/>
              </w:rPr>
            </w:r>
          </w:p>
        </w:tc>
        <w:tc>
          <w:tcPr>
            <w:tcW w:w="9450" w:type="dxa"/>
            <w:tcBorders/>
          </w:tcPr>
          <w:p>
            <w:pPr>
              <w:pStyle w:val="Normal"/>
              <w:snapToGrid w:val="false"/>
              <w:rPr>
                <w:b/>
                <w:color w:val="808080"/>
                <w:sz w:val="24"/>
                <w:u w:val="single"/>
              </w:rPr>
            </w:pPr>
            <w:r>
              <w:rPr>
                <w:b/>
                <w:color w:val="808080"/>
                <w:sz w:val="24"/>
                <w:u w:val="single"/>
              </w:rPr>
            </w:r>
          </w:p>
        </w:tc>
      </w:tr>
      <w:tr>
        <w:trPr/>
        <w:tc>
          <w:tcPr>
            <w:tcW w:w="1728" w:type="dxa"/>
            <w:tcBorders/>
          </w:tcPr>
          <w:p>
            <w:pPr>
              <w:pStyle w:val="Heading5"/>
              <w:ind w:hanging="0" w:start="0"/>
              <w:rPr>
                <w:color w:val="808080"/>
              </w:rPr>
            </w:pPr>
            <w:r>
              <w:rPr>
                <w:color w:val="808080"/>
              </w:rPr>
              <w:t>Restrictions</w:t>
            </w:r>
          </w:p>
        </w:tc>
        <w:tc>
          <w:tcPr>
            <w:tcW w:w="9450" w:type="dxa"/>
            <w:tcBorders/>
          </w:tcPr>
          <w:p>
            <w:pPr>
              <w:pStyle w:val="Normal"/>
              <w:rPr/>
            </w:pPr>
            <w:r>
              <w:rPr>
                <w:sz w:val="24"/>
              </w:rPr>
              <w:t xml:space="preserve">A company </w:t>
            </w:r>
            <w:r>
              <w:rPr>
                <w:b/>
                <w:sz w:val="24"/>
              </w:rPr>
              <w:t>must be a member of NEPOOL</w:t>
            </w:r>
            <w:r>
              <w:rPr>
                <w:sz w:val="24"/>
              </w:rPr>
              <w:t xml:space="preserve"> or transact business through a NEPOOL member</w:t>
            </w:r>
          </w:p>
        </w:tc>
      </w:tr>
      <w:tr>
        <w:trPr/>
        <w:tc>
          <w:tcPr>
            <w:tcW w:w="1728" w:type="dxa"/>
            <w:tcBorders/>
          </w:tcPr>
          <w:p>
            <w:pPr>
              <w:pStyle w:val="Normal"/>
              <w:snapToGrid w:val="false"/>
              <w:rPr>
                <w:b/>
                <w:color w:val="808080"/>
                <w:sz w:val="24"/>
              </w:rPr>
            </w:pPr>
            <w:r>
              <w:rPr>
                <w:b/>
                <w:color w:val="808080"/>
                <w:sz w:val="24"/>
              </w:rPr>
            </w:r>
          </w:p>
        </w:tc>
        <w:tc>
          <w:tcPr>
            <w:tcW w:w="9450" w:type="dxa"/>
            <w:tcBorders/>
          </w:tcPr>
          <w:p>
            <w:pPr>
              <w:pStyle w:val="Normal"/>
              <w:snapToGrid w:val="false"/>
              <w:rPr>
                <w:b/>
                <w:color w:val="808080"/>
                <w:sz w:val="24"/>
              </w:rPr>
            </w:pPr>
            <w:r>
              <w:rPr>
                <w:b/>
                <w:color w:val="808080"/>
                <w:sz w:val="24"/>
              </w:rPr>
            </w:r>
          </w:p>
        </w:tc>
      </w:tr>
      <w:tr>
        <w:trPr/>
        <w:tc>
          <w:tcPr>
            <w:tcW w:w="1728" w:type="dxa"/>
            <w:tcBorders/>
          </w:tcPr>
          <w:p>
            <w:pPr>
              <w:pStyle w:val="Normal"/>
              <w:rPr>
                <w:b/>
                <w:color w:val="808080"/>
                <w:sz w:val="24"/>
              </w:rPr>
            </w:pPr>
            <w:r>
              <w:rPr>
                <w:b/>
                <w:color w:val="808080"/>
                <w:sz w:val="24"/>
              </w:rPr>
              <w:t>Joint Ventures</w:t>
            </w:r>
          </w:p>
        </w:tc>
        <w:tc>
          <w:tcPr>
            <w:tcW w:w="9450" w:type="dxa"/>
            <w:tcBorders/>
          </w:tcPr>
          <w:p>
            <w:pPr>
              <w:pStyle w:val="Normal"/>
              <w:rPr/>
            </w:pPr>
            <w:r>
              <w:rPr>
                <w:sz w:val="24"/>
              </w:rPr>
              <w:t xml:space="preserve">ISO New England signed a Memorandum of Understanding with </w:t>
            </w:r>
            <w:r>
              <w:rPr>
                <w:b/>
                <w:sz w:val="24"/>
              </w:rPr>
              <w:t>the ISO New York and PJM Interconnection,</w:t>
            </w:r>
            <w:r>
              <w:rPr>
                <w:sz w:val="24"/>
              </w:rPr>
              <w:t xml:space="preserve"> LLC (ISO Mid-Atlantic region).  The goal is to work together to share information, enhance power supply reliability and to facilitate competition in the wholesale market.  The New York ISO was scheduled to begin operations in September 1999, with an initiative to administer an open, </w:t>
            </w:r>
            <w:r>
              <w:rPr>
                <w:b/>
                <w:sz w:val="24"/>
              </w:rPr>
              <w:t>competitive wholesale electricity market</w:t>
            </w:r>
            <w:r>
              <w:rPr>
                <w:sz w:val="24"/>
              </w:rPr>
              <w:t>. The three ISOs together represent more then twenty percent of the peak load served to the Eastern Interconnection.</w:t>
            </w:r>
          </w:p>
        </w:tc>
      </w:tr>
      <w:tr>
        <w:trPr/>
        <w:tc>
          <w:tcPr>
            <w:tcW w:w="1728" w:type="dxa"/>
            <w:tcBorders/>
          </w:tcPr>
          <w:p>
            <w:pPr>
              <w:pStyle w:val="Normal"/>
              <w:snapToGrid w:val="false"/>
              <w:rPr>
                <w:b/>
                <w:color w:val="808080"/>
                <w:sz w:val="24"/>
              </w:rPr>
            </w:pPr>
            <w:r>
              <w:rPr>
                <w:b/>
                <w:color w:val="808080"/>
                <w:sz w:val="24"/>
              </w:rPr>
            </w:r>
          </w:p>
        </w:tc>
        <w:tc>
          <w:tcPr>
            <w:tcW w:w="9450" w:type="dxa"/>
            <w:tcBorders/>
          </w:tcPr>
          <w:p>
            <w:pPr>
              <w:pStyle w:val="Normal"/>
              <w:snapToGrid w:val="false"/>
              <w:rPr>
                <w:b/>
                <w:color w:val="808080"/>
                <w:sz w:val="24"/>
              </w:rPr>
            </w:pPr>
            <w:r>
              <w:rPr>
                <w:b/>
                <w:color w:val="808080"/>
                <w:sz w:val="24"/>
              </w:rPr>
            </w:r>
          </w:p>
        </w:tc>
      </w:tr>
      <w:tr>
        <w:trPr/>
        <w:tc>
          <w:tcPr>
            <w:tcW w:w="1728" w:type="dxa"/>
            <w:tcBorders/>
          </w:tcPr>
          <w:p>
            <w:pPr>
              <w:pStyle w:val="Normal"/>
              <w:rPr>
                <w:b/>
                <w:color w:val="808080"/>
                <w:sz w:val="24"/>
              </w:rPr>
            </w:pPr>
            <w:r>
              <w:rPr>
                <w:b/>
                <w:color w:val="808080"/>
                <w:sz w:val="24"/>
              </w:rPr>
              <w:t>Additional Features</w:t>
            </w:r>
          </w:p>
        </w:tc>
        <w:tc>
          <w:tcPr>
            <w:tcW w:w="9450" w:type="dxa"/>
            <w:tcBorders/>
          </w:tcPr>
          <w:p>
            <w:pPr>
              <w:pStyle w:val="Normal"/>
              <w:numPr>
                <w:ilvl w:val="0"/>
                <w:numId w:val="28"/>
              </w:numPr>
              <w:rPr>
                <w:sz w:val="24"/>
              </w:rPr>
            </w:pPr>
            <w:r>
              <w:rPr>
                <w:sz w:val="24"/>
              </w:rPr>
              <w:t>Open Access Same-Time Information System (OASIS) provides real-time transmission system information and allows customers to reserve transmission services</w:t>
            </w:r>
          </w:p>
          <w:p>
            <w:pPr>
              <w:pStyle w:val="Normal"/>
              <w:numPr>
                <w:ilvl w:val="0"/>
                <w:numId w:val="28"/>
              </w:numPr>
              <w:rPr>
                <w:sz w:val="24"/>
              </w:rPr>
            </w:pPr>
            <w:r>
              <w:rPr>
                <w:sz w:val="24"/>
              </w:rPr>
              <w:t xml:space="preserve">Direct links to the government, industry, and private organization </w:t>
            </w:r>
          </w:p>
          <w:p>
            <w:pPr>
              <w:pStyle w:val="Normal"/>
              <w:numPr>
                <w:ilvl w:val="0"/>
                <w:numId w:val="28"/>
              </w:numPr>
              <w:rPr>
                <w:sz w:val="24"/>
              </w:rPr>
            </w:pPr>
            <w:r>
              <w:rPr>
                <w:b/>
                <w:sz w:val="24"/>
              </w:rPr>
              <w:t>Forecasting</w:t>
            </w:r>
            <w:r>
              <w:rPr>
                <w:sz w:val="24"/>
              </w:rPr>
              <w:t xml:space="preserve"> for:</w:t>
            </w:r>
          </w:p>
          <w:p>
            <w:pPr>
              <w:pStyle w:val="Normal"/>
              <w:rPr>
                <w:sz w:val="24"/>
              </w:rPr>
            </w:pPr>
            <w:r>
              <w:rPr>
                <w:sz w:val="24"/>
              </w:rPr>
              <w:t xml:space="preserve">          </w:t>
            </w:r>
            <w:r>
              <w:rPr>
                <w:sz w:val="24"/>
              </w:rPr>
              <w:t>Daily forecast interchange</w:t>
            </w:r>
          </w:p>
          <w:p>
            <w:pPr>
              <w:pStyle w:val="Normal"/>
              <w:rPr>
                <w:sz w:val="24"/>
              </w:rPr>
            </w:pPr>
            <w:r>
              <w:rPr>
                <w:sz w:val="24"/>
              </w:rPr>
              <w:t xml:space="preserve">          </w:t>
            </w:r>
            <w:r>
              <w:rPr>
                <w:sz w:val="24"/>
              </w:rPr>
              <w:t>Four-day forecast (weather, peaking demand, projected surplus/deficiency)</w:t>
            </w:r>
          </w:p>
          <w:p>
            <w:pPr>
              <w:pStyle w:val="Normal"/>
              <w:rPr>
                <w:sz w:val="24"/>
              </w:rPr>
            </w:pPr>
            <w:r>
              <w:rPr>
                <w:sz w:val="24"/>
              </w:rPr>
              <w:t xml:space="preserve">          </w:t>
            </w:r>
            <w:r>
              <w:rPr>
                <w:sz w:val="24"/>
              </w:rPr>
              <w:t>Operating reserves</w:t>
            </w:r>
          </w:p>
          <w:p>
            <w:pPr>
              <w:pStyle w:val="Normal"/>
              <w:rPr>
                <w:sz w:val="24"/>
              </w:rPr>
            </w:pPr>
            <w:r>
              <w:rPr>
                <w:sz w:val="24"/>
              </w:rPr>
              <w:t xml:space="preserve">          </w:t>
            </w:r>
            <w:r>
              <w:rPr>
                <w:sz w:val="24"/>
              </w:rPr>
              <w:t>AGC requirements</w:t>
            </w:r>
          </w:p>
          <w:p>
            <w:pPr>
              <w:pStyle w:val="Normal"/>
              <w:numPr>
                <w:ilvl w:val="0"/>
                <w:numId w:val="28"/>
              </w:numPr>
              <w:rPr>
                <w:sz w:val="24"/>
              </w:rPr>
            </w:pPr>
            <w:r>
              <w:rPr>
                <w:sz w:val="24"/>
              </w:rPr>
              <w:t>Users can view entire trading history and sort offers and bids by price, term, volume and delivery point</w:t>
            </w:r>
          </w:p>
          <w:p>
            <w:pPr>
              <w:pStyle w:val="Normal"/>
              <w:numPr>
                <w:ilvl w:val="0"/>
                <w:numId w:val="28"/>
              </w:numPr>
              <w:rPr>
                <w:sz w:val="24"/>
              </w:rPr>
            </w:pPr>
            <w:r>
              <w:rPr>
                <w:sz w:val="24"/>
              </w:rPr>
              <w:t>Anonymity: users can enter information about trading agreements and credit status while maintaining anonymity</w:t>
            </w:r>
          </w:p>
        </w:tc>
      </w:tr>
      <w:tr>
        <w:trPr/>
        <w:tc>
          <w:tcPr>
            <w:tcW w:w="1728" w:type="dxa"/>
            <w:tcBorders/>
          </w:tcPr>
          <w:p>
            <w:pPr>
              <w:pStyle w:val="Normal"/>
              <w:snapToGrid w:val="false"/>
              <w:rPr>
                <w:b/>
                <w:color w:val="808080"/>
                <w:sz w:val="24"/>
              </w:rPr>
            </w:pPr>
            <w:r>
              <w:rPr>
                <w:b/>
                <w:color w:val="808080"/>
                <w:sz w:val="24"/>
              </w:rPr>
            </w:r>
          </w:p>
        </w:tc>
        <w:tc>
          <w:tcPr>
            <w:tcW w:w="9450" w:type="dxa"/>
            <w:tcBorders/>
          </w:tcPr>
          <w:p>
            <w:pPr>
              <w:pStyle w:val="BodyText"/>
              <w:snapToGrid w:val="false"/>
              <w:rPr>
                <w:b/>
                <w:color w:val="808080"/>
                <w:sz w:val="24"/>
              </w:rPr>
            </w:pPr>
            <w:r>
              <w:rPr>
                <w:b/>
                <w:color w:val="808080"/>
                <w:sz w:val="24"/>
              </w:rPr>
            </w:r>
          </w:p>
        </w:tc>
      </w:tr>
      <w:tr>
        <w:trPr/>
        <w:tc>
          <w:tcPr>
            <w:tcW w:w="1728" w:type="dxa"/>
            <w:tcBorders/>
          </w:tcPr>
          <w:p>
            <w:pPr>
              <w:pStyle w:val="Heading5"/>
              <w:ind w:hanging="0" w:start="0"/>
              <w:rPr>
                <w:color w:val="808080"/>
              </w:rPr>
            </w:pPr>
            <w:r>
              <w:rPr>
                <w:color w:val="808080"/>
              </w:rPr>
              <w:t>Developers</w:t>
            </w:r>
          </w:p>
        </w:tc>
        <w:tc>
          <w:tcPr>
            <w:tcW w:w="9450" w:type="dxa"/>
            <w:tcBorders/>
          </w:tcPr>
          <w:p>
            <w:pPr>
              <w:pStyle w:val="Normal"/>
              <w:rPr>
                <w:sz w:val="24"/>
              </w:rPr>
            </w:pPr>
            <w:r>
              <w:rPr>
                <w:sz w:val="24"/>
              </w:rPr>
              <w:t xml:space="preserve">Andersen Consulting and ALSTOM ESCA helped the ISO to develop the system and technology infrastructure </w:t>
            </w:r>
          </w:p>
        </w:tc>
      </w:tr>
    </w:tbl>
    <w:p>
      <w:pPr>
        <w:pStyle w:val="BodyText"/>
        <w:pBdr>
          <w:bottom w:val="single" w:sz="18" w:space="1" w:color="000000"/>
        </w:pBdr>
        <w:rPr>
          <w:sz w:val="36"/>
          <w:lang w:val="en-CA"/>
        </w:rPr>
      </w:pPr>
      <w:r>
        <w:rPr>
          <w:sz w:val="36"/>
          <w:lang w:val="en-CA"/>
        </w:rPr>
        <w:drawing>
          <wp:anchor behindDoc="1" distT="0" distB="0" distL="114935" distR="114935" simplePos="0" locked="0" layoutInCell="0" allowOverlap="1" relativeHeight="10">
            <wp:simplePos x="0" y="0"/>
            <wp:positionH relativeFrom="column">
              <wp:posOffset>0</wp:posOffset>
            </wp:positionH>
            <wp:positionV relativeFrom="paragraph">
              <wp:posOffset>174625</wp:posOffset>
            </wp:positionV>
            <wp:extent cx="1771650" cy="372745"/>
            <wp:effectExtent l="0" t="0" r="0" b="0"/>
            <wp:wrapTight wrapText="bothSides">
              <wp:wrapPolygon edited="0">
                <wp:start x="-59" y="0"/>
                <wp:lineTo x="-59" y="21256"/>
                <wp:lineTo x="21599" y="21256"/>
                <wp:lineTo x="21599" y="0"/>
                <wp:lineTo x="-59" y="0"/>
              </wp:wrapPolygon>
            </wp:wrapTight>
            <wp:docPr id="9" name="Natsourc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atsource" descr="" title=""/>
                    <pic:cNvPicPr>
                      <a:picLocks noChangeAspect="1" noChangeArrowheads="1"/>
                    </pic:cNvPicPr>
                  </pic:nvPicPr>
                  <pic:blipFill>
                    <a:blip r:embed="rId16"/>
                    <a:srcRect l="-10" t="-50" r="-10" b="-50"/>
                    <a:stretch>
                      <a:fillRect/>
                    </a:stretch>
                  </pic:blipFill>
                  <pic:spPr bwMode="auto">
                    <a:xfrm>
                      <a:off x="0" y="0"/>
                      <a:ext cx="1771650" cy="372745"/>
                    </a:xfrm>
                    <a:prstGeom prst="rect">
                      <a:avLst/>
                    </a:prstGeom>
                    <a:noFill/>
                  </pic:spPr>
                </pic:pic>
              </a:graphicData>
            </a:graphic>
          </wp:anchor>
        </w:drawing>
      </w:r>
    </w:p>
    <w:p>
      <w:pPr>
        <w:pStyle w:val="BodyText"/>
        <w:pBdr>
          <w:bottom w:val="single" w:sz="18" w:space="1" w:color="000000"/>
        </w:pBdr>
        <w:jc w:val="both"/>
        <w:rPr>
          <w:sz w:val="36"/>
        </w:rPr>
      </w:pPr>
      <w:r>
        <w:rPr>
          <w:sz w:val="36"/>
        </w:rPr>
      </w:r>
    </w:p>
    <w:p>
      <w:pPr>
        <w:pStyle w:val="BodyText"/>
        <w:pBdr>
          <w:bottom w:val="single" w:sz="18" w:space="1" w:color="000000"/>
        </w:pBdr>
        <w:jc w:val="both"/>
        <w:rPr/>
      </w:pPr>
      <w:r>
        <w:rPr/>
      </w:r>
    </w:p>
    <w:p>
      <w:pPr>
        <w:pStyle w:val="BodyText"/>
        <w:pBdr>
          <w:bottom w:val="single" w:sz="18" w:space="1" w:color="000000"/>
        </w:pBdr>
        <w:jc w:val="both"/>
        <w:rPr/>
      </w:pPr>
      <w:r>
        <w:rPr/>
      </w:r>
    </w:p>
    <w:p>
      <w:pPr>
        <w:pStyle w:val="BodyText"/>
        <w:jc w:val="both"/>
        <w:rPr/>
      </w:pPr>
      <w:r>
        <w:rPr/>
      </w:r>
    </w:p>
    <w:p>
      <w:pPr>
        <w:pStyle w:val="BodyText"/>
        <w:jc w:val="both"/>
        <w:rPr/>
      </w:pPr>
      <w:r>
        <w:rPr/>
        <w:t>Natsource is moving toward virtual trading in both the emissions credits and coal markets.  In late September, Natsource launched an electronic bulletin board for the emission credit markets including SO2 and NOx. Emissions traders and affected sources will be able to view live emissions markets through an Internet platform. The site, developed by MoneyLine Network, Inc., incorporates real-time updates of emission trading pricing and volume and the capability to, in the future, execute trades electronically.</w:t>
      </w:r>
    </w:p>
    <w:p>
      <w:pPr>
        <w:pStyle w:val="BodyText"/>
        <w:jc w:val="both"/>
        <w:rPr/>
      </w:pPr>
      <w:r>
        <w:rPr/>
      </w:r>
    </w:p>
    <w:p>
      <w:pPr>
        <w:pStyle w:val="BodyText"/>
        <w:jc w:val="both"/>
        <w:rPr/>
      </w:pPr>
      <w:r>
        <w:rPr/>
        <w:t>In mid-October, Natsource opened an Internet site for quotes on coal trading markets. The bulletin board will give clients real-time updates of prices, including quotes for a NYMEX-type product and Powder River Basin coal. (As the coal markets develop, other quotes will be added.) At first, clients will continue to carry out trades by voice confirmation; however, Natsource plans to have electronic confirmation in the near future.</w:t>
      </w:r>
    </w:p>
    <w:p>
      <w:pPr>
        <w:pStyle w:val="BodyText"/>
        <w:spacing w:before="120" w:after="120"/>
        <w:jc w:val="both"/>
        <w:rPr/>
      </w:pPr>
      <w:r>
        <w:rPr/>
        <w:t>Natsource is also considering adapting this electronic bulletin board technology for natural gas and power markets. In addition, it hopes that the emission credits and coal parallel trading platforms will enable it to further facilitate cross-commodity trades between emissions and coal markets.</w:t>
      </w:r>
    </w:p>
    <w:tbl>
      <w:tblPr>
        <w:tblW w:w="11088" w:type="dxa"/>
        <w:jc w:val="start"/>
        <w:tblInd w:w="0" w:type="dxa"/>
        <w:tblLayout w:type="fixed"/>
        <w:tblCellMar>
          <w:top w:w="0" w:type="dxa"/>
          <w:start w:w="108" w:type="dxa"/>
          <w:bottom w:w="0" w:type="dxa"/>
          <w:end w:w="108" w:type="dxa"/>
        </w:tblCellMar>
      </w:tblPr>
      <w:tblGrid>
        <w:gridCol w:w="2178"/>
        <w:gridCol w:w="8910"/>
      </w:tblGrid>
      <w:tr>
        <w:trPr/>
        <w:tc>
          <w:tcPr>
            <w:tcW w:w="2178" w:type="dxa"/>
            <w:tcBorders/>
          </w:tcPr>
          <w:p>
            <w:pPr>
              <w:pStyle w:val="Heading8"/>
              <w:ind w:hanging="0" w:start="0"/>
              <w:rPr/>
            </w:pPr>
            <w:r>
              <w:rPr/>
              <w:t>The Company</w:t>
            </w:r>
          </w:p>
        </w:tc>
        <w:tc>
          <w:tcPr>
            <w:tcW w:w="8910" w:type="dxa"/>
            <w:tcBorders/>
          </w:tcPr>
          <w:p>
            <w:pPr>
              <w:pStyle w:val="Normal"/>
              <w:numPr>
                <w:ilvl w:val="0"/>
                <w:numId w:val="25"/>
              </w:numPr>
              <w:rPr>
                <w:sz w:val="24"/>
              </w:rPr>
            </w:pPr>
            <w:r>
              <w:rPr>
                <w:sz w:val="24"/>
              </w:rPr>
              <w:t>Natsource is a leading broker of energy related products, and participates in the power, natural gas, coal, weather hedging, emissions allowance credit markets</w:t>
            </w:r>
          </w:p>
          <w:p>
            <w:pPr>
              <w:pStyle w:val="Normal"/>
              <w:numPr>
                <w:ilvl w:val="0"/>
                <w:numId w:val="25"/>
              </w:numPr>
              <w:rPr>
                <w:sz w:val="24"/>
              </w:rPr>
            </w:pPr>
            <w:r>
              <w:rPr>
                <w:sz w:val="24"/>
              </w:rPr>
              <w:t>Headquartered in New York</w:t>
            </w:r>
          </w:p>
          <w:p>
            <w:pPr>
              <w:pStyle w:val="Normal"/>
              <w:numPr>
                <w:ilvl w:val="0"/>
                <w:numId w:val="25"/>
              </w:numPr>
              <w:rPr>
                <w:sz w:val="24"/>
              </w:rPr>
            </w:pPr>
            <w:r>
              <w:rPr>
                <w:sz w:val="24"/>
              </w:rPr>
              <w:t>Client base includes over 200 global companies</w:t>
            </w:r>
          </w:p>
        </w:tc>
      </w:tr>
      <w:tr>
        <w:trPr/>
        <w:tc>
          <w:tcPr>
            <w:tcW w:w="2178" w:type="dxa"/>
            <w:tcBorders/>
          </w:tcPr>
          <w:p>
            <w:pPr>
              <w:pStyle w:val="Normal"/>
              <w:snapToGrid w:val="false"/>
              <w:rPr>
                <w:b/>
                <w:sz w:val="24"/>
              </w:rPr>
            </w:pPr>
            <w:r>
              <w:rPr>
                <w:b/>
                <w:sz w:val="24"/>
              </w:rPr>
            </w:r>
          </w:p>
        </w:tc>
        <w:tc>
          <w:tcPr>
            <w:tcW w:w="8910" w:type="dxa"/>
            <w:tcBorders/>
          </w:tcPr>
          <w:p>
            <w:pPr>
              <w:pStyle w:val="Normal"/>
              <w:snapToGrid w:val="false"/>
              <w:rPr>
                <w:b/>
                <w:sz w:val="24"/>
              </w:rPr>
            </w:pPr>
            <w:r>
              <w:rPr>
                <w:b/>
                <w:sz w:val="24"/>
              </w:rPr>
            </w:r>
          </w:p>
        </w:tc>
      </w:tr>
      <w:tr>
        <w:trPr/>
        <w:tc>
          <w:tcPr>
            <w:tcW w:w="2178" w:type="dxa"/>
            <w:tcBorders/>
          </w:tcPr>
          <w:p>
            <w:pPr>
              <w:pStyle w:val="Normal"/>
              <w:rPr>
                <w:b/>
                <w:sz w:val="24"/>
              </w:rPr>
            </w:pPr>
            <w:r>
              <w:rPr>
                <w:b/>
                <w:sz w:val="24"/>
              </w:rPr>
              <w:t>History</w:t>
            </w:r>
          </w:p>
        </w:tc>
        <w:tc>
          <w:tcPr>
            <w:tcW w:w="8910" w:type="dxa"/>
            <w:tcBorders/>
          </w:tcPr>
          <w:p>
            <w:pPr>
              <w:pStyle w:val="Normal"/>
              <w:numPr>
                <w:ilvl w:val="0"/>
                <w:numId w:val="36"/>
              </w:numPr>
              <w:rPr>
                <w:color w:val="000080"/>
                <w:sz w:val="24"/>
              </w:rPr>
            </w:pPr>
            <w:r>
              <w:rPr>
                <w:b/>
                <w:color w:val="000080"/>
                <w:sz w:val="24"/>
              </w:rPr>
              <w:t>FEBRUARY 2000:</w:t>
            </w:r>
            <w:r>
              <w:rPr>
                <w:color w:val="000080"/>
                <w:sz w:val="24"/>
              </w:rPr>
              <w:t xml:space="preserve"> begins the posting of SO2 price information on its Web site; customers will have direct access to an index, based on trades brokered by Natsource, with the weighted average price of SO2 emissions credits </w:t>
            </w:r>
          </w:p>
          <w:p>
            <w:pPr>
              <w:pStyle w:val="Normal"/>
              <w:numPr>
                <w:ilvl w:val="0"/>
                <w:numId w:val="36"/>
              </w:numPr>
              <w:rPr>
                <w:sz w:val="24"/>
              </w:rPr>
            </w:pPr>
            <w:r>
              <w:rPr>
                <w:b/>
                <w:sz w:val="24"/>
              </w:rPr>
              <w:t>OCTOBER 1999:</w:t>
            </w:r>
            <w:r>
              <w:rPr>
                <w:sz w:val="24"/>
              </w:rPr>
              <w:t xml:space="preserve"> launches the first ever web-based quote screen covering SO2 and NOx emission credit trading</w:t>
            </w:r>
          </w:p>
          <w:p>
            <w:pPr>
              <w:pStyle w:val="Normal"/>
              <w:numPr>
                <w:ilvl w:val="0"/>
                <w:numId w:val="36"/>
              </w:numPr>
              <w:rPr>
                <w:sz w:val="24"/>
              </w:rPr>
            </w:pPr>
            <w:r>
              <w:rPr>
                <w:b/>
                <w:sz w:val="24"/>
              </w:rPr>
              <w:t>SEPTEMBER 1999:</w:t>
            </w:r>
            <w:r>
              <w:rPr>
                <w:sz w:val="24"/>
              </w:rPr>
              <w:t xml:space="preserve"> launches web-based quote screen for coal trading markets</w:t>
            </w:r>
          </w:p>
        </w:tc>
      </w:tr>
      <w:tr>
        <w:trPr/>
        <w:tc>
          <w:tcPr>
            <w:tcW w:w="2178" w:type="dxa"/>
            <w:tcBorders/>
          </w:tcPr>
          <w:p>
            <w:pPr>
              <w:pStyle w:val="Normal"/>
              <w:snapToGrid w:val="false"/>
              <w:rPr>
                <w:b/>
                <w:sz w:val="24"/>
              </w:rPr>
            </w:pPr>
            <w:r>
              <w:rPr>
                <w:b/>
                <w:sz w:val="24"/>
              </w:rPr>
            </w:r>
          </w:p>
        </w:tc>
        <w:tc>
          <w:tcPr>
            <w:tcW w:w="8910" w:type="dxa"/>
            <w:tcBorders/>
          </w:tcPr>
          <w:p>
            <w:pPr>
              <w:pStyle w:val="Normal"/>
              <w:snapToGrid w:val="false"/>
              <w:rPr>
                <w:b/>
                <w:sz w:val="24"/>
              </w:rPr>
            </w:pPr>
            <w:r>
              <w:rPr>
                <w:b/>
                <w:sz w:val="24"/>
              </w:rPr>
            </w:r>
          </w:p>
        </w:tc>
      </w:tr>
      <w:tr>
        <w:trPr/>
        <w:tc>
          <w:tcPr>
            <w:tcW w:w="2178" w:type="dxa"/>
            <w:tcBorders/>
          </w:tcPr>
          <w:p>
            <w:pPr>
              <w:pStyle w:val="Normal"/>
              <w:rPr>
                <w:b/>
                <w:sz w:val="24"/>
              </w:rPr>
            </w:pPr>
            <w:r>
              <w:rPr>
                <w:b/>
                <w:sz w:val="24"/>
              </w:rPr>
              <w:t>Management</w:t>
            </w:r>
          </w:p>
        </w:tc>
        <w:tc>
          <w:tcPr>
            <w:tcW w:w="8910" w:type="dxa"/>
            <w:tcBorders/>
          </w:tcPr>
          <w:p>
            <w:pPr>
              <w:pStyle w:val="Heading8"/>
              <w:ind w:hanging="0" w:start="0"/>
              <w:rPr/>
            </w:pPr>
            <w:r>
              <w:rPr/>
              <w:t>Jack Cogen</w:t>
            </w:r>
          </w:p>
          <w:p>
            <w:pPr>
              <w:pStyle w:val="Heading7"/>
              <w:spacing w:before="0" w:after="0"/>
              <w:ind w:hanging="0" w:start="0"/>
              <w:rPr/>
            </w:pPr>
            <w:r>
              <w:rPr/>
              <w:t>President</w:t>
            </w:r>
          </w:p>
        </w:tc>
      </w:tr>
      <w:tr>
        <w:trPr/>
        <w:tc>
          <w:tcPr>
            <w:tcW w:w="2178" w:type="dxa"/>
            <w:tcBorders/>
          </w:tcPr>
          <w:p>
            <w:pPr>
              <w:pStyle w:val="Normal"/>
              <w:snapToGrid w:val="false"/>
              <w:rPr>
                <w:b/>
                <w:sz w:val="24"/>
              </w:rPr>
            </w:pPr>
            <w:r>
              <w:rPr>
                <w:b/>
                <w:sz w:val="24"/>
              </w:rPr>
            </w:r>
          </w:p>
        </w:tc>
        <w:tc>
          <w:tcPr>
            <w:tcW w:w="8910" w:type="dxa"/>
            <w:tcBorders/>
          </w:tcPr>
          <w:p>
            <w:pPr>
              <w:pStyle w:val="Heading2"/>
              <w:snapToGrid w:val="false"/>
              <w:ind w:hanging="0" w:start="0"/>
              <w:rPr>
                <w:b/>
                <w:sz w:val="24"/>
              </w:rPr>
            </w:pPr>
            <w:r>
              <w:rPr>
                <w:b/>
                <w:sz w:val="24"/>
              </w:rPr>
            </w:r>
          </w:p>
        </w:tc>
      </w:tr>
      <w:tr>
        <w:trPr/>
        <w:tc>
          <w:tcPr>
            <w:tcW w:w="2178" w:type="dxa"/>
            <w:tcBorders/>
          </w:tcPr>
          <w:p>
            <w:pPr>
              <w:pStyle w:val="Normal"/>
              <w:rPr>
                <w:b/>
                <w:sz w:val="24"/>
              </w:rPr>
            </w:pPr>
            <w:r>
              <w:rPr>
                <w:b/>
                <w:sz w:val="24"/>
              </w:rPr>
              <w:t>Software Developer</w:t>
            </w:r>
          </w:p>
        </w:tc>
        <w:tc>
          <w:tcPr>
            <w:tcW w:w="8910" w:type="dxa"/>
            <w:tcBorders/>
          </w:tcPr>
          <w:p>
            <w:pPr>
              <w:pStyle w:val="Heading2"/>
              <w:ind w:hanging="0" w:start="0"/>
              <w:rPr/>
            </w:pPr>
            <w:r>
              <w:rPr/>
              <w:t>MoneyLine Network developed the technology for the quote screens</w:t>
            </w:r>
          </w:p>
        </w:tc>
      </w:tr>
      <w:tr>
        <w:trPr/>
        <w:tc>
          <w:tcPr>
            <w:tcW w:w="2178" w:type="dxa"/>
            <w:tcBorders/>
          </w:tcPr>
          <w:p>
            <w:pPr>
              <w:pStyle w:val="Normal"/>
              <w:snapToGrid w:val="false"/>
              <w:rPr>
                <w:b/>
                <w:sz w:val="24"/>
              </w:rPr>
            </w:pPr>
            <w:r>
              <w:rPr>
                <w:b/>
                <w:sz w:val="24"/>
              </w:rPr>
            </w:r>
          </w:p>
        </w:tc>
        <w:tc>
          <w:tcPr>
            <w:tcW w:w="8910" w:type="dxa"/>
            <w:tcBorders/>
          </w:tcPr>
          <w:p>
            <w:pPr>
              <w:pStyle w:val="Normal"/>
              <w:snapToGrid w:val="false"/>
              <w:rPr>
                <w:b/>
                <w:sz w:val="24"/>
              </w:rPr>
            </w:pPr>
            <w:r>
              <w:rPr>
                <w:b/>
                <w:sz w:val="24"/>
              </w:rPr>
            </w:r>
          </w:p>
        </w:tc>
      </w:tr>
      <w:tr>
        <w:trPr/>
        <w:tc>
          <w:tcPr>
            <w:tcW w:w="2178" w:type="dxa"/>
            <w:tcBorders/>
          </w:tcPr>
          <w:p>
            <w:pPr>
              <w:pStyle w:val="Normal"/>
              <w:rPr>
                <w:b/>
                <w:sz w:val="24"/>
              </w:rPr>
            </w:pPr>
            <w:r>
              <w:rPr>
                <w:b/>
                <w:sz w:val="24"/>
              </w:rPr>
              <w:t>Location</w:t>
            </w:r>
          </w:p>
        </w:tc>
        <w:tc>
          <w:tcPr>
            <w:tcW w:w="8910" w:type="dxa"/>
            <w:tcBorders/>
          </w:tcPr>
          <w:p>
            <w:pPr>
              <w:pStyle w:val="Normal"/>
              <w:rPr>
                <w:sz w:val="24"/>
              </w:rPr>
            </w:pPr>
            <w:r>
              <w:rPr>
                <w:sz w:val="24"/>
              </w:rPr>
              <w:t>Through MoneyLine’s Website (www.moneyline.com)</w:t>
            </w:r>
          </w:p>
        </w:tc>
      </w:tr>
    </w:tbl>
    <w:p>
      <w:pPr>
        <w:pStyle w:val="BodyText"/>
        <w:rPr>
          <w:color w:val="008080"/>
          <w:sz w:val="40"/>
        </w:rPr>
      </w:pPr>
      <w:r>
        <w:rPr>
          <w:color w:val="008080"/>
          <w:sz w:val="40"/>
        </w:rPr>
      </w:r>
    </w:p>
    <w:p>
      <w:pPr>
        <w:pStyle w:val="BodyText"/>
        <w:rPr/>
      </w:pPr>
      <w:r>
        <w:rPr>
          <w:color w:val="008080"/>
          <w:sz w:val="44"/>
        </w:rPr>
        <w:t>APB ENERGY, INC</w:t>
      </w:r>
      <w:r>
        <w:rPr/>
        <w:t>.</w:t>
      </w:r>
    </w:p>
    <w:p>
      <w:pPr>
        <w:pStyle w:val="BodyText"/>
        <w:pBdr>
          <w:bottom w:val="single" w:sz="18" w:space="1" w:color="000000"/>
        </w:pBdr>
        <w:rPr/>
      </w:pPr>
      <w:r>
        <w:rPr/>
      </w:r>
    </w:p>
    <w:p>
      <w:pPr>
        <w:pStyle w:val="BodyText"/>
        <w:rPr/>
      </w:pPr>
      <w:r>
        <w:rPr/>
      </w:r>
    </w:p>
    <w:p>
      <w:pPr>
        <w:pStyle w:val="BodyText"/>
        <w:jc w:val="both"/>
        <w:rPr/>
      </w:pPr>
      <w:r>
        <w:rPr/>
        <w:t xml:space="preserve">In June, 1999, APB Energy Inc., released the first stage of its patented online energy trading system, </w:t>
      </w:r>
      <w:r>
        <w:rPr>
          <w:b/>
          <w:i/>
        </w:rPr>
        <w:t>True Quote</w:t>
      </w:r>
      <w:r>
        <w:rPr/>
        <w:t xml:space="preserve">.  This system gives its customers real-time access to quotes for natural gas products. </w:t>
      </w:r>
      <w:r>
        <w:rPr>
          <w:color w:val="000080"/>
        </w:rPr>
        <w:t xml:space="preserve">The commercial version of True Quote for power will become available during the first quarter of 2000, True Quote for Power will provide the same accurate and all encompassing view of the market that Natural Gas customers have currently. Both True Quote for power and gas will soon add the option of online trading. </w:t>
      </w:r>
      <w:r>
        <w:rPr/>
        <w:t>This enhancement will allow clients to execute online natural gas and power trades as well as view market prices.  APB is a full service over-the-counter energy broker specializing in natural gas, power and weather derivatives.</w:t>
      </w:r>
    </w:p>
    <w:p>
      <w:pPr>
        <w:pStyle w:val="BodyText"/>
        <w:rPr/>
      </w:pPr>
      <w:r>
        <w:rPr/>
      </w:r>
    </w:p>
    <w:tbl>
      <w:tblPr>
        <w:tblW w:w="11178" w:type="dxa"/>
        <w:jc w:val="start"/>
        <w:tblInd w:w="0" w:type="dxa"/>
        <w:tblLayout w:type="fixed"/>
        <w:tblCellMar>
          <w:top w:w="0" w:type="dxa"/>
          <w:start w:w="108" w:type="dxa"/>
          <w:bottom w:w="0" w:type="dxa"/>
          <w:end w:w="108" w:type="dxa"/>
        </w:tblCellMar>
      </w:tblPr>
      <w:tblGrid>
        <w:gridCol w:w="2178"/>
        <w:gridCol w:w="9000"/>
      </w:tblGrid>
      <w:tr>
        <w:trPr/>
        <w:tc>
          <w:tcPr>
            <w:tcW w:w="2178" w:type="dxa"/>
            <w:tcBorders/>
          </w:tcPr>
          <w:p>
            <w:pPr>
              <w:pStyle w:val="BodyText"/>
              <w:rPr>
                <w:b/>
                <w:color w:val="008080"/>
              </w:rPr>
            </w:pPr>
            <w:r>
              <w:rPr>
                <w:b/>
                <w:color w:val="008080"/>
              </w:rPr>
              <w:t>The Company</w:t>
            </w:r>
          </w:p>
        </w:tc>
        <w:tc>
          <w:tcPr>
            <w:tcW w:w="9000" w:type="dxa"/>
            <w:tcBorders/>
          </w:tcPr>
          <w:p>
            <w:pPr>
              <w:pStyle w:val="BodyText"/>
              <w:rPr/>
            </w:pPr>
            <w:r>
              <w:rPr/>
              <w:t>Founded in 1994 by Dennis Crum, 32, who owns slightly under 50 percent with the remaining shares owned by employees</w:t>
            </w:r>
          </w:p>
        </w:tc>
      </w:tr>
      <w:tr>
        <w:trPr>
          <w:trHeight w:val="305" w:hRule="atLeast"/>
        </w:trPr>
        <w:tc>
          <w:tcPr>
            <w:tcW w:w="2178" w:type="dxa"/>
            <w:tcBorders/>
          </w:tcPr>
          <w:p>
            <w:pPr>
              <w:pStyle w:val="BodyText"/>
              <w:snapToGrid w:val="false"/>
              <w:rPr/>
            </w:pPr>
            <w:r>
              <w:rPr/>
            </w:r>
          </w:p>
        </w:tc>
        <w:tc>
          <w:tcPr>
            <w:tcW w:w="9000" w:type="dxa"/>
            <w:tcBorders/>
          </w:tcPr>
          <w:p>
            <w:pPr>
              <w:pStyle w:val="BodyText"/>
              <w:snapToGrid w:val="false"/>
              <w:rPr/>
            </w:pPr>
            <w:r>
              <w:rPr/>
            </w:r>
          </w:p>
        </w:tc>
      </w:tr>
      <w:tr>
        <w:trPr/>
        <w:tc>
          <w:tcPr>
            <w:tcW w:w="2178" w:type="dxa"/>
            <w:tcBorders/>
          </w:tcPr>
          <w:p>
            <w:pPr>
              <w:pStyle w:val="BodyText"/>
              <w:rPr>
                <w:b/>
                <w:color w:val="008080"/>
              </w:rPr>
            </w:pPr>
            <w:r>
              <w:rPr>
                <w:b/>
                <w:color w:val="008080"/>
              </w:rPr>
              <w:t>Commodities</w:t>
            </w:r>
          </w:p>
        </w:tc>
        <w:tc>
          <w:tcPr>
            <w:tcW w:w="9000" w:type="dxa"/>
            <w:tcBorders/>
          </w:tcPr>
          <w:p>
            <w:pPr>
              <w:pStyle w:val="BodyText"/>
              <w:rPr/>
            </w:pPr>
            <w:r>
              <w:rPr/>
              <w:t>Broker for natural gas, electricity and weather products</w:t>
            </w:r>
          </w:p>
        </w:tc>
      </w:tr>
      <w:tr>
        <w:trPr/>
        <w:tc>
          <w:tcPr>
            <w:tcW w:w="2178" w:type="dxa"/>
            <w:tcBorders/>
          </w:tcPr>
          <w:p>
            <w:pPr>
              <w:pStyle w:val="BodyText"/>
              <w:snapToGrid w:val="false"/>
              <w:rPr>
                <w:b/>
                <w:color w:val="008080"/>
              </w:rPr>
            </w:pPr>
            <w:r>
              <w:rPr>
                <w:b/>
                <w:color w:val="008080"/>
              </w:rPr>
            </w:r>
          </w:p>
        </w:tc>
        <w:tc>
          <w:tcPr>
            <w:tcW w:w="9000" w:type="dxa"/>
            <w:tcBorders/>
          </w:tcPr>
          <w:p>
            <w:pPr>
              <w:pStyle w:val="BodyText"/>
              <w:snapToGrid w:val="false"/>
              <w:rPr>
                <w:b/>
                <w:color w:val="008080"/>
              </w:rPr>
            </w:pPr>
            <w:r>
              <w:rPr>
                <w:b/>
                <w:color w:val="008080"/>
              </w:rPr>
            </w:r>
          </w:p>
        </w:tc>
      </w:tr>
      <w:tr>
        <w:trPr/>
        <w:tc>
          <w:tcPr>
            <w:tcW w:w="2178" w:type="dxa"/>
            <w:tcBorders/>
          </w:tcPr>
          <w:p>
            <w:pPr>
              <w:pStyle w:val="BodyText"/>
              <w:rPr>
                <w:b/>
                <w:color w:val="008080"/>
              </w:rPr>
            </w:pPr>
            <w:r>
              <w:rPr>
                <w:b/>
                <w:color w:val="008080"/>
              </w:rPr>
              <w:t>Physical Headquarters</w:t>
            </w:r>
          </w:p>
        </w:tc>
        <w:tc>
          <w:tcPr>
            <w:tcW w:w="9000" w:type="dxa"/>
            <w:tcBorders/>
          </w:tcPr>
          <w:p>
            <w:pPr>
              <w:pStyle w:val="BodyText"/>
              <w:rPr/>
            </w:pPr>
            <w:r>
              <w:rPr/>
              <w:t>Louisville, Kentucky</w:t>
            </w:r>
          </w:p>
        </w:tc>
      </w:tr>
    </w:tbl>
    <w:p>
      <w:pPr>
        <w:pStyle w:val="BodyText"/>
        <w:jc w:val="both"/>
        <w:rPr>
          <w:b/>
          <w:sz w:val="28"/>
        </w:rPr>
      </w:pPr>
      <w:r>
        <w:br w:type="page"/>
      </w:r>
      <w:r>
        <w:rPr>
          <w:b/>
          <w:sz w:val="28"/>
        </w:rPr>
        <w:t>Appendix A: Industry Information</w:t>
      </w:r>
    </w:p>
    <w:p>
      <w:pPr>
        <w:pStyle w:val="BodyText"/>
        <w:jc w:val="both"/>
        <w:rPr/>
      </w:pPr>
      <w:r>
        <w:rPr/>
        <w:t xml:space="preserve">By 2004, total online energy sales are projected to reach $266 billion.  Online natural gas sales are exceed to  $160 billion and online power sales are estimated to grow from $1 billion in 1999 to $100 billion by 2004 (11 % of total electricity sales). </w:t>
      </w:r>
    </w:p>
    <w:p>
      <w:pPr>
        <w:pStyle w:val="BodyText"/>
        <w:jc w:val="both"/>
        <w:rPr/>
      </w:pPr>
      <w:r>
        <w:rPr/>
      </w:r>
    </w:p>
    <w:p>
      <w:pPr>
        <w:pStyle w:val="BodyText"/>
        <w:jc w:val="both"/>
        <w:rPr/>
      </w:pPr>
      <w:r>
        <w:rPr/>
        <w:t>Experts predict that online trading will change trading market dynamics and cause new marketplace models to dominate online.  These models include exchanges, bid systems, auctions and aggregators.</w:t>
      </w:r>
    </w:p>
    <w:p>
      <w:pPr>
        <w:pStyle w:val="BodyText"/>
        <w:numPr>
          <w:ilvl w:val="0"/>
          <w:numId w:val="23"/>
        </w:numPr>
        <w:jc w:val="both"/>
        <w:rPr/>
      </w:pPr>
      <w:r>
        <w:object w:dxaOrig="7681" w:dyaOrig="4097">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position:absolute;margin-left:291.6pt;margin-top:6.1pt;width:261pt;height:148.5pt;mso-wrap-distance-left:9.05pt;mso-wrap-distance-right:9.05pt;mso-position-horizontal-relative:text;mso-position-vertical-relative:text" stroked="t" strokecolor="#000080" strokeweight="4pt" filled="f" o:ole="">
            <v:stroke linestyle="ThickThin" dashstyle="Solid"/>
            <v:imagedata r:id="rId18" o:title=""/>
            <w10:wrap type="tight"/>
          </v:shape>
          <o:OLEObject Type="Embed" ProgID="Excel.Sheet.12" ShapeID="ole_rId17" DrawAspect="Content" ObjectID="_106878133" r:id="rId17"/>
        </w:object>
      </w:r>
      <w:r>
        <w:rPr>
          <w:b/>
        </w:rPr>
        <w:t>Exchanges:</w:t>
      </w:r>
      <w:r>
        <w:rPr/>
        <w:t xml:space="preserve"> Sales flowing through exchanges will surge to $171 billion in 2004 by providing wholesalers, the largest sector in energy, with real-time market information and quick fulfillment.  Experts predict that the majority of online energy trades will be executed via exchanges (79% of online gas sales, 40% of electric sales). </w:t>
      </w:r>
    </w:p>
    <w:p>
      <w:pPr>
        <w:pStyle w:val="BodyText"/>
        <w:numPr>
          <w:ilvl w:val="0"/>
          <w:numId w:val="10"/>
        </w:numPr>
        <w:jc w:val="both"/>
        <w:rPr/>
      </w:pPr>
      <w:r>
        <w:rPr>
          <w:b/>
        </w:rPr>
        <w:t>Bid Systems:</w:t>
      </w:r>
      <w:r>
        <w:rPr/>
        <w:t xml:space="preserve"> By 2004 bid systems are expected to capture 16.5% of total online business trading. These systems are expected to capture 24% of online electric sales and 12% of gas sales as large commercial and industrial companies increasingly use the Internet to automate their request for proposal and quote processes. </w:t>
      </w:r>
    </w:p>
    <w:p>
      <w:pPr>
        <w:pStyle w:val="BodyText"/>
        <w:numPr>
          <w:ilvl w:val="0"/>
          <w:numId w:val="23"/>
        </w:numPr>
        <w:jc w:val="both"/>
        <w:rPr/>
      </w:pPr>
      <w:r>
        <w:rPr>
          <w:b/>
        </w:rPr>
        <w:t>Auctions:</w:t>
      </w:r>
      <w:r>
        <w:rPr/>
        <w:t xml:space="preserve">  Auctions are expected to equal 1% of online gas sales and 1% of electric sales in 2004.  Although auctions will play a smaller role in electronic energy services, they will enable energy producers in isolated markets like North Dakota to sell infrequent odd lots to aggregators and marketer traders.</w:t>
      </w:r>
    </w:p>
    <w:p>
      <w:pPr>
        <w:pStyle w:val="BodyText"/>
        <w:numPr>
          <w:ilvl w:val="0"/>
          <w:numId w:val="23"/>
        </w:numPr>
        <w:jc w:val="both"/>
        <w:rPr/>
      </w:pPr>
      <w:r>
        <w:rPr>
          <w:b/>
        </w:rPr>
        <w:t>Aggregators:</w:t>
      </w:r>
      <w:r>
        <w:rPr/>
        <w:t xml:space="preserve"> Aggregators are expected to account for $25 billion in 2004, or 11% of the total retail business trade. It is predicted that 15% of online electric sales and 5% of gas sales will be extranets, a secure, invitation-only site over the public Web where end users buy directly from sellers. </w:t>
      </w:r>
    </w:p>
    <w:p>
      <w:pPr>
        <w:pStyle w:val="BodyText"/>
        <w:jc w:val="both"/>
        <w:rPr>
          <w:b/>
          <w:sz w:val="28"/>
        </w:rPr>
      </w:pPr>
      <w:r>
        <w:rPr>
          <w:b/>
          <w:sz w:val="28"/>
        </w:rPr>
      </w:r>
    </w:p>
    <w:p>
      <w:pPr>
        <w:pStyle w:val="BodyText"/>
        <w:jc w:val="both"/>
        <w:rPr>
          <w:b/>
          <w:sz w:val="28"/>
        </w:rPr>
      </w:pPr>
      <w:r>
        <w:rPr>
          <w:b/>
          <w:sz w:val="28"/>
        </w:rPr>
        <w:t>Appendix B: Retail Energy Online</w:t>
      </w:r>
    </w:p>
    <w:p>
      <w:pPr>
        <w:pStyle w:val="BodyText"/>
        <w:jc w:val="both"/>
        <w:rPr/>
      </w:pPr>
      <w:r>
        <w:rPr/>
        <w:t>Although there is little e-commerce activity in retail energy markets today, the deregulation of electricity will pave the way for retail companies to streamline operations and to offer bundled energy services online. Online companies such as Utility.com, Connective Energy, ConEdison Solutions, and Essential.com are offering services that are attracting commercial and residential business in deregulated states. Some of these online services include electronic billing and payment, carrier selection, rate options (fixed/variable), and educational programs. While this report does not cover the retail aspect of online energy services, it is sure to be a fast growing sector of e-commerce.</w:t>
      </w:r>
    </w:p>
    <w:p>
      <w:pPr>
        <w:pStyle w:val="BodyText"/>
        <w:jc w:val="both"/>
        <w:rPr>
          <w:color w:val="000080"/>
        </w:rPr>
      </w:pPr>
      <w:r>
        <w:rPr>
          <w:color w:val="000080"/>
        </w:rPr>
      </w:r>
    </w:p>
    <w:p>
      <w:pPr>
        <w:pStyle w:val="BodyText"/>
        <w:jc w:val="both"/>
        <w:rPr>
          <w:color w:val="000080"/>
        </w:rPr>
      </w:pPr>
      <w:r>
        <w:rPr>
          <w:b/>
          <w:color w:val="000080"/>
          <w:sz w:val="28"/>
        </w:rPr>
        <w:t>Appendix C: Steel Trading Online</w:t>
      </w:r>
    </w:p>
    <w:p>
      <w:pPr>
        <w:pStyle w:val="BodyText"/>
        <w:jc w:val="both"/>
        <w:rPr>
          <w:color w:val="000080"/>
        </w:rPr>
      </w:pPr>
      <w:r>
        <w:rPr>
          <w:color w:val="000080"/>
        </w:rPr>
        <w:t>Morgan Stanley Dean Witter, forecasts that US$32B worth of steel will be sold through e-commerce by 2001 as compared with only $150M today.  In addition, Andersen Consulting estimates that 40-60% of all metal produced in the world will be sold via the internet by 2005.  Currently there are two online trading sites available to trade steel domestically.  However before a global exchange can be established a common steel standard must be agreed upon.</w:t>
      </w:r>
    </w:p>
    <w:p>
      <w:pPr>
        <w:pStyle w:val="BodyText"/>
        <w:jc w:val="both"/>
        <w:rPr>
          <w:color w:val="000080"/>
        </w:rPr>
      </w:pPr>
      <w:r>
        <w:rPr>
          <w:color w:val="000080"/>
        </w:rPr>
      </w:r>
    </w:p>
    <w:p>
      <w:pPr>
        <w:pStyle w:val="BodyText"/>
        <w:jc w:val="both"/>
        <w:rPr>
          <w:b/>
          <w:color w:val="000080"/>
        </w:rPr>
      </w:pPr>
      <w:r>
        <w:rPr>
          <w:b/>
          <w:color w:val="000080"/>
        </w:rPr>
        <w:t>MetalSite.com</w:t>
      </w:r>
    </w:p>
    <w:p>
      <w:pPr>
        <w:pStyle w:val="BodyText"/>
        <w:numPr>
          <w:ilvl w:val="0"/>
          <w:numId w:val="64"/>
        </w:numPr>
        <w:tabs>
          <w:tab w:val="left" w:pos="720" w:leader="none"/>
        </w:tabs>
        <w:ind w:hanging="360" w:start="720" w:end="0"/>
        <w:jc w:val="both"/>
        <w:rPr>
          <w:color w:val="000080"/>
        </w:rPr>
      </w:pPr>
      <w:r>
        <w:rPr>
          <w:color w:val="000080"/>
        </w:rPr>
        <w:t>Sold first metal in December 98 and now conducts 3,700 buy-sell transactions every month representing a total value of US$35-40M</w:t>
      </w:r>
    </w:p>
    <w:p>
      <w:pPr>
        <w:pStyle w:val="BodyText"/>
        <w:numPr>
          <w:ilvl w:val="0"/>
          <w:numId w:val="64"/>
        </w:numPr>
        <w:tabs>
          <w:tab w:val="left" w:pos="720" w:leader="none"/>
        </w:tabs>
        <w:ind w:hanging="360" w:start="720" w:end="0"/>
        <w:jc w:val="both"/>
        <w:rPr>
          <w:color w:val="000080"/>
        </w:rPr>
      </w:pPr>
      <w:r>
        <w:rPr>
          <w:color w:val="000080"/>
        </w:rPr>
        <w:t xml:space="preserve">MetalSite is owned by domestic producers Weirton Steel, LTV Steel, Steel Dynamics, and Bethlehem Steel and Ryerson Tull. </w:t>
      </w:r>
    </w:p>
    <w:p>
      <w:pPr>
        <w:pStyle w:val="BodyText"/>
        <w:jc w:val="both"/>
        <w:rPr>
          <w:b/>
          <w:color w:val="000080"/>
        </w:rPr>
      </w:pPr>
      <w:r>
        <w:rPr>
          <w:b/>
          <w:color w:val="000080"/>
        </w:rPr>
        <w:t xml:space="preserve">ESteel.com </w:t>
      </w:r>
    </w:p>
    <w:p>
      <w:pPr>
        <w:pStyle w:val="BodyText"/>
        <w:numPr>
          <w:ilvl w:val="0"/>
          <w:numId w:val="32"/>
        </w:numPr>
        <w:tabs>
          <w:tab w:val="left" w:pos="720" w:leader="none"/>
        </w:tabs>
        <w:ind w:hanging="360" w:start="720" w:end="0"/>
        <w:jc w:val="both"/>
        <w:rPr>
          <w:color w:val="000080"/>
        </w:rPr>
      </w:pPr>
      <w:r>
        <w:rPr>
          <w:color w:val="000080"/>
        </w:rPr>
        <w:t xml:space="preserve">Launched in September 99 and focuses on Prime steel which accounts for an estimated 75-80% of its transactions. </w:t>
      </w:r>
    </w:p>
    <w:sectPr>
      <w:headerReference w:type="default" r:id="rId19"/>
      <w:type w:val="nextPage"/>
      <w:pgSz w:w="12240" w:h="15840"/>
      <w:pgMar w:left="576" w:right="576" w:gutter="0" w:header="720" w:top="81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Garamond">
    <w:charset w:val="00" w:characterSet="windows-1252"/>
    <w:family w:val="roman"/>
    <w:pitch w:val="variable"/>
  </w:font>
  <w:font w:name="Courier New">
    <w:charset w:val="00" w:characterSet="windows-1252"/>
    <w:family w:val="modern"/>
    <w:pitch w:val="default"/>
  </w:font>
  <w:font w:name="Impact">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numFmt w:val="bullet"/>
      <w:lvlText w:val="-"/>
      <w:lvlJc w:val="start"/>
      <w:pPr>
        <w:tabs>
          <w:tab w:val="num" w:pos="420"/>
        </w:tabs>
        <w:ind w:start="420" w:hanging="360"/>
      </w:pPr>
      <w:rPr>
        <w:rFonts w:ascii="Liberation Serif" w:hAnsi="Liberation Serif" w:cs="Liberation Serif"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numFmt w:val="bullet"/>
      <w:lvlText w:val="-"/>
      <w:lvlJc w:val="start"/>
      <w:pPr>
        <w:tabs>
          <w:tab w:val="num" w:pos="420"/>
        </w:tabs>
        <w:ind w:start="420" w:hanging="360"/>
      </w:pPr>
      <w:rPr>
        <w:rFonts w:ascii="Liberation Serif" w:hAnsi="Liberation Serif" w:cs="Liberation Serif"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numFmt w:val="bullet"/>
      <w:lvlText w:val="-"/>
      <w:lvlJc w:val="start"/>
      <w:pPr>
        <w:tabs>
          <w:tab w:val="num" w:pos="420"/>
        </w:tabs>
        <w:ind w:start="420" w:hanging="360"/>
      </w:pPr>
      <w:rPr>
        <w:rFonts w:ascii="Liberation Serif" w:hAnsi="Liberation Serif" w:cs="Liberation Serif" w:hint="default"/>
      </w:rPr>
    </w:lvl>
  </w:abstractNum>
  <w:abstractNum w:abstractNumId="9">
    <w:lvl w:ilvl="0">
      <w:numFmt w:val="bullet"/>
      <w:lvlText w:val="-"/>
      <w:lvlJc w:val="start"/>
      <w:pPr>
        <w:tabs>
          <w:tab w:val="num" w:pos="420"/>
        </w:tabs>
        <w:ind w:start="420" w:hanging="360"/>
      </w:pPr>
      <w:rPr>
        <w:rFonts w:ascii="Liberation Serif" w:hAnsi="Liberation Serif" w:cs="Liberation Serif"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color w:val="000000"/>
      </w:rPr>
    </w:lvl>
  </w:abstractNum>
  <w:abstractNum w:abstractNumId="11">
    <w:lvl w:ilvl="0">
      <w:numFmt w:val="bullet"/>
      <w:lvlText w:val="-"/>
      <w:lvlJc w:val="start"/>
      <w:pPr>
        <w:tabs>
          <w:tab w:val="num" w:pos="420"/>
        </w:tabs>
        <w:ind w:start="420" w:hanging="360"/>
      </w:pPr>
      <w:rPr>
        <w:rFonts w:ascii="Liberation Serif" w:hAnsi="Liberation Serif" w:cs="Liberation Serif"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numFmt w:val="bullet"/>
      <w:lvlText w:val="-"/>
      <w:lvlJc w:val="start"/>
      <w:pPr>
        <w:tabs>
          <w:tab w:val="num" w:pos="420"/>
        </w:tabs>
        <w:ind w:start="420" w:hanging="360"/>
      </w:pPr>
      <w:rPr>
        <w:rFonts w:ascii="Liberation Serif" w:hAnsi="Liberation Serif" w:cs="Liberation Serif" w:hint="default"/>
      </w:rPr>
    </w:lvl>
  </w:abstractNum>
  <w:abstractNum w:abstractNumId="15">
    <w:lvl w:ilvl="0">
      <w:numFmt w:val="bullet"/>
      <w:lvlText w:val="-"/>
      <w:lvlJc w:val="start"/>
      <w:pPr>
        <w:tabs>
          <w:tab w:val="num" w:pos="420"/>
        </w:tabs>
        <w:ind w:start="420" w:hanging="360"/>
      </w:pPr>
      <w:rPr>
        <w:rFonts w:ascii="Liberation Serif" w:hAnsi="Liberation Serif" w:cs="Liberation Serif" w:hint="default"/>
      </w:rPr>
    </w:lvl>
  </w:abstractNum>
  <w:abstractNum w:abstractNumId="16">
    <w:lvl w:ilvl="0">
      <w:numFmt w:val="bullet"/>
      <w:lvlText w:val="-"/>
      <w:lvlJc w:val="start"/>
      <w:pPr>
        <w:tabs>
          <w:tab w:val="num" w:pos="420"/>
        </w:tabs>
        <w:ind w:start="420" w:hanging="360"/>
      </w:pPr>
      <w:rPr>
        <w:rFonts w:ascii="Liberation Serif" w:hAnsi="Liberation Serif" w:cs="Liberation Serif" w:hint="default"/>
      </w:rPr>
    </w:lvl>
  </w:abstractNum>
  <w:abstractNum w:abstractNumId="17">
    <w:lvl w:ilvl="0">
      <w:numFmt w:val="bullet"/>
      <w:lvlText w:val="-"/>
      <w:lvlJc w:val="start"/>
      <w:pPr>
        <w:tabs>
          <w:tab w:val="num" w:pos="420"/>
        </w:tabs>
        <w:ind w:start="420" w:hanging="360"/>
      </w:pPr>
      <w:rPr>
        <w:rFonts w:ascii="Liberation Serif" w:hAnsi="Liberation Serif" w:cs="Liberation Serif"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sz w:val="16"/>
      </w:rPr>
    </w:lvl>
  </w:abstractNum>
  <w:abstractNum w:abstractNumId="19">
    <w:lvl w:ilvl="0">
      <w:start w:val="1"/>
      <w:numFmt w:val="bullet"/>
      <w:lvlText w:val=""/>
      <w:lvlJc w:val="start"/>
      <w:pPr>
        <w:tabs>
          <w:tab w:val="num" w:pos="360"/>
        </w:tabs>
        <w:ind w:start="360" w:hanging="360"/>
      </w:pPr>
      <w:rPr>
        <w:rFonts w:ascii="Wingdings" w:hAnsi="Wingdings" w:cs="Wingdings" w:hint="default"/>
        <w:sz w:val="16"/>
      </w:rPr>
    </w:lvl>
  </w:abstractNum>
  <w:abstractNum w:abstractNumId="20">
    <w:lvl w:ilvl="0">
      <w:start w:val="1"/>
      <w:numFmt w:val="bullet"/>
      <w:lvlText w:val=""/>
      <w:lvlJc w:val="start"/>
      <w:pPr>
        <w:tabs>
          <w:tab w:val="num" w:pos="360"/>
        </w:tabs>
        <w:ind w:start="360" w:hanging="360"/>
      </w:pPr>
      <w:rPr>
        <w:rFonts w:ascii="Wingdings" w:hAnsi="Wingdings" w:cs="Wingdings" w:hint="default"/>
        <w:sz w:val="16"/>
        <w:color w:val="000000"/>
      </w:rPr>
    </w:lvl>
  </w:abstractNum>
  <w:abstractNum w:abstractNumId="21">
    <w:lvl w:ilvl="0">
      <w:start w:val="1"/>
      <w:numFmt w:val="bullet"/>
      <w:lvlText w:val=""/>
      <w:lvlJc w:val="start"/>
      <w:pPr>
        <w:tabs>
          <w:tab w:val="num" w:pos="360"/>
        </w:tabs>
        <w:ind w:start="360" w:hanging="360"/>
      </w:pPr>
      <w:rPr>
        <w:rFonts w:ascii="Wingdings" w:hAnsi="Wingdings" w:cs="Wingdings" w:hint="default"/>
        <w:sz w:val="16"/>
      </w:rPr>
    </w:lvl>
  </w:abstractNum>
  <w:abstractNum w:abstractNumId="22">
    <w:lvl w:ilvl="0">
      <w:start w:val="1"/>
      <w:numFmt w:val="bullet"/>
      <w:lvlText w:val=""/>
      <w:lvlJc w:val="start"/>
      <w:pPr>
        <w:tabs>
          <w:tab w:val="num" w:pos="360"/>
        </w:tabs>
        <w:ind w:start="360" w:hanging="360"/>
      </w:pPr>
      <w:rPr>
        <w:rFonts w:ascii="Wingdings" w:hAnsi="Wingdings" w:cs="Wingdings" w:hint="default"/>
        <w:sz w:val="16"/>
      </w:rPr>
    </w:lvl>
  </w:abstractNum>
  <w:abstractNum w:abstractNumId="23">
    <w:lvl w:ilvl="0">
      <w:start w:val="1"/>
      <w:numFmt w:val="bullet"/>
      <w:lvlText w:val=""/>
      <w:lvlJc w:val="start"/>
      <w:pPr>
        <w:tabs>
          <w:tab w:val="num" w:pos="360"/>
        </w:tabs>
        <w:ind w:start="360" w:hanging="360"/>
      </w:pPr>
      <w:rPr>
        <w:rFonts w:ascii="Wingdings" w:hAnsi="Wingdings" w:cs="Wingdings" w:hint="default"/>
        <w:sz w:val="16"/>
        <w:color w:val="000000"/>
      </w:rPr>
    </w:lvl>
  </w:abstractNum>
  <w:abstractNum w:abstractNumId="24">
    <w:lvl w:ilvl="0">
      <w:numFmt w:val="bullet"/>
      <w:lvlText w:val="-"/>
      <w:lvlJc w:val="start"/>
      <w:pPr>
        <w:tabs>
          <w:tab w:val="num" w:pos="420"/>
        </w:tabs>
        <w:ind w:start="420" w:hanging="360"/>
      </w:pPr>
      <w:rPr>
        <w:rFonts w:ascii="Liberation Serif" w:hAnsi="Liberation Serif" w:cs="Liberation Serif"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sz w:val="16"/>
        <w:color w:val="000000"/>
      </w:rPr>
    </w:lvl>
  </w:abstractNum>
  <w:abstractNum w:abstractNumId="26">
    <w:lvl w:ilvl="0">
      <w:start w:val="1"/>
      <w:numFmt w:val="bullet"/>
      <w:lvlText w:val=""/>
      <w:lvlJc w:val="start"/>
      <w:pPr>
        <w:tabs>
          <w:tab w:val="num" w:pos="360"/>
        </w:tabs>
        <w:ind w:start="360" w:hanging="360"/>
      </w:pPr>
      <w:rPr>
        <w:rFonts w:ascii="Wingdings" w:hAnsi="Wingdings" w:cs="Wingdings" w:hint="default"/>
        <w:sz w:val="16"/>
      </w:rPr>
    </w:lvl>
  </w:abstractNum>
  <w:abstractNum w:abstractNumId="27">
    <w:lvl w:ilvl="0">
      <w:start w:val="1"/>
      <w:numFmt w:val="bullet"/>
      <w:lvlText w:val=""/>
      <w:lvlJc w:val="start"/>
      <w:pPr>
        <w:tabs>
          <w:tab w:val="num" w:pos="360"/>
        </w:tabs>
        <w:ind w:start="360" w:hanging="360"/>
      </w:pPr>
      <w:rPr>
        <w:rFonts w:ascii="Wingdings" w:hAnsi="Wingdings" w:cs="Wingdings" w:hint="default"/>
        <w:sz w:val="16"/>
      </w:rPr>
    </w:lvl>
  </w:abstractNum>
  <w:abstractNum w:abstractNumId="28">
    <w:lvl w:ilvl="0">
      <w:start w:val="1"/>
      <w:numFmt w:val="bullet"/>
      <w:lvlText w:val=""/>
      <w:lvlJc w:val="start"/>
      <w:pPr>
        <w:tabs>
          <w:tab w:val="num" w:pos="360"/>
        </w:tabs>
        <w:ind w:start="360" w:hanging="360"/>
      </w:pPr>
      <w:rPr>
        <w:rFonts w:ascii="Wingdings" w:hAnsi="Wingdings" w:cs="Wingdings" w:hint="default"/>
        <w:sz w:val="16"/>
      </w:rPr>
    </w:lvl>
  </w:abstractNum>
  <w:abstractNum w:abstractNumId="29">
    <w:lvl w:ilvl="0">
      <w:start w:val="1"/>
      <w:numFmt w:val="bullet"/>
      <w:lvlText w:val=""/>
      <w:lvlJc w:val="start"/>
      <w:pPr>
        <w:tabs>
          <w:tab w:val="num" w:pos="360"/>
        </w:tabs>
        <w:ind w:start="360" w:hanging="360"/>
      </w:pPr>
      <w:rPr>
        <w:rFonts w:ascii="Wingdings" w:hAnsi="Wingdings" w:cs="Wingdings" w:hint="default"/>
        <w:sz w:val="16"/>
      </w:rPr>
    </w:lvl>
  </w:abstractNum>
  <w:abstractNum w:abstractNumId="30">
    <w:lvl w:ilvl="0">
      <w:start w:val="1"/>
      <w:numFmt w:val="bullet"/>
      <w:lvlText w:val=""/>
      <w:lvlJc w:val="start"/>
      <w:pPr>
        <w:tabs>
          <w:tab w:val="num" w:pos="360"/>
        </w:tabs>
        <w:ind w:start="360" w:hanging="360"/>
      </w:pPr>
      <w:rPr>
        <w:rFonts w:ascii="Wingdings" w:hAnsi="Wingdings" w:cs="Wingdings" w:hint="default"/>
        <w:sz w:val="16"/>
      </w:rPr>
    </w:lvl>
  </w:abstractNum>
  <w:abstractNum w:abstractNumId="31">
    <w:lvl w:ilvl="0">
      <w:numFmt w:val="bullet"/>
      <w:lvlText w:val="-"/>
      <w:lvlJc w:val="start"/>
      <w:pPr>
        <w:tabs>
          <w:tab w:val="num" w:pos="420"/>
        </w:tabs>
        <w:ind w:start="420" w:hanging="360"/>
      </w:pPr>
      <w:rPr>
        <w:rFonts w:ascii="Liberation Serif" w:hAnsi="Liberation Serif" w:cs="Liberation Serif" w:hint="default"/>
      </w:rPr>
    </w:lvl>
  </w:abstractNum>
  <w:abstractNum w:abstractNumId="3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3">
    <w:lvl w:ilvl="0">
      <w:start w:val="1"/>
      <w:numFmt w:val="bullet"/>
      <w:lvlText w:val=""/>
      <w:lvlJc w:val="start"/>
      <w:pPr>
        <w:tabs>
          <w:tab w:val="num" w:pos="360"/>
        </w:tabs>
        <w:ind w:start="360" w:hanging="360"/>
      </w:pPr>
      <w:rPr>
        <w:rFonts w:ascii="Wingdings" w:hAnsi="Wingdings" w:cs="Wingdings" w:hint="default"/>
        <w:sz w:val="16"/>
      </w:rPr>
    </w:lvl>
  </w:abstractNum>
  <w:abstractNum w:abstractNumId="34">
    <w:lvl w:ilvl="0">
      <w:numFmt w:val="bullet"/>
      <w:lvlText w:val="-"/>
      <w:lvlJc w:val="start"/>
      <w:pPr>
        <w:tabs>
          <w:tab w:val="num" w:pos="420"/>
        </w:tabs>
        <w:ind w:start="420" w:hanging="360"/>
      </w:pPr>
      <w:rPr>
        <w:rFonts w:ascii="Liberation Serif" w:hAnsi="Liberation Serif" w:cs="Liberation Serif" w:hint="default"/>
      </w:rPr>
    </w:lvl>
  </w:abstractNum>
  <w:abstractNum w:abstractNumId="35">
    <w:lvl w:ilvl="0">
      <w:numFmt w:val="bullet"/>
      <w:lvlText w:val="-"/>
      <w:lvlJc w:val="start"/>
      <w:pPr>
        <w:tabs>
          <w:tab w:val="num" w:pos="420"/>
        </w:tabs>
        <w:ind w:start="420" w:hanging="360"/>
      </w:pPr>
      <w:rPr>
        <w:rFonts w:ascii="Liberation Serif" w:hAnsi="Liberation Serif" w:cs="Liberation Serif" w:hint="default"/>
      </w:rPr>
    </w:lvl>
  </w:abstractNum>
  <w:abstractNum w:abstractNumId="36">
    <w:lvl w:ilvl="0">
      <w:start w:val="1"/>
      <w:numFmt w:val="bullet"/>
      <w:lvlText w:val=""/>
      <w:lvlJc w:val="start"/>
      <w:pPr>
        <w:tabs>
          <w:tab w:val="num" w:pos="360"/>
        </w:tabs>
        <w:ind w:start="360" w:hanging="360"/>
      </w:pPr>
      <w:rPr>
        <w:rFonts w:ascii="Wingdings" w:hAnsi="Wingdings" w:cs="Wingdings" w:hint="default"/>
        <w:sz w:val="16"/>
        <w:color w:val="000000"/>
      </w:rPr>
    </w:lvl>
  </w:abstractNum>
  <w:abstractNum w:abstractNumId="37">
    <w:lvl w:ilvl="0">
      <w:numFmt w:val="bullet"/>
      <w:lvlText w:val="-"/>
      <w:lvlJc w:val="start"/>
      <w:pPr>
        <w:tabs>
          <w:tab w:val="num" w:pos="420"/>
        </w:tabs>
        <w:ind w:start="420" w:hanging="360"/>
      </w:pPr>
      <w:rPr>
        <w:rFonts w:ascii="Liberation Serif" w:hAnsi="Liberation Serif" w:cs="Liberation Serif" w:hint="default"/>
      </w:rPr>
    </w:lvl>
  </w:abstractNum>
  <w:abstractNum w:abstractNumId="38">
    <w:lvl w:ilvl="0">
      <w:numFmt w:val="bullet"/>
      <w:lvlText w:val="-"/>
      <w:lvlJc w:val="start"/>
      <w:pPr>
        <w:tabs>
          <w:tab w:val="num" w:pos="420"/>
        </w:tabs>
        <w:ind w:start="420" w:hanging="360"/>
      </w:pPr>
      <w:rPr>
        <w:rFonts w:ascii="Liberation Serif" w:hAnsi="Liberation Serif" w:cs="Liberation Serif" w:hint="default"/>
      </w:rPr>
    </w:lvl>
  </w:abstractNum>
  <w:abstractNum w:abstractNumId="39">
    <w:lvl w:ilvl="0">
      <w:numFmt w:val="bullet"/>
      <w:lvlText w:val="-"/>
      <w:lvlJc w:val="start"/>
      <w:pPr>
        <w:tabs>
          <w:tab w:val="num" w:pos="420"/>
        </w:tabs>
        <w:ind w:start="420" w:hanging="360"/>
      </w:pPr>
      <w:rPr>
        <w:rFonts w:ascii="Liberation Serif" w:hAnsi="Liberation Serif" w:cs="Liberation Serif" w:hint="default"/>
      </w:rPr>
    </w:lvl>
  </w:abstractNum>
  <w:abstractNum w:abstractNumId="40">
    <w:lvl w:ilvl="0">
      <w:start w:val="1"/>
      <w:numFmt w:val="bullet"/>
      <w:lvlText w:val=""/>
      <w:lvlJc w:val="start"/>
      <w:pPr>
        <w:tabs>
          <w:tab w:val="num" w:pos="360"/>
        </w:tabs>
        <w:ind w:start="360" w:hanging="360"/>
      </w:pPr>
      <w:rPr>
        <w:rFonts w:ascii="Wingdings" w:hAnsi="Wingdings" w:cs="Wingdings" w:hint="default"/>
        <w:sz w:val="16"/>
      </w:rPr>
    </w:lvl>
  </w:abstractNum>
  <w:abstractNum w:abstractNumId="41">
    <w:lvl w:ilvl="0">
      <w:numFmt w:val="bullet"/>
      <w:lvlText w:val="-"/>
      <w:lvlJc w:val="start"/>
      <w:pPr>
        <w:tabs>
          <w:tab w:val="num" w:pos="420"/>
        </w:tabs>
        <w:ind w:start="420" w:hanging="360"/>
      </w:pPr>
      <w:rPr>
        <w:rFonts w:ascii="Liberation Serif" w:hAnsi="Liberation Serif" w:cs="Liberation Serif" w:hint="default"/>
      </w:rPr>
    </w:lvl>
  </w:abstractNum>
  <w:abstractNum w:abstractNumId="42">
    <w:lvl w:ilvl="0">
      <w:start w:val="1"/>
      <w:numFmt w:val="bullet"/>
      <w:lvlText w:val=""/>
      <w:lvlJc w:val="start"/>
      <w:pPr>
        <w:tabs>
          <w:tab w:val="num" w:pos="360"/>
        </w:tabs>
        <w:ind w:start="360" w:hanging="360"/>
      </w:pPr>
      <w:rPr>
        <w:rFonts w:ascii="Wingdings" w:hAnsi="Wingdings" w:cs="Wingdings" w:hint="default"/>
        <w:sz w:val="16"/>
      </w:rPr>
    </w:lvl>
  </w:abstractNum>
  <w:abstractNum w:abstractNumId="43">
    <w:lvl w:ilvl="0">
      <w:numFmt w:val="bullet"/>
      <w:lvlText w:val="-"/>
      <w:lvlJc w:val="start"/>
      <w:pPr>
        <w:tabs>
          <w:tab w:val="num" w:pos="420"/>
        </w:tabs>
        <w:ind w:start="420" w:hanging="360"/>
      </w:pPr>
      <w:rPr>
        <w:rFonts w:ascii="Liberation Serif" w:hAnsi="Liberation Serif" w:cs="Liberation Serif" w:hint="default"/>
      </w:rPr>
    </w:lvl>
  </w:abstractNum>
  <w:abstractNum w:abstractNumId="44">
    <w:lvl w:ilvl="0">
      <w:start w:val="1"/>
      <w:numFmt w:val="bullet"/>
      <w:lvlText w:val=""/>
      <w:lvlJc w:val="start"/>
      <w:pPr>
        <w:tabs>
          <w:tab w:val="num" w:pos="360"/>
        </w:tabs>
        <w:ind w:start="360" w:hanging="360"/>
      </w:pPr>
      <w:rPr>
        <w:rFonts w:ascii="Wingdings" w:hAnsi="Wingdings" w:cs="Wingdings" w:hint="default"/>
        <w:sz w:val="16"/>
      </w:rPr>
    </w:lvl>
  </w:abstractNum>
  <w:abstractNum w:abstractNumId="45">
    <w:lvl w:ilvl="0">
      <w:start w:val="1"/>
      <w:numFmt w:val="bullet"/>
      <w:lvlText w:val=""/>
      <w:lvlJc w:val="start"/>
      <w:pPr>
        <w:tabs>
          <w:tab w:val="num" w:pos="360"/>
        </w:tabs>
        <w:ind w:start="360" w:hanging="360"/>
      </w:pPr>
      <w:rPr>
        <w:rFonts w:ascii="Wingdings" w:hAnsi="Wingdings" w:cs="Wingdings" w:hint="default"/>
        <w:sz w:val="16"/>
      </w:rPr>
    </w:lvl>
  </w:abstractNum>
  <w:abstractNum w:abstractNumId="46">
    <w:lvl w:ilvl="0">
      <w:numFmt w:val="bullet"/>
      <w:lvlText w:val="-"/>
      <w:lvlJc w:val="start"/>
      <w:pPr>
        <w:tabs>
          <w:tab w:val="num" w:pos="420"/>
        </w:tabs>
        <w:ind w:start="420" w:hanging="360"/>
      </w:pPr>
      <w:rPr>
        <w:rFonts w:ascii="Liberation Serif" w:hAnsi="Liberation Serif" w:cs="Liberation Serif" w:hint="default"/>
      </w:rPr>
    </w:lvl>
  </w:abstractNum>
  <w:abstractNum w:abstractNumId="47">
    <w:lvl w:ilvl="0">
      <w:start w:val="1"/>
      <w:numFmt w:val="bullet"/>
      <w:lvlText w:val=""/>
      <w:lvlJc w:val="start"/>
      <w:pPr>
        <w:tabs>
          <w:tab w:val="num" w:pos="360"/>
        </w:tabs>
        <w:ind w:start="360" w:hanging="360"/>
      </w:pPr>
      <w:rPr>
        <w:rFonts w:ascii="Wingdings" w:hAnsi="Wingdings" w:cs="Wingdings" w:hint="default"/>
        <w:sz w:val="16"/>
      </w:rPr>
    </w:lvl>
  </w:abstractNum>
  <w:abstractNum w:abstractNumId="48">
    <w:lvl w:ilvl="0">
      <w:numFmt w:val="bullet"/>
      <w:lvlText w:val="-"/>
      <w:lvlJc w:val="start"/>
      <w:pPr>
        <w:tabs>
          <w:tab w:val="num" w:pos="420"/>
        </w:tabs>
        <w:ind w:start="420" w:hanging="360"/>
      </w:pPr>
      <w:rPr>
        <w:rFonts w:ascii="Liberation Serif" w:hAnsi="Liberation Serif" w:cs="Liberation Serif" w:hint="default"/>
      </w:rPr>
    </w:lvl>
  </w:abstractNum>
  <w:abstractNum w:abstractNumId="49">
    <w:lvl w:ilvl="0">
      <w:start w:val="1"/>
      <w:numFmt w:val="bullet"/>
      <w:lvlText w:val=""/>
      <w:lvlJc w:val="start"/>
      <w:pPr>
        <w:tabs>
          <w:tab w:val="num" w:pos="360"/>
        </w:tabs>
        <w:ind w:start="360" w:hanging="360"/>
      </w:pPr>
      <w:rPr>
        <w:rFonts w:ascii="Wingdings" w:hAnsi="Wingdings" w:cs="Wingdings" w:hint="default"/>
        <w:sz w:val="16"/>
      </w:rPr>
    </w:lvl>
  </w:abstractNum>
  <w:abstractNum w:abstractNumId="50">
    <w:lvl w:ilvl="0">
      <w:start w:val="1"/>
      <w:numFmt w:val="bullet"/>
      <w:lvlText w:val=""/>
      <w:lvlJc w:val="start"/>
      <w:pPr>
        <w:tabs>
          <w:tab w:val="num" w:pos="360"/>
        </w:tabs>
        <w:ind w:start="360" w:hanging="360"/>
      </w:pPr>
      <w:rPr>
        <w:rFonts w:ascii="Wingdings" w:hAnsi="Wingdings" w:cs="Wingdings" w:hint="default"/>
        <w:sz w:val="16"/>
      </w:rPr>
    </w:lvl>
  </w:abstractNum>
  <w:abstractNum w:abstractNumId="51">
    <w:lvl w:ilvl="0">
      <w:start w:val="1"/>
      <w:numFmt w:val="bullet"/>
      <w:lvlText w:val=""/>
      <w:lvlJc w:val="start"/>
      <w:pPr>
        <w:tabs>
          <w:tab w:val="num" w:pos="360"/>
        </w:tabs>
        <w:ind w:start="360" w:hanging="360"/>
      </w:pPr>
      <w:rPr>
        <w:rFonts w:ascii="Wingdings" w:hAnsi="Wingdings" w:cs="Wingdings" w:hint="default"/>
        <w:sz w:val="16"/>
      </w:rPr>
    </w:lvl>
  </w:abstractNum>
  <w:abstractNum w:abstractNumId="52">
    <w:lvl w:ilvl="0">
      <w:numFmt w:val="bullet"/>
      <w:lvlText w:val="-"/>
      <w:lvlJc w:val="start"/>
      <w:pPr>
        <w:tabs>
          <w:tab w:val="num" w:pos="420"/>
        </w:tabs>
        <w:ind w:start="420" w:hanging="360"/>
      </w:pPr>
      <w:rPr>
        <w:rFonts w:ascii="Liberation Serif" w:hAnsi="Liberation Serif" w:cs="Liberation Serif" w:hint="default"/>
      </w:rPr>
    </w:lvl>
  </w:abstractNum>
  <w:abstractNum w:abstractNumId="53">
    <w:lvl w:ilvl="0">
      <w:start w:val="1"/>
      <w:numFmt w:val="bullet"/>
      <w:lvlText w:val=""/>
      <w:lvlJc w:val="start"/>
      <w:pPr>
        <w:tabs>
          <w:tab w:val="num" w:pos="360"/>
        </w:tabs>
        <w:ind w:start="360" w:hanging="360"/>
      </w:pPr>
      <w:rPr>
        <w:rFonts w:ascii="Wingdings" w:hAnsi="Wingdings" w:cs="Wingdings" w:hint="default"/>
        <w:sz w:val="16"/>
      </w:rPr>
    </w:lvl>
  </w:abstractNum>
  <w:abstractNum w:abstractNumId="5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5">
    <w:lvl w:ilvl="0">
      <w:start w:val="1"/>
      <w:numFmt w:val="bullet"/>
      <w:lvlText w:val=""/>
      <w:lvlJc w:val="start"/>
      <w:pPr>
        <w:tabs>
          <w:tab w:val="num" w:pos="360"/>
        </w:tabs>
        <w:ind w:start="360" w:hanging="360"/>
      </w:pPr>
      <w:rPr>
        <w:rFonts w:ascii="Wingdings" w:hAnsi="Wingdings" w:cs="Wingdings" w:hint="default"/>
        <w:sz w:val="16"/>
      </w:rPr>
    </w:lvl>
  </w:abstractNum>
  <w:abstractNum w:abstractNumId="56">
    <w:lvl w:ilvl="0">
      <w:numFmt w:val="bullet"/>
      <w:lvlText w:val="-"/>
      <w:lvlJc w:val="start"/>
      <w:pPr>
        <w:tabs>
          <w:tab w:val="num" w:pos="420"/>
        </w:tabs>
        <w:ind w:start="420" w:hanging="360"/>
      </w:pPr>
      <w:rPr>
        <w:rFonts w:ascii="Liberation Serif" w:hAnsi="Liberation Serif" w:cs="Liberation Serif" w:hint="default"/>
      </w:rPr>
    </w:lvl>
  </w:abstractNum>
  <w:abstractNum w:abstractNumId="57">
    <w:lvl w:ilvl="0">
      <w:start w:val="1"/>
      <w:numFmt w:val="bullet"/>
      <w:lvlText w:val=""/>
      <w:lvlJc w:val="start"/>
      <w:pPr>
        <w:tabs>
          <w:tab w:val="num" w:pos="360"/>
        </w:tabs>
        <w:ind w:start="360" w:hanging="360"/>
      </w:pPr>
      <w:rPr>
        <w:rFonts w:ascii="Wingdings" w:hAnsi="Wingdings" w:cs="Wingdings" w:hint="default"/>
        <w:sz w:val="16"/>
      </w:rPr>
    </w:lvl>
  </w:abstractNum>
  <w:abstractNum w:abstractNumId="58">
    <w:lvl w:ilvl="0">
      <w:numFmt w:val="bullet"/>
      <w:lvlText w:val="-"/>
      <w:lvlJc w:val="start"/>
      <w:pPr>
        <w:tabs>
          <w:tab w:val="num" w:pos="420"/>
        </w:tabs>
        <w:ind w:start="420" w:hanging="360"/>
      </w:pPr>
      <w:rPr>
        <w:rFonts w:ascii="Liberation Serif" w:hAnsi="Liberation Serif" w:cs="Liberation Serif" w:hint="default"/>
      </w:rPr>
    </w:lvl>
  </w:abstractNum>
  <w:abstractNum w:abstractNumId="59">
    <w:lvl w:ilvl="0">
      <w:numFmt w:val="bullet"/>
      <w:lvlText w:val="-"/>
      <w:lvlJc w:val="start"/>
      <w:pPr>
        <w:tabs>
          <w:tab w:val="num" w:pos="420"/>
        </w:tabs>
        <w:ind w:start="420" w:hanging="360"/>
      </w:pPr>
      <w:rPr>
        <w:rFonts w:ascii="Liberation Serif" w:hAnsi="Liberation Serif" w:cs="Liberation Serif" w:hint="default"/>
      </w:rPr>
    </w:lvl>
  </w:abstractNum>
  <w:abstractNum w:abstractNumId="60">
    <w:lvl w:ilvl="0">
      <w:start w:val="1"/>
      <w:numFmt w:val="bullet"/>
      <w:lvlText w:val=""/>
      <w:lvlJc w:val="start"/>
      <w:pPr>
        <w:tabs>
          <w:tab w:val="num" w:pos="360"/>
        </w:tabs>
        <w:ind w:start="360" w:hanging="360"/>
      </w:pPr>
      <w:rPr>
        <w:rFonts w:ascii="Wingdings" w:hAnsi="Wingdings" w:cs="Wingdings" w:hint="default"/>
        <w:sz w:val="16"/>
        <w:color w:val="000000"/>
      </w:rPr>
    </w:lvl>
  </w:abstractNum>
  <w:abstractNum w:abstractNumId="61">
    <w:lvl w:ilvl="0">
      <w:numFmt w:val="bullet"/>
      <w:lvlText w:val="-"/>
      <w:lvlJc w:val="start"/>
      <w:pPr>
        <w:tabs>
          <w:tab w:val="num" w:pos="420"/>
        </w:tabs>
        <w:ind w:start="420" w:hanging="360"/>
      </w:pPr>
      <w:rPr>
        <w:rFonts w:ascii="Liberation Serif" w:hAnsi="Liberation Serif" w:cs="Liberation Serif" w:hint="default"/>
      </w:rPr>
    </w:lvl>
  </w:abstractNum>
  <w:abstractNum w:abstractNumId="62">
    <w:lvl w:ilvl="0">
      <w:numFmt w:val="bullet"/>
      <w:lvlText w:val="-"/>
      <w:lvlJc w:val="start"/>
      <w:pPr>
        <w:tabs>
          <w:tab w:val="num" w:pos="420"/>
        </w:tabs>
        <w:ind w:start="420" w:hanging="360"/>
      </w:pPr>
      <w:rPr>
        <w:rFonts w:ascii="Liberation Serif" w:hAnsi="Liberation Serif" w:cs="Liberation Serif" w:hint="default"/>
      </w:rPr>
    </w:lvl>
  </w:abstractNum>
  <w:abstractNum w:abstractNumId="63">
    <w:lvl w:ilvl="0">
      <w:start w:val="1"/>
      <w:numFmt w:val="bullet"/>
      <w:lvlText w:val=""/>
      <w:lvlJc w:val="start"/>
      <w:pPr>
        <w:tabs>
          <w:tab w:val="num" w:pos="360"/>
        </w:tabs>
        <w:ind w:start="360" w:hanging="360"/>
      </w:pPr>
      <w:rPr>
        <w:rFonts w:ascii="Wingdings" w:hAnsi="Wingdings" w:cs="Wingdings" w:hint="default"/>
        <w:sz w:val="16"/>
        <w:color w:val="000000"/>
      </w:rPr>
    </w:lvl>
  </w:abstractNum>
  <w:abstractNum w:abstractNumId="64">
    <w:lvl w:ilvl="0">
      <w:start w:val="1"/>
      <w:numFmt w:val="bullet"/>
      <w:lvlText w:val=""/>
      <w:lvlJc w:val="start"/>
      <w:pPr>
        <w:tabs>
          <w:tab w:val="num" w:pos="360"/>
        </w:tabs>
        <w:ind w:start="360" w:hanging="360"/>
      </w:pPr>
      <w:rPr>
        <w:rFonts w:ascii="Wingdings" w:hAnsi="Wingdings" w:cs="Wingdings" w:hint="default"/>
        <w:sz w:val="16"/>
      </w:rPr>
    </w:lvl>
  </w:abstractNum>
  <w:abstractNum w:abstractNumId="65">
    <w:lvl w:ilvl="0">
      <w:start w:val="1"/>
      <w:numFmt w:val="bullet"/>
      <w:lvlText w:val=""/>
      <w:lvlJc w:val="start"/>
      <w:pPr>
        <w:tabs>
          <w:tab w:val="num" w:pos="360"/>
        </w:tabs>
        <w:ind w:start="360" w:hanging="360"/>
      </w:pPr>
      <w:rPr>
        <w:rFonts w:ascii="Wingdings" w:hAnsi="Wingdings" w:cs="Wingdings" w:hint="default"/>
        <w:sz w:val="16"/>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hanging="0" w:start="360" w:end="0"/>
      <w:outlineLvl w:val="2"/>
    </w:pPr>
    <w:rPr>
      <w:i/>
      <w:sz w:val="22"/>
    </w:rPr>
  </w:style>
  <w:style w:type="paragraph" w:styleId="Heading4">
    <w:name w:val="heading 4"/>
    <w:basedOn w:val="Normal"/>
    <w:next w:val="Normal"/>
    <w:qFormat/>
    <w:pPr>
      <w:keepNext w:val="true"/>
      <w:numPr>
        <w:ilvl w:val="3"/>
        <w:numId w:val="1"/>
      </w:numPr>
      <w:outlineLvl w:val="3"/>
    </w:pPr>
    <w:rPr>
      <w:i/>
      <w:sz w:val="22"/>
    </w:rPr>
  </w:style>
  <w:style w:type="paragraph" w:styleId="Heading5">
    <w:name w:val="heading 5"/>
    <w:basedOn w:val="Normal"/>
    <w:next w:val="Normal"/>
    <w:qFormat/>
    <w:pPr>
      <w:keepNext w:val="true"/>
      <w:numPr>
        <w:ilvl w:val="4"/>
        <w:numId w:val="1"/>
      </w:numPr>
      <w:outlineLvl w:val="4"/>
    </w:pPr>
    <w:rPr>
      <w:b/>
      <w:color w:val="000080"/>
      <w:sz w:val="24"/>
    </w:rPr>
  </w:style>
  <w:style w:type="paragraph" w:styleId="Heading6">
    <w:name w:val="heading 6"/>
    <w:basedOn w:val="Normal"/>
    <w:next w:val="Normal"/>
    <w:qFormat/>
    <w:pPr>
      <w:keepNext w:val="true"/>
      <w:numPr>
        <w:ilvl w:val="5"/>
        <w:numId w:val="1"/>
      </w:numPr>
      <w:pBdr>
        <w:bottom w:val="single" w:sz="18" w:space="1" w:color="000000"/>
      </w:pBdr>
      <w:jc w:val="center"/>
      <w:outlineLvl w:val="5"/>
    </w:pPr>
    <w:rPr>
      <w:b/>
      <w:sz w:val="32"/>
    </w:rPr>
  </w:style>
  <w:style w:type="paragraph" w:styleId="Heading7">
    <w:name w:val="heading 7"/>
    <w:basedOn w:val="Normal"/>
    <w:next w:val="Normal"/>
    <w:qFormat/>
    <w:pPr>
      <w:keepNext w:val="true"/>
      <w:numPr>
        <w:ilvl w:val="6"/>
        <w:numId w:val="1"/>
      </w:numPr>
      <w:spacing w:before="120" w:after="120"/>
      <w:outlineLvl w:val="6"/>
    </w:pPr>
    <w:rPr>
      <w:i/>
      <w:sz w:val="24"/>
    </w:rPr>
  </w:style>
  <w:style w:type="paragraph" w:styleId="Heading8">
    <w:name w:val="heading 8"/>
    <w:basedOn w:val="Normal"/>
    <w:next w:val="Normal"/>
    <w:qFormat/>
    <w:pPr>
      <w:keepNext w:val="true"/>
      <w:numPr>
        <w:ilvl w:val="7"/>
        <w:numId w:val="1"/>
      </w:numPr>
      <w:outlineLvl w:val="7"/>
    </w:pPr>
    <w:rPr>
      <w:b/>
      <w:sz w:val="24"/>
    </w:rPr>
  </w:style>
  <w:style w:type="paragraph" w:styleId="Heading9">
    <w:name w:val="heading 9"/>
    <w:basedOn w:val="Normal"/>
    <w:next w:val="Normal"/>
    <w:qFormat/>
    <w:pPr>
      <w:keepNext w:val="true"/>
      <w:numPr>
        <w:ilvl w:val="8"/>
        <w:numId w:val="1"/>
      </w:numPr>
      <w:outlineLvl w:val="8"/>
    </w:pPr>
    <w:rPr>
      <w:b/>
      <w:color w:val="00FF00"/>
      <w:sz w:val="24"/>
    </w:rPr>
  </w:style>
  <w:style w:type="character" w:styleId="WW8Num1z0">
    <w:name w:val="WW8Num1z0"/>
    <w:qFormat/>
    <w:rPr>
      <w:rFonts w:ascii="Wingdings" w:hAnsi="Wingdings" w:cs="Wingdings"/>
      <w:color w:val="000000"/>
      <w:sz w:val="16"/>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sz w:val="16"/>
    </w:rPr>
  </w:style>
  <w:style w:type="character" w:styleId="WW8Num9z0">
    <w:name w:val="WW8Num9z0"/>
    <w:qFormat/>
    <w:rPr/>
  </w:style>
  <w:style w:type="character" w:styleId="WW8Num10z0">
    <w:name w:val="WW8Num10z0"/>
    <w:qFormat/>
    <w:rPr>
      <w:rFonts w:ascii="Wingdings" w:hAnsi="Wingdings" w:cs="Wingdings"/>
      <w:sz w:val="16"/>
    </w:rPr>
  </w:style>
  <w:style w:type="character" w:styleId="WW8Num11z0">
    <w:name w:val="WW8Num11z0"/>
    <w:qFormat/>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color w:val="000000"/>
      <w:sz w:val="16"/>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sz w:val="16"/>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color w:val="000000"/>
      <w:sz w:val="16"/>
    </w:rPr>
  </w:style>
  <w:style w:type="character" w:styleId="WW8Num20z0">
    <w:name w:val="WW8Num20z0"/>
    <w:qFormat/>
    <w:rPr>
      <w:rFonts w:ascii="Wingdings" w:hAnsi="Wingdings" w:cs="Wingdings"/>
      <w:sz w:val="16"/>
    </w:rPr>
  </w:style>
  <w:style w:type="character" w:styleId="WW8Num21z0">
    <w:name w:val="WW8Num21z0"/>
    <w:qFormat/>
    <w:rPr/>
  </w:style>
  <w:style w:type="character" w:styleId="WW8Num22z0">
    <w:name w:val="WW8Num22z0"/>
    <w:qFormat/>
    <w:rPr>
      <w:rFonts w:ascii="Wingdings" w:hAnsi="Wingdings" w:cs="Wingdings"/>
      <w:color w:val="000000"/>
      <w:sz w:val="16"/>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6z0">
    <w:name w:val="WW8Num26z0"/>
    <w:qFormat/>
    <w:rPr/>
  </w:style>
  <w:style w:type="character" w:styleId="WW8Num27z0">
    <w:name w:val="WW8Num27z0"/>
    <w:qFormat/>
    <w:rPr>
      <w:rFonts w:ascii="Wingdings" w:hAnsi="Wingdings" w:cs="Wingdings"/>
      <w:sz w:val="16"/>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sz w:val="16"/>
    </w:rPr>
  </w:style>
  <w:style w:type="character" w:styleId="WW8Num33z0">
    <w:name w:val="WW8Num33z0"/>
    <w:qFormat/>
    <w:rPr>
      <w:rFonts w:ascii="Wingdings" w:hAnsi="Wingdings" w:cs="Wingdings"/>
      <w:color w:val="000000"/>
      <w:sz w:val="16"/>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color w:val="000000"/>
      <w:sz w:val="16"/>
    </w:rPr>
  </w:style>
  <w:style w:type="character" w:styleId="WW8Num38z0">
    <w:name w:val="WW8Num38z0"/>
    <w:qFormat/>
    <w:rPr>
      <w:rFonts w:ascii="Wingdings" w:hAnsi="Wingdings" w:cs="Wingdings"/>
      <w:sz w:val="16"/>
    </w:rPr>
  </w:style>
  <w:style w:type="character" w:styleId="WW8Num39z0">
    <w:name w:val="WW8Num39z0"/>
    <w:qFormat/>
    <w:rPr>
      <w:rFonts w:ascii="Wingdings" w:hAnsi="Wingdings" w:cs="Wingdings"/>
      <w:sz w:val="16"/>
    </w:rPr>
  </w:style>
  <w:style w:type="character" w:styleId="WW8Num40z0">
    <w:name w:val="WW8Num40z0"/>
    <w:qFormat/>
    <w:rPr/>
  </w:style>
  <w:style w:type="character" w:styleId="WW8Num41z0">
    <w:name w:val="WW8Num41z0"/>
    <w:qFormat/>
    <w:rPr>
      <w:rFonts w:ascii="Wingdings" w:hAnsi="Wingdings" w:cs="Wingdings"/>
      <w:color w:val="000000"/>
      <w:sz w:val="16"/>
    </w:rPr>
  </w:style>
  <w:style w:type="character" w:styleId="WW8Num42z0">
    <w:name w:val="WW8Num42z0"/>
    <w:qFormat/>
    <w:rPr>
      <w:rFonts w:ascii="Wingdings" w:hAnsi="Wingdings" w:cs="Wingdings"/>
      <w:sz w:val="16"/>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sz w:val="16"/>
    </w:rPr>
  </w:style>
  <w:style w:type="character" w:styleId="WW8Num46z0">
    <w:name w:val="WW8Num46z0"/>
    <w:qFormat/>
    <w:rPr>
      <w:rFonts w:ascii="Wingdings" w:hAnsi="Wingdings" w:cs="Wingdings"/>
      <w:sz w:val="16"/>
    </w:rPr>
  </w:style>
  <w:style w:type="character" w:styleId="WW8Num47z0">
    <w:name w:val="WW8Num47z0"/>
    <w:qFormat/>
    <w:rPr>
      <w:rFonts w:ascii="Wingdings" w:hAnsi="Wingdings" w:cs="Wingdings"/>
      <w:sz w:val="16"/>
    </w:rPr>
  </w:style>
  <w:style w:type="character" w:styleId="WW8Num48z0">
    <w:name w:val="WW8Num48z0"/>
    <w:qFormat/>
    <w:rPr>
      <w:rFonts w:ascii="Wingdings" w:hAnsi="Wingdings" w:cs="Wingdings"/>
      <w:sz w:val="16"/>
    </w:rPr>
  </w:style>
  <w:style w:type="character" w:styleId="WW8Num49z0">
    <w:name w:val="WW8Num49z0"/>
    <w:qFormat/>
    <w:rPr>
      <w:rFonts w:ascii="Wingdings" w:hAnsi="Wingdings" w:cs="Wingdings"/>
      <w:sz w:val="16"/>
    </w:rPr>
  </w:style>
  <w:style w:type="character" w:styleId="WW8Num50z0">
    <w:name w:val="WW8Num50z0"/>
    <w:qFormat/>
    <w:rPr>
      <w:rFonts w:ascii="Wingdings" w:hAnsi="Wingdings" w:cs="Wingdings"/>
      <w:sz w:val="16"/>
    </w:rPr>
  </w:style>
  <w:style w:type="character" w:styleId="WW8Num51z0">
    <w:name w:val="WW8Num51z0"/>
    <w:qFormat/>
    <w:rPr>
      <w:rFonts w:ascii="Wingdings" w:hAnsi="Wingdings" w:cs="Wingdings"/>
      <w:sz w:val="16"/>
    </w:rPr>
  </w:style>
  <w:style w:type="character" w:styleId="WW8Num52z0">
    <w:name w:val="WW8Num52z0"/>
    <w:qFormat/>
    <w:rPr>
      <w:rFonts w:ascii="Wingdings" w:hAnsi="Wingdings" w:cs="Wingdings"/>
      <w:sz w:val="16"/>
    </w:rPr>
  </w:style>
  <w:style w:type="character" w:styleId="WW8Num53z0">
    <w:name w:val="WW8Num53z0"/>
    <w:qFormat/>
    <w:rPr>
      <w:rFonts w:ascii="Wingdings" w:hAnsi="Wingdings" w:cs="Wingdings"/>
      <w:sz w:val="16"/>
    </w:rPr>
  </w:style>
  <w:style w:type="character" w:styleId="WW8Num54z0">
    <w:name w:val="WW8Num54z0"/>
    <w:qFormat/>
    <w:rPr>
      <w:rFonts w:ascii="Wingdings" w:hAnsi="Wingdings" w:cs="Wingdings"/>
      <w:sz w:val="16"/>
    </w:rPr>
  </w:style>
  <w:style w:type="character" w:styleId="WW8Num55z0">
    <w:name w:val="WW8Num55z0"/>
    <w:qFormat/>
    <w:rPr/>
  </w:style>
  <w:style w:type="character" w:styleId="WW8Num56z0">
    <w:name w:val="WW8Num56z0"/>
    <w:qFormat/>
    <w:rPr>
      <w:rFonts w:ascii="Wingdings" w:hAnsi="Wingdings" w:cs="Wingdings"/>
      <w:sz w:val="16"/>
    </w:rPr>
  </w:style>
  <w:style w:type="character" w:styleId="WW8Num57z0">
    <w:name w:val="WW8Num57z0"/>
    <w:qFormat/>
    <w:rPr>
      <w:rFonts w:ascii="Wingdings" w:hAnsi="Wingdings" w:cs="Wingdings"/>
      <w:sz w:val="16"/>
    </w:rPr>
  </w:style>
  <w:style w:type="character" w:styleId="WW8Num58z0">
    <w:name w:val="WW8Num58z0"/>
    <w:qFormat/>
    <w:rPr>
      <w:rFonts w:ascii="Wingdings" w:hAnsi="Wingdings" w:cs="Wingdings"/>
      <w:sz w:val="16"/>
    </w:rPr>
  </w:style>
  <w:style w:type="character" w:styleId="WW8Num59z0">
    <w:name w:val="WW8Num59z0"/>
    <w:qFormat/>
    <w:rPr>
      <w:rFonts w:ascii="Wingdings" w:hAnsi="Wingdings" w:cs="Wingdings"/>
      <w:sz w:val="16"/>
    </w:rPr>
  </w:style>
  <w:style w:type="character" w:styleId="WW8Num60z0">
    <w:name w:val="WW8Num60z0"/>
    <w:qFormat/>
    <w:rPr>
      <w:rFonts w:ascii="Wingdings" w:hAnsi="Wingdings" w:cs="Wingdings"/>
      <w:color w:val="000000"/>
      <w:sz w:val="16"/>
    </w:rPr>
  </w:style>
  <w:style w:type="character" w:styleId="WW8Num61z0">
    <w:name w:val="WW8Num61z0"/>
    <w:qFormat/>
    <w:rPr/>
  </w:style>
  <w:style w:type="character" w:styleId="WW8Num62z0">
    <w:name w:val="WW8Num62z0"/>
    <w:qFormat/>
    <w:rPr/>
  </w:style>
  <w:style w:type="character" w:styleId="WW8Num63z0">
    <w:name w:val="WW8Num63z0"/>
    <w:qFormat/>
    <w:rPr>
      <w:rFonts w:ascii="Wingdings" w:hAnsi="Wingdings" w:cs="Wingdings"/>
      <w:sz w:val="16"/>
    </w:rPr>
  </w:style>
  <w:style w:type="character" w:styleId="WW8Num64z0">
    <w:name w:val="WW8Num64z0"/>
    <w:qFormat/>
    <w:rPr>
      <w:rFonts w:ascii="Wingdings" w:hAnsi="Wingdings" w:cs="Wingdings"/>
      <w:sz w:val="16"/>
    </w:rPr>
  </w:style>
  <w:style w:type="character" w:styleId="WW8Num65z0">
    <w:name w:val="WW8Num65z0"/>
    <w:qFormat/>
    <w:rPr>
      <w:rFonts w:ascii="Wingdings" w:hAnsi="Wingdings" w:cs="Wingdings"/>
      <w:color w:val="000000"/>
      <w:sz w:val="16"/>
    </w:rPr>
  </w:style>
  <w:style w:type="character" w:styleId="WW8Num66z0">
    <w:name w:val="WW8Num66z0"/>
    <w:qFormat/>
    <w:rPr>
      <w:rFonts w:ascii="Wingdings" w:hAnsi="Wingdings" w:cs="Wingdings"/>
      <w:sz w:val="16"/>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rFonts w:ascii="Wingdings" w:hAnsi="Wingdings" w:cs="Wingdings"/>
      <w:sz w:val="16"/>
    </w:rPr>
  </w:style>
  <w:style w:type="character" w:styleId="WW8Num73z0">
    <w:name w:val="WW8Num73z0"/>
    <w:qFormat/>
    <w:rPr>
      <w:rFonts w:ascii="Wingdings" w:hAnsi="Wingdings" w:cs="Wingdings"/>
      <w:sz w:val="16"/>
    </w:rPr>
  </w:style>
  <w:style w:type="character" w:styleId="WW8Num74z0">
    <w:name w:val="WW8Num74z0"/>
    <w:qFormat/>
    <w:rPr>
      <w:rFonts w:ascii="Wingdings" w:hAnsi="Wingdings" w:cs="Wingdings"/>
      <w:sz w:val="16"/>
    </w:rPr>
  </w:style>
  <w:style w:type="character" w:styleId="WW8Num75z0">
    <w:name w:val="WW8Num75z0"/>
    <w:qFormat/>
    <w:rPr>
      <w:rFonts w:ascii="Wingdings" w:hAnsi="Wingdings" w:cs="Wingdings"/>
      <w:sz w:val="16"/>
    </w:rPr>
  </w:style>
  <w:style w:type="character" w:styleId="WW8Num76z0">
    <w:name w:val="WW8Num76z0"/>
    <w:qFormat/>
    <w:rPr/>
  </w:style>
  <w:style w:type="character" w:styleId="WW8Num77z0">
    <w:name w:val="WW8Num77z0"/>
    <w:qFormat/>
    <w:rPr>
      <w:rFonts w:ascii="Wingdings" w:hAnsi="Wingdings" w:cs="Wingdings"/>
      <w:sz w:val="16"/>
    </w:rPr>
  </w:style>
  <w:style w:type="character" w:styleId="WW8Num78z0">
    <w:name w:val="WW8Num78z0"/>
    <w:qFormat/>
    <w:rPr>
      <w:rFonts w:ascii="Wingdings" w:hAnsi="Wingdings" w:cs="Wingdings"/>
      <w:sz w:val="16"/>
    </w:rPr>
  </w:style>
  <w:style w:type="character" w:styleId="WW8Num79z0">
    <w:name w:val="WW8Num79z0"/>
    <w:qFormat/>
    <w:rPr>
      <w:rFonts w:ascii="Wingdings" w:hAnsi="Wingdings" w:cs="Wingdings"/>
      <w:color w:val="000000"/>
      <w:sz w:val="56"/>
    </w:rPr>
  </w:style>
  <w:style w:type="character" w:styleId="WW8Num80z0">
    <w:name w:val="WW8Num80z0"/>
    <w:qFormat/>
    <w:rPr>
      <w:rFonts w:ascii="Symbol" w:hAnsi="Symbol" w:cs="Symbol"/>
    </w:rPr>
  </w:style>
  <w:style w:type="character" w:styleId="WW8Num81z0">
    <w:name w:val="WW8Num81z0"/>
    <w:qFormat/>
    <w:rPr>
      <w:rFonts w:ascii="Wingdings" w:hAnsi="Wingdings" w:cs="Wingdings"/>
      <w:sz w:val="16"/>
    </w:rPr>
  </w:style>
  <w:style w:type="character" w:styleId="WW8Num82z0">
    <w:name w:val="WW8Num82z0"/>
    <w:qFormat/>
    <w:rPr/>
  </w:style>
  <w:style w:type="character" w:styleId="WW8Num83z0">
    <w:name w:val="WW8Num83z0"/>
    <w:qFormat/>
    <w:rPr>
      <w:rFonts w:ascii="Wingdings" w:hAnsi="Wingdings" w:cs="Wingdings"/>
      <w:color w:val="000000"/>
      <w:sz w:val="16"/>
    </w:rPr>
  </w:style>
  <w:style w:type="character" w:styleId="WW8Num84z0">
    <w:name w:val="WW8Num84z0"/>
    <w:qFormat/>
    <w:rPr>
      <w:rFonts w:ascii="Wingdings" w:hAnsi="Wingdings" w:cs="Wingdings"/>
      <w:sz w:val="16"/>
    </w:rPr>
  </w:style>
  <w:style w:type="character" w:styleId="WW8Num85z0">
    <w:name w:val="WW8Num85z0"/>
    <w:qFormat/>
    <w:rPr>
      <w:rFonts w:ascii="Wingdings" w:hAnsi="Wingdings" w:cs="Wingdings"/>
      <w:sz w:val="16"/>
    </w:rPr>
  </w:style>
  <w:style w:type="character" w:styleId="WW8Num86z0">
    <w:name w:val="WW8Num86z0"/>
    <w:qFormat/>
    <w:rPr>
      <w:rFonts w:ascii="Wingdings" w:hAnsi="Wingdings" w:cs="Wingdings"/>
      <w:sz w:val="16"/>
    </w:rPr>
  </w:style>
  <w:style w:type="character" w:styleId="WW8Num87z0">
    <w:name w:val="WW8Num87z0"/>
    <w:qFormat/>
    <w:rPr/>
  </w:style>
  <w:style w:type="character" w:styleId="WW8Num88z0">
    <w:name w:val="WW8Num88z0"/>
    <w:qFormat/>
    <w:rPr>
      <w:rFonts w:ascii="Wingdings" w:hAnsi="Wingdings" w:cs="Wingdings"/>
      <w:sz w:val="16"/>
    </w:rPr>
  </w:style>
  <w:style w:type="character" w:styleId="WW8Num89z0">
    <w:name w:val="WW8Num89z0"/>
    <w:qFormat/>
    <w:rPr/>
  </w:style>
  <w:style w:type="character" w:styleId="WW8Num90z0">
    <w:name w:val="WW8Num90z0"/>
    <w:qFormat/>
    <w:rPr>
      <w:rFonts w:ascii="Wingdings" w:hAnsi="Wingdings" w:cs="Wingdings"/>
      <w:color w:val="000000"/>
      <w:sz w:val="16"/>
    </w:rPr>
  </w:style>
  <w:style w:type="character" w:styleId="WW8Num91z0">
    <w:name w:val="WW8Num91z0"/>
    <w:qFormat/>
    <w:rPr>
      <w:rFonts w:ascii="Wingdings" w:hAnsi="Wingdings" w:cs="Wingdings"/>
      <w:sz w:val="16"/>
    </w:rPr>
  </w:style>
  <w:style w:type="character" w:styleId="WW8Num92z0">
    <w:name w:val="WW8Num92z0"/>
    <w:qFormat/>
    <w:rPr>
      <w:rFonts w:ascii="Wingdings" w:hAnsi="Wingdings" w:cs="Wingdings"/>
      <w:sz w:val="16"/>
    </w:rPr>
  </w:style>
  <w:style w:type="character" w:styleId="WW8Num93z0">
    <w:name w:val="WW8Num93z0"/>
    <w:qFormat/>
    <w:rPr>
      <w:rFonts w:ascii="Wingdings" w:hAnsi="Wingdings" w:cs="Wingdings"/>
      <w:color w:val="000000"/>
      <w:sz w:val="56"/>
    </w:rPr>
  </w:style>
  <w:style w:type="character" w:styleId="WW8Num94z0">
    <w:name w:val="WW8Num94z0"/>
    <w:qFormat/>
    <w:rPr>
      <w:rFonts w:ascii="Symbol" w:hAnsi="Symbol" w:cs="Symbol"/>
      <w:sz w:val="16"/>
    </w:rPr>
  </w:style>
  <w:style w:type="character" w:styleId="WW8Num95z0">
    <w:name w:val="WW8Num95z0"/>
    <w:qFormat/>
    <w:rPr>
      <w:rFonts w:ascii="Wingdings" w:hAnsi="Wingdings" w:cs="Wingdings"/>
      <w:sz w:val="16"/>
    </w:rPr>
  </w:style>
  <w:style w:type="character" w:styleId="WW8Num96z0">
    <w:name w:val="WW8Num96z0"/>
    <w:qFormat/>
    <w:rPr>
      <w:rFonts w:ascii="Wingdings" w:hAnsi="Wingdings" w:cs="Wingdings"/>
      <w:sz w:val="16"/>
    </w:rPr>
  </w:style>
  <w:style w:type="character" w:styleId="WW8Num97z0">
    <w:name w:val="WW8Num97z0"/>
    <w:qFormat/>
    <w:rPr>
      <w:rFonts w:ascii="Wingdings" w:hAnsi="Wingdings" w:cs="Wingdings"/>
      <w:sz w:val="16"/>
    </w:rPr>
  </w:style>
  <w:style w:type="character" w:styleId="WW8Num98z0">
    <w:name w:val="WW8Num98z0"/>
    <w:qFormat/>
    <w:rPr/>
  </w:style>
  <w:style w:type="character" w:styleId="WW8Num99z0">
    <w:name w:val="WW8Num99z0"/>
    <w:qFormat/>
    <w:rPr/>
  </w:style>
  <w:style w:type="character" w:styleId="WW8Num100z0">
    <w:name w:val="WW8Num100z0"/>
    <w:qFormat/>
    <w:rPr>
      <w:rFonts w:ascii="Wingdings" w:hAnsi="Wingdings" w:cs="Wingdings"/>
      <w:sz w:val="16"/>
    </w:rPr>
  </w:style>
  <w:style w:type="character" w:styleId="WW8Num101z0">
    <w:name w:val="WW8Num101z0"/>
    <w:qFormat/>
    <w:rPr>
      <w:rFonts w:ascii="Wingdings" w:hAnsi="Wingdings" w:cs="Wingdings"/>
      <w:sz w:val="16"/>
    </w:rPr>
  </w:style>
  <w:style w:type="character" w:styleId="WW8Num102z0">
    <w:name w:val="WW8Num102z0"/>
    <w:qFormat/>
    <w:rPr>
      <w:rFonts w:ascii="Wingdings" w:hAnsi="Wingdings" w:cs="Wingdings"/>
      <w:sz w:val="16"/>
    </w:rPr>
  </w:style>
  <w:style w:type="character" w:styleId="WW8Num103z0">
    <w:name w:val="WW8Num103z0"/>
    <w:qFormat/>
    <w:rPr>
      <w:rFonts w:ascii="Wingdings" w:hAnsi="Wingdings" w:cs="Wingdings"/>
      <w:color w:val="000000"/>
      <w:sz w:val="56"/>
    </w:rPr>
  </w:style>
  <w:style w:type="character" w:styleId="WW8Num104z0">
    <w:name w:val="WW8Num104z0"/>
    <w:qFormat/>
    <w:rPr>
      <w:rFonts w:ascii="Wingdings" w:hAnsi="Wingdings" w:cs="Wingdings"/>
      <w:sz w:val="16"/>
    </w:rPr>
  </w:style>
  <w:style w:type="character" w:styleId="WW8Num105z0">
    <w:name w:val="WW8Num105z0"/>
    <w:qFormat/>
    <w:rPr>
      <w:rFonts w:ascii="Wingdings" w:hAnsi="Wingdings" w:cs="Wingdings"/>
      <w:sz w:val="16"/>
    </w:rPr>
  </w:style>
  <w:style w:type="character" w:styleId="WW8Num106z0">
    <w:name w:val="WW8Num106z0"/>
    <w:qFormat/>
    <w:rPr>
      <w:rFonts w:ascii="Wingdings" w:hAnsi="Wingdings" w:cs="Wingdings"/>
      <w:sz w:val="16"/>
    </w:rPr>
  </w:style>
  <w:style w:type="character" w:styleId="WW8Num107z0">
    <w:name w:val="WW8Num107z0"/>
    <w:qFormat/>
    <w:rPr/>
  </w:style>
  <w:style w:type="character" w:styleId="WW8Num108z0">
    <w:name w:val="WW8Num108z0"/>
    <w:qFormat/>
    <w:rPr>
      <w:rFonts w:ascii="Wingdings" w:hAnsi="Wingdings" w:cs="Wingdings"/>
      <w:sz w:val="16"/>
    </w:rPr>
  </w:style>
  <w:style w:type="character" w:styleId="WW8Num109z0">
    <w:name w:val="WW8Num109z0"/>
    <w:qFormat/>
    <w:rPr>
      <w:rFonts w:ascii="Wingdings" w:hAnsi="Wingdings" w:cs="Wingdings"/>
      <w:sz w:val="16"/>
    </w:rPr>
  </w:style>
  <w:style w:type="character" w:styleId="WW8Num110z0">
    <w:name w:val="WW8Num110z0"/>
    <w:qFormat/>
    <w:rPr/>
  </w:style>
  <w:style w:type="character" w:styleId="WW8Num111z0">
    <w:name w:val="WW8Num111z0"/>
    <w:qFormat/>
    <w:rPr/>
  </w:style>
  <w:style w:type="character" w:styleId="WW8Num112z0">
    <w:name w:val="WW8Num112z0"/>
    <w:qFormat/>
    <w:rPr>
      <w:rFonts w:ascii="Wingdings" w:hAnsi="Wingdings" w:cs="Wingdings"/>
      <w:color w:val="000000"/>
      <w:sz w:val="16"/>
    </w:rPr>
  </w:style>
  <w:style w:type="character" w:styleId="WW8Num113z0">
    <w:name w:val="WW8Num113z0"/>
    <w:qFormat/>
    <w:rPr>
      <w:rFonts w:ascii="Wingdings" w:hAnsi="Wingdings" w:cs="Wingdings"/>
      <w:sz w:val="16"/>
    </w:rPr>
  </w:style>
  <w:style w:type="character" w:styleId="WW8Num114z0">
    <w:name w:val="WW8Num114z0"/>
    <w:qFormat/>
    <w:rPr/>
  </w:style>
  <w:style w:type="character" w:styleId="WW8Num115z0">
    <w:name w:val="WW8Num115z0"/>
    <w:qFormat/>
    <w:rPr/>
  </w:style>
  <w:style w:type="character" w:styleId="WW8Num116z0">
    <w:name w:val="WW8Num116z0"/>
    <w:qFormat/>
    <w:rPr>
      <w:rFonts w:ascii="Wingdings" w:hAnsi="Wingdings" w:cs="Wingdings"/>
      <w:color w:val="000000"/>
      <w:sz w:val="16"/>
    </w:rPr>
  </w:style>
  <w:style w:type="character" w:styleId="WW8Num117z0">
    <w:name w:val="WW8Num117z0"/>
    <w:qFormat/>
    <w:rPr>
      <w:rFonts w:ascii="Wingdings" w:hAnsi="Wingdings" w:cs="Wingdings"/>
      <w:color w:val="000000"/>
      <w:sz w:val="16"/>
    </w:rPr>
  </w:style>
  <w:style w:type="character" w:styleId="WW8Num118z0">
    <w:name w:val="WW8Num118z0"/>
    <w:qFormat/>
    <w:rPr>
      <w:rFonts w:ascii="Wingdings" w:hAnsi="Wingdings" w:cs="Wingdings"/>
      <w:sz w:val="16"/>
    </w:rPr>
  </w:style>
  <w:style w:type="character" w:styleId="WW8Num119z0">
    <w:name w:val="WW8Num119z0"/>
    <w:qFormat/>
    <w:rPr>
      <w:rFonts w:ascii="Wingdings" w:hAnsi="Wingdings" w:cs="Wingdings"/>
      <w:sz w:val="16"/>
    </w:rPr>
  </w:style>
  <w:style w:type="character" w:styleId="WW8Num120z0">
    <w:name w:val="WW8Num120z0"/>
    <w:qFormat/>
    <w:rPr>
      <w:rFonts w:ascii="Wingdings" w:hAnsi="Wingdings" w:cs="Wingdings"/>
      <w:sz w:val="16"/>
    </w:rPr>
  </w:style>
  <w:style w:type="character" w:styleId="WW8Num121z0">
    <w:name w:val="WW8Num121z0"/>
    <w:qFormat/>
    <w:rPr>
      <w:rFonts w:ascii="Wingdings" w:hAnsi="Wingdings" w:cs="Wingdings"/>
      <w:sz w:val="16"/>
    </w:rPr>
  </w:style>
  <w:style w:type="character" w:styleId="WW8Num122z0">
    <w:name w:val="WW8Num122z0"/>
    <w:qFormat/>
    <w:rPr>
      <w:rFonts w:ascii="Wingdings" w:hAnsi="Wingdings" w:cs="Wingdings"/>
      <w:color w:val="000000"/>
      <w:sz w:val="16"/>
    </w:rPr>
  </w:style>
  <w:style w:type="character" w:styleId="WW8Num123z0">
    <w:name w:val="WW8Num123z0"/>
    <w:qFormat/>
    <w:rPr>
      <w:rFonts w:ascii="Wingdings" w:hAnsi="Wingdings" w:cs="Wingdings"/>
      <w:sz w:val="16"/>
    </w:rPr>
  </w:style>
  <w:style w:type="character" w:styleId="WW8Num124z0">
    <w:name w:val="WW8Num124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BodyText3">
    <w:name w:val="Body Text 3"/>
    <w:basedOn w:val="Normal"/>
    <w:qFormat/>
    <w:pPr>
      <w:pBdr>
        <w:top w:val="single" w:sz="12" w:space="1" w:color="000000"/>
      </w:pBdr>
    </w:pPr>
    <w:rPr>
      <w:sz w:val="24"/>
    </w:rPr>
  </w:style>
  <w:style w:type="paragraph" w:styleId="Subtitle">
    <w:name w:val="Subtitle"/>
    <w:basedOn w:val="Normal"/>
    <w:next w:val="BodyText"/>
    <w:qFormat/>
    <w:pPr>
      <w:jc w:val="center"/>
    </w:pPr>
    <w:rPr>
      <w:sz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package" Target="embeddings/oleObject3.docx"/><Relationship Id="rId15" Type="http://schemas.openxmlformats.org/officeDocument/2006/relationships/image" Target="media/image10.wmf"/><Relationship Id="rId16" Type="http://schemas.openxmlformats.org/officeDocument/2006/relationships/image" Target="media/image11.png"/><Relationship Id="rId17" Type="http://schemas.openxmlformats.org/officeDocument/2006/relationships/package" Target="embeddings/oleObject4.xlsx"/><Relationship Id="rId18" Type="http://schemas.openxmlformats.org/officeDocument/2006/relationships/image" Target="media/image12.wmf"/><Relationship Id="rId19" Type="http://schemas.openxmlformats.org/officeDocument/2006/relationships/header" Target="head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2000-02-18T14:57:00Z</dcterms:created>
  <dc:creator>awais</dc:creator>
  <dc:description/>
  <dc:language>en-CA</dc:language>
  <cp:lastModifiedBy>kwalsh</cp:lastModifiedBy>
  <cp:lastPrinted>2000-02-14T09:51:00Z</cp:lastPrinted>
  <dcterms:modified xsi:type="dcterms:W3CDTF">2000-02-18T15:14:00Z</dcterms:modified>
  <cp:revision>7</cp:revision>
  <dc:subject/>
  <dc:title>E-commerce survey</dc:title>
</cp:coreProperties>
</file>