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pBdr>
          <w:top w:val="single" w:sz="12" w:space="1" w:color="000000"/>
        </w:pBdr>
        <w:rPr/>
      </w:pPr>
      <w:r>
        <w:rPr/>
      </w:r>
    </w:p>
    <w:p>
      <w:pPr>
        <w:pStyle w:val="Normal"/>
        <w:pBdr>
          <w:top w:val="single" w:sz="12" w:space="1" w:color="000000"/>
        </w:pBdr>
        <w:rPr/>
      </w:pPr>
      <w:r>
        <w:rPr/>
        <w:t>Ecogas, a privately help corporation (C Corp), along with its subsidiaries, is a developer and operator of landfill gas recovery facilities with technologies for processing landfill gas into pipeline quality gas, and also has upside potential through IRS tax credits, GHG emissions credits and CO2 sales.</w:t>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napToGrid w:val="false"/>
              <w:spacing w:before="0" w:after="120"/>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 xml:space="preserve">LEGAL NAME REPRESENTED BY STOCK: </w:t>
      </w:r>
      <w:r>
        <w:rPr/>
        <w:t>Ecogas Corporation</w:t>
      </w:r>
    </w:p>
    <w:p>
      <w:pPr>
        <w:pStyle w:val="Normal"/>
        <w:pBdr>
          <w:top w:val="single" w:sz="12" w:space="1" w:color="000000"/>
          <w:bottom w:val="single" w:sz="12" w:space="1" w:color="000000"/>
        </w:pBdr>
        <w:rPr/>
      </w:pPr>
      <w:r>
        <w:rPr>
          <w:b/>
        </w:rPr>
        <w:t>TICKER SYMBOL</w:t>
      </w:r>
      <w:r>
        <w:rPr/>
        <w:t>: N/A</w:t>
      </w:r>
    </w:p>
    <w:p>
      <w:pPr>
        <w:pStyle w:val="Normal"/>
        <w:pBdr>
          <w:top w:val="single" w:sz="12" w:space="1" w:color="000000"/>
          <w:bottom w:val="single" w:sz="12" w:space="1" w:color="000000"/>
        </w:pBdr>
        <w:rPr/>
      </w:pPr>
      <w:r>
        <w:rPr>
          <w:b/>
        </w:rPr>
        <w:t xml:space="preserve">TYPE OF INVESTMENT: </w:t>
      </w:r>
      <w:r>
        <w:rPr/>
        <w:t>Common Stock</w:t>
      </w:r>
    </w:p>
    <w:p>
      <w:pPr>
        <w:pStyle w:val="Normal"/>
        <w:pBdr>
          <w:top w:val="single" w:sz="12" w:space="1" w:color="000000"/>
          <w:bottom w:val="single" w:sz="12" w:space="1" w:color="000000"/>
        </w:pBdr>
        <w:rPr>
          <w:b/>
        </w:rPr>
      </w:pPr>
      <w:r>
        <w:rPr>
          <w:b/>
        </w:rPr>
        <w:t>TRADING EXCHANGE:</w:t>
      </w:r>
      <w:r>
        <w:rPr/>
        <w:t xml:space="preserve"> N/A</w:t>
      </w:r>
    </w:p>
    <w:p>
      <w:pPr>
        <w:pStyle w:val="Normal"/>
        <w:pBdr>
          <w:top w:val="single" w:sz="12" w:space="1" w:color="000000"/>
          <w:bottom w:val="single" w:sz="12" w:space="1" w:color="000000"/>
        </w:pBdr>
        <w:rPr/>
      </w:pPr>
      <w:r>
        <w:rPr>
          <w:b/>
        </w:rPr>
        <w:t xml:space="preserve">STRIKE PRICE:  </w:t>
      </w:r>
      <w:r>
        <w:rPr/>
        <w:t>$0.00/share ($0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3,453,688</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/mnt/main-storage/datasets/enron-docs/doc/Ecogas_Equity.doc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/mnt/main-storage/datasets/enron-docs/doc/Ecogas_Equity.doc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2000-09-06T19:13:00Z</dcterms:created>
  <dc:creator>mruane</dc:creator>
  <dc:description>MR: 9-20-99 added tax signoff</dc:description>
  <dc:language>en-CA</dc:language>
  <cp:lastModifiedBy>Lisa M. King</cp:lastModifiedBy>
  <cp:lastPrinted>2000-09-08T07:34:00Z</cp:lastPrinted>
  <dcterms:modified xsi:type="dcterms:W3CDTF">2000-09-08T10:04:00Z</dcterms:modified>
  <cp:revision>9</cp:revision>
  <dc:subject/>
  <dc:title>ENRON RISK ASSESSMENT AND CONTROL</dc:title>
</cp:coreProperties>
</file>