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emf" ContentType="image/x-emf"/>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60" w:after="60"/>
        <w:rPr>
          <w:sz w:val="2"/>
        </w:rPr>
      </w:pPr>
      <w:r>
        <w:rPr>
          <w:sz w:val="2"/>
        </w:rPr>
      </w:r>
      <w:r>
        <mc:AlternateContent>
          <mc:Choice Requires="wps">
            <w:drawing>
              <wp:anchor behindDoc="0" distT="0" distB="0" distL="114300" distR="114300" simplePos="0" locked="0" layoutInCell="0" allowOverlap="1" relativeHeight="2">
                <wp:simplePos x="0" y="0"/>
                <wp:positionH relativeFrom="page">
                  <wp:posOffset>1057910</wp:posOffset>
                </wp:positionH>
                <wp:positionV relativeFrom="paragraph">
                  <wp:posOffset>-647065</wp:posOffset>
                </wp:positionV>
                <wp:extent cx="3820160" cy="1979930"/>
                <wp:effectExtent l="0" t="0" r="0" b="0"/>
                <wp:wrapSquare wrapText="bothSides"/>
                <wp:docPr id="1" name="Frame1"/>
                <a:graphic xmlns:a="http://schemas.openxmlformats.org/drawingml/2006/main">
                  <a:graphicData uri="http://schemas.microsoft.com/office/word/2010/wordprocessingShape">
                    <wps:wsp>
                      <wps:cNvSpPr txBox="1"/>
                      <wps:spPr>
                        <a:xfrm>
                          <a:off x="0" y="0"/>
                          <a:ext cx="3820160" cy="1979930"/>
                        </a:xfrm>
                        <a:prstGeom prst="rect"/>
                        <a:solidFill>
                          <a:srgbClr val="FFFFFF">
                            <a:alpha val="0"/>
                          </a:srgbClr>
                        </a:solidFill>
                      </wps:spPr>
                      <wps:txbx>
                        <w:txbxContent>
                          <w:p>
                            <w:pPr>
                              <w:pStyle w:val="Normal"/>
                              <w:widowControl/>
                              <w:bidi w:val="0"/>
                              <w:spacing w:before="60" w:after="60"/>
                              <w:rPr/>
                            </w:pPr>
                            <w:r>
                              <w:rPr/>
                              <w:object w:dxaOrig="2387" w:dyaOrig="237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19.35pt;height:118.55pt" filled="f" o:ole="">
                                  <v:imagedata r:id="rId3" o:title=""/>
                                </v:shape>
                                <o:OLEObject Type="Embed" ProgID="" ShapeID="ole_rId2" DrawAspect="Content" ObjectID="_374158752" r:id="rId2"/>
                              </w:object>
                            </w:r>
                          </w:p>
                          <w:p>
                            <w:pPr>
                              <w:pStyle w:val="Normal"/>
                              <w:rPr/>
                            </w:pPr>
                            <w:r>
                              <w:rPr/>
                            </w:r>
                          </w:p>
                          <w:p>
                            <w:pPr>
                              <w:pStyle w:val="Normal"/>
                              <w:spacing w:before="0" w:after="0"/>
                              <w:rPr>
                                <w:rFonts w:ascii="Arial" w:hAnsi="Arial" w:cs="Arial"/>
                              </w:rPr>
                            </w:pPr>
                            <w:r>
                              <w:rPr>
                                <w:rFonts w:cs="Arial" w:ascii="Arial" w:hAnsi="Arial"/>
                                <w:b/>
                                <w:sz w:val="24"/>
                              </w:rPr>
                              <w:t>InterOffice Memo</w:t>
                            </w:r>
                          </w:p>
                        </w:txbxContent>
                      </wps:txbx>
                      <wps:bodyPr anchor="t" lIns="0" tIns="0" rIns="0" bIns="0">
                        <a:noAutofit/>
                      </wps:bodyPr>
                    </wps:wsp>
                  </a:graphicData>
                </a:graphic>
              </wp:anchor>
            </w:drawing>
          </mc:Choice>
          <mc:Fallback>
            <w:pict>
              <v:rect fillcolor="#FFFFFF" style="position:absolute;rotation:-0;width:300.8pt;height:155.9pt;mso-wrap-distance-left:9pt;mso-wrap-distance-right:9pt;mso-wrap-distance-top:0pt;mso-wrap-distance-bottom:0pt;margin-top:-50.95pt;mso-position-vertical-relative:text;margin-left:83.3pt;mso-position-horizontal-relative:page">
                <v:fill opacity="0f"/>
                <v:textbox inset="0in,0in,0in,0in">
                  <w:txbxContent>
                    <w:p>
                      <w:pPr>
                        <w:pStyle w:val="Normal"/>
                        <w:widowControl/>
                        <w:bidi w:val="0"/>
                        <w:spacing w:before="60" w:after="60"/>
                        <w:rPr/>
                      </w:pPr>
                      <w:r>
                        <w:rPr/>
                        <w:object w:dxaOrig="2387" w:dyaOrig="2371">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19.35pt;height:118.55pt" filled="f" o:ole="">
                            <v:imagedata r:id="rId5" o:title=""/>
                          </v:shape>
                          <o:OLEObject Type="Embed" ProgID="" ShapeID="ole_rId4" DrawAspect="Content" ObjectID="_1010913336" r:id="rId4"/>
                        </w:object>
                      </w:r>
                    </w:p>
                    <w:p>
                      <w:pPr>
                        <w:pStyle w:val="Normal"/>
                        <w:rPr/>
                      </w:pPr>
                      <w:r>
                        <w:rPr/>
                      </w:r>
                    </w:p>
                    <w:p>
                      <w:pPr>
                        <w:pStyle w:val="Normal"/>
                        <w:spacing w:before="0" w:after="0"/>
                        <w:rPr>
                          <w:rFonts w:ascii="Arial" w:hAnsi="Arial" w:cs="Arial"/>
                        </w:rPr>
                      </w:pPr>
                      <w:r>
                        <w:rPr>
                          <w:rFonts w:cs="Arial" w:ascii="Arial" w:hAnsi="Arial"/>
                          <w:b/>
                          <w:sz w:val="24"/>
                        </w:rPr>
                        <w:t>InterOffice Memo</w:t>
                      </w:r>
                    </w:p>
                  </w:txbxContent>
                </v:textbox>
                <w10:wrap type="square"/>
              </v:rect>
            </w:pict>
          </mc:Fallback>
        </mc:AlternateContent>
      </w:r>
    </w:p>
    <w:tbl>
      <w:tblPr>
        <w:tblW w:w="8748" w:type="dxa"/>
        <w:jc w:val="start"/>
        <w:tblInd w:w="0" w:type="dxa"/>
        <w:tblLayout w:type="fixed"/>
        <w:tblCellMar>
          <w:top w:w="0" w:type="dxa"/>
          <w:start w:w="108" w:type="dxa"/>
          <w:bottom w:w="0" w:type="dxa"/>
          <w:end w:w="108" w:type="dxa"/>
        </w:tblCellMar>
      </w:tblPr>
      <w:tblGrid>
        <w:gridCol w:w="1188"/>
        <w:gridCol w:w="7560"/>
      </w:tblGrid>
      <w:tr>
        <w:trPr/>
        <w:tc>
          <w:tcPr>
            <w:tcW w:w="1188" w:type="dxa"/>
            <w:tcBorders/>
          </w:tcPr>
          <w:p>
            <w:pPr>
              <w:pStyle w:val="Normal"/>
              <w:spacing w:before="60" w:after="60"/>
              <w:rPr>
                <w:rFonts w:ascii="Arial" w:hAnsi="Arial" w:cs="Arial"/>
              </w:rPr>
            </w:pPr>
            <w:r>
              <w:rPr>
                <w:rFonts w:cs="Arial" w:ascii="Arial" w:hAnsi="Arial"/>
                <w:b/>
              </w:rPr>
              <w:t>To:</w:t>
            </w:r>
          </w:p>
        </w:tc>
        <w:tc>
          <w:tcPr>
            <w:tcW w:w="7560" w:type="dxa"/>
            <w:tcBorders/>
          </w:tcPr>
          <w:p>
            <w:pPr>
              <w:pStyle w:val="To"/>
              <w:spacing w:before="60" w:after="60"/>
              <w:rPr>
                <w:rFonts w:ascii="Arial" w:hAnsi="Arial" w:cs="Arial"/>
              </w:rPr>
            </w:pPr>
            <w:bookmarkStart w:id="0" w:name="To"/>
            <w:bookmarkEnd w:id="0"/>
            <w:r>
              <w:rPr>
                <w:rFonts w:cs="Arial" w:ascii="Arial" w:hAnsi="Arial"/>
              </w:rPr>
              <w:t>Greg Curran</w:t>
            </w:r>
          </w:p>
        </w:tc>
      </w:tr>
      <w:tr>
        <w:trPr/>
        <w:tc>
          <w:tcPr>
            <w:tcW w:w="1188" w:type="dxa"/>
            <w:tcBorders/>
          </w:tcPr>
          <w:p>
            <w:pPr>
              <w:pStyle w:val="Normal"/>
              <w:spacing w:before="60" w:after="60"/>
              <w:rPr>
                <w:rFonts w:ascii="Arial" w:hAnsi="Arial" w:cs="Arial"/>
              </w:rPr>
            </w:pPr>
            <w:r>
              <w:rPr>
                <w:rFonts w:cs="Arial" w:ascii="Arial" w:hAnsi="Arial"/>
                <w:b/>
              </w:rPr>
              <w:t>From:</w:t>
            </w:r>
          </w:p>
        </w:tc>
        <w:tc>
          <w:tcPr>
            <w:tcW w:w="7560" w:type="dxa"/>
            <w:tcBorders/>
          </w:tcPr>
          <w:p>
            <w:pPr>
              <w:pStyle w:val="From"/>
              <w:spacing w:before="60" w:after="60"/>
              <w:rPr>
                <w:rFonts w:ascii="Arial" w:hAnsi="Arial" w:cs="Arial"/>
              </w:rPr>
            </w:pPr>
            <w:bookmarkStart w:id="1" w:name="From"/>
            <w:bookmarkEnd w:id="1"/>
            <w:r>
              <w:rPr>
                <w:rFonts w:cs="Arial" w:ascii="Arial" w:hAnsi="Arial"/>
              </w:rPr>
              <w:t>Paul Y’Barbo</w:t>
            </w:r>
          </w:p>
        </w:tc>
      </w:tr>
      <w:tr>
        <w:trPr/>
        <w:tc>
          <w:tcPr>
            <w:tcW w:w="1188" w:type="dxa"/>
            <w:tcBorders/>
          </w:tcPr>
          <w:p>
            <w:pPr>
              <w:pStyle w:val="Normal"/>
              <w:spacing w:before="60" w:after="60"/>
              <w:rPr>
                <w:rFonts w:ascii="Arial" w:hAnsi="Arial" w:cs="Arial"/>
              </w:rPr>
            </w:pPr>
            <w:r>
              <w:rPr>
                <w:rFonts w:cs="Arial" w:ascii="Arial" w:hAnsi="Arial"/>
                <w:b/>
              </w:rPr>
              <w:t>Date:</w:t>
            </w:r>
          </w:p>
        </w:tc>
        <w:tc>
          <w:tcPr>
            <w:tcW w:w="7560" w:type="dxa"/>
            <w:tcBorders/>
          </w:tcPr>
          <w:p>
            <w:pPr>
              <w:pStyle w:val="Date"/>
              <w:spacing w:before="60" w:after="60"/>
              <w:rPr>
                <w:rFonts w:ascii="Arial" w:hAnsi="Arial" w:cs="Arial"/>
              </w:rPr>
            </w:pPr>
            <w:r>
              <w:rPr>
                <w:rFonts w:cs="Arial" w:ascii="Arial" w:hAnsi="Arial"/>
              </w:rPr>
              <w:t>November 1, 2000</w:t>
            </w:r>
          </w:p>
        </w:tc>
      </w:tr>
      <w:tr>
        <w:trPr/>
        <w:tc>
          <w:tcPr>
            <w:tcW w:w="1188" w:type="dxa"/>
            <w:tcBorders>
              <w:bottom w:val="single" w:sz="18" w:space="0" w:color="000000"/>
            </w:tcBorders>
          </w:tcPr>
          <w:p>
            <w:pPr>
              <w:pStyle w:val="Normal"/>
              <w:spacing w:before="60" w:after="60"/>
              <w:rPr>
                <w:rFonts w:ascii="Arial" w:hAnsi="Arial" w:cs="Arial"/>
              </w:rPr>
            </w:pPr>
            <w:r>
              <w:rPr>
                <w:rFonts w:cs="Arial" w:ascii="Arial" w:hAnsi="Arial"/>
                <w:b/>
              </w:rPr>
              <w:t>Subject:</w:t>
            </w:r>
          </w:p>
        </w:tc>
        <w:tc>
          <w:tcPr>
            <w:tcW w:w="7560" w:type="dxa"/>
            <w:tcBorders>
              <w:bottom w:val="single" w:sz="18" w:space="0" w:color="000000"/>
            </w:tcBorders>
          </w:tcPr>
          <w:p>
            <w:pPr>
              <w:pStyle w:val="Subject"/>
              <w:spacing w:before="60" w:after="60"/>
              <w:rPr>
                <w:rFonts w:ascii="Arial" w:hAnsi="Arial" w:cs="Arial"/>
              </w:rPr>
            </w:pPr>
            <w:bookmarkStart w:id="2" w:name="Subject"/>
            <w:bookmarkEnd w:id="2"/>
            <w:r>
              <w:rPr>
                <w:rFonts w:cs="Arial" w:ascii="Arial" w:hAnsi="Arial"/>
              </w:rPr>
              <w:t>Puerto Rico – Fuel Cost and Power Sales Revenue Summary</w:t>
            </w:r>
          </w:p>
        </w:tc>
      </w:tr>
    </w:tbl>
    <w:p>
      <w:pPr>
        <w:pStyle w:val="Normal"/>
        <w:jc w:val="both"/>
        <w:rPr>
          <w:rFonts w:ascii="Arial" w:hAnsi="Arial" w:cs="Arial"/>
        </w:rPr>
      </w:pPr>
      <w:r>
        <w:rPr>
          <w:rFonts w:cs="Arial" w:ascii="Arial" w:hAnsi="Arial"/>
        </w:rPr>
      </w:r>
      <w:bookmarkStart w:id="3" w:name="StartOfMemo"/>
      <w:bookmarkStart w:id="4" w:name="StartOfMemo"/>
      <w:bookmarkEnd w:id="4"/>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Heading7"/>
        <w:ind w:hanging="0" w:start="0"/>
        <w:rPr>
          <w:sz w:val="32"/>
        </w:rPr>
      </w:pPr>
      <w:r>
        <w:rPr>
          <w:sz w:val="32"/>
        </w:rPr>
        <w:t>507 MW EcoEléctrica Power Project</w:t>
      </w:r>
    </w:p>
    <w:p>
      <w:pPr>
        <w:pStyle w:val="Heading5"/>
        <w:ind w:hanging="0" w:start="0"/>
        <w:rPr>
          <w:sz w:val="28"/>
        </w:rPr>
      </w:pPr>
      <w:r>
        <w:rPr>
          <w:sz w:val="28"/>
        </w:rPr>
        <w:t>Puerto Rico</w:t>
      </w:r>
    </w:p>
    <w:p>
      <w:pPr>
        <w:pStyle w:val="Normal"/>
        <w:jc w:val="center"/>
        <w:rPr>
          <w:rFonts w:ascii="Arial" w:hAnsi="Arial" w:cs="Arial"/>
          <w:sz w:val="28"/>
        </w:rPr>
      </w:pPr>
      <w:r>
        <w:rPr>
          <w:rFonts w:cs="Arial" w:ascii="Arial" w:hAnsi="Arial"/>
          <w:sz w:val="28"/>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Heading6"/>
        <w:ind w:hanging="0" w:start="0"/>
        <w:jc w:val="center"/>
        <w:rPr>
          <w:sz w:val="24"/>
        </w:rPr>
      </w:pPr>
      <w:r>
        <w:rPr>
          <w:sz w:val="24"/>
        </w:rPr>
        <w:t>Project Description</w:t>
      </w:r>
    </w:p>
    <w:p>
      <w:pPr>
        <w:pStyle w:val="Normal"/>
        <w:jc w:val="both"/>
        <w:rPr>
          <w:rFonts w:ascii="Arial" w:hAnsi="Arial" w:cs="Arial"/>
        </w:rPr>
      </w:pPr>
      <w:r>
        <w:rPr>
          <w:rFonts w:cs="Arial" w:ascii="Arial" w:hAnsi="Arial"/>
        </w:rPr>
        <w:t>The 507 MW EcoEléctrica power plant is located on the south coast of Puerto Rico approximately 15 miles west of Ponce. Enron and Edison Mission Energy are 50-50 partners in the project. The plant operates two combustion turbines (175 MW each) and one steam turbine. EcoEléctrica represents 15% of Puerto Rico’s total power generation capacity.</w:t>
      </w:r>
    </w:p>
    <w:p>
      <w:pPr>
        <w:pStyle w:val="Normal"/>
        <w:jc w:val="both"/>
        <w:rPr>
          <w:rFonts w:ascii="Arial" w:hAnsi="Arial" w:cs="Arial"/>
        </w:rPr>
      </w:pPr>
      <w:r>
        <w:rPr>
          <w:rFonts w:cs="Arial" w:ascii="Arial" w:hAnsi="Arial"/>
        </w:rPr>
        <w:t>EcoEléctrica has a twenty-two year power sales contract with PREPA. Revenue from PREPA comes in the form of both a Capacity Payment and an Energy Payment. The Capacity Payment is similar to a demand payment and is contingent upon EcoEléctrica maintaining its availability. The Energy Payment is a fuel cost recovery mechanism that is approximately equal to EcoEléctrica’s LNG cost up to a 76% dispatch rate (67,970 MMBtu/day). If LPG or diesel is consumed, EcoEléctrica absorbs any price benefit or detriment up to the 76% dispatch level. Above a 76% dispatch, EcoEléctrica offers PREPA a price for power and PREPA chooses whether or not to dispatch above 76%. See Attachments 1 and 2 for additional information about the Energy Payment.</w:t>
      </w:r>
    </w:p>
    <w:p>
      <w:pPr>
        <w:pStyle w:val="Normal"/>
        <w:jc w:val="both"/>
        <w:rPr>
          <w:rFonts w:ascii="Arial" w:hAnsi="Arial" w:cs="Arial"/>
        </w:rPr>
      </w:pPr>
      <w:r>
        <w:rPr>
          <w:rFonts w:cs="Arial" w:ascii="Arial" w:hAnsi="Arial"/>
        </w:rPr>
        <w:t>EcoEléctrica’s only fuel contract is a twenty-year LNG supply contract with Cabot. The contract calls for the annual delivery of 24.5 trillion Btu’s of LNG. Attachment 3 is a summary of the key points of the Cabot LNG supply contract. In addition to natural gas, the plant has the capability of burning propane and low sulfur diesel. On site fuel storage capability includes a 160,000 cubic meter (3.6 trillion Btu) LNG storage tank and a 218,000 barrel oil tank. Additionally, EcoEléctrica has access to 23,400 metric tons of LPG storage at nearby ProCaribe (100% Enron owned).</w:t>
      </w:r>
      <w:r>
        <w:br w:type="page"/>
      </w:r>
    </w:p>
    <w:p>
      <w:pPr>
        <w:pStyle w:val="Normal"/>
        <w:jc w:val="both"/>
        <w:rPr>
          <w:rFonts w:ascii="Arial" w:hAnsi="Arial" w:cs="Arial"/>
        </w:rPr>
      </w:pPr>
      <w:r>
        <w:rPr>
          <w:rFonts w:cs="Arial" w:ascii="Arial" w:hAnsi="Arial"/>
        </w:rPr>
      </w:r>
    </w:p>
    <w:p>
      <w:pPr>
        <w:pStyle w:val="Heading6"/>
        <w:ind w:hanging="0" w:start="0"/>
        <w:jc w:val="center"/>
        <w:rPr>
          <w:sz w:val="24"/>
        </w:rPr>
      </w:pPr>
      <w:r>
        <w:rPr>
          <w:sz w:val="24"/>
        </w:rPr>
        <w:t>Opportunities</w:t>
      </w:r>
    </w:p>
    <w:p>
      <w:pPr>
        <w:pStyle w:val="Normal"/>
        <w:jc w:val="both"/>
        <w:rPr>
          <w:rFonts w:ascii="Arial" w:hAnsi="Arial" w:cs="Arial"/>
          <w:sz w:val="24"/>
        </w:rPr>
      </w:pPr>
      <w:r>
        <w:rPr>
          <w:rFonts w:cs="Arial" w:ascii="Arial" w:hAnsi="Arial"/>
          <w:sz w:val="24"/>
        </w:rPr>
      </w:r>
    </w:p>
    <w:p>
      <w:pPr>
        <w:pStyle w:val="Heading6"/>
        <w:ind w:hanging="0" w:start="0"/>
        <w:jc w:val="both"/>
        <w:rPr/>
      </w:pPr>
      <w:r>
        <w:rPr/>
        <w:t>Call Option on Cabot Contract LNG Commodity Charge – Propane/Diesel Spread</w:t>
      </w:r>
    </w:p>
    <w:p>
      <w:pPr>
        <w:pStyle w:val="Normal"/>
        <w:jc w:val="both"/>
        <w:rPr>
          <w:rFonts w:ascii="Arial" w:hAnsi="Arial" w:cs="Arial"/>
        </w:rPr>
      </w:pPr>
      <w:r>
        <w:rPr>
          <w:rFonts w:cs="Arial" w:ascii="Arial" w:hAnsi="Arial"/>
        </w:rPr>
        <w:t>The EcoEléctrica project’s power sales and fuel supply contracts combine to function very similarly to a twenty year call option on the spread between the Cabot contract LNG Commodity Charge and the delivered cost of propane or diesel. Summing the cash inflows resulting from PREPA’s Energy Payment and the outflows associated with fuel purchases results in the same net cash as would a $0 strike price call option on this spread (valid up to a 76% dispatch rate).</w:t>
      </w:r>
    </w:p>
    <w:p>
      <w:pPr>
        <w:pStyle w:val="Normal"/>
        <w:jc w:val="both"/>
        <w:rPr>
          <w:rFonts w:ascii="Arial" w:hAnsi="Arial" w:cs="Arial"/>
        </w:rPr>
      </w:pPr>
      <w:r>
        <w:rPr>
          <w:rFonts w:cs="Arial" w:ascii="Arial" w:hAnsi="Arial"/>
        </w:rPr>
        <w:t>Consider the following points. EcoEléctrica’s capability to consume three different fuels gives it a fuel expense stream that equals the Cabot contract Demand Charge plus the minimum of the price of the Cabot contract LNG Commodity Charge, propane, or diesel. Its revenue stream (Energy Payment) is almost exactly equal to its all-in cost of LNG (Demand Charge plus Commodity Charge).</w:t>
      </w:r>
    </w:p>
    <w:p>
      <w:pPr>
        <w:pStyle w:val="Normal"/>
        <w:jc w:val="both"/>
        <w:rPr>
          <w:rFonts w:ascii="Arial" w:hAnsi="Arial" w:cs="Arial"/>
        </w:rPr>
      </w:pPr>
      <w:r>
        <w:rPr>
          <w:rFonts w:cs="Arial" w:ascii="Arial" w:hAnsi="Arial"/>
        </w:rPr>
        <w:t>When the LNG Commodity Charge is priced lower than propane or diesel, the project consumes natural gas and Energy Payment revenue minus fuel cost equals zero. Said another way, a LNG Commodity Charge – Propane/Diesel spread call option would have been out of the money (the spread was less than the strike price of $0), not exercised, and would have expired worthless. However, when the LNG Commodity Charge is priced higher than propane or diesel, the project consumes either propane or diesel. Energy Payment revenue minus fuel cost is greater than zero. The positive net cash is the difference between the LNG Commodity Charge and the delivered price of propane or diesel. The exercise of a call option on the spread would result in the same cash impact.</w:t>
      </w:r>
    </w:p>
    <w:p>
      <w:pPr>
        <w:pStyle w:val="Normal"/>
        <w:jc w:val="both"/>
        <w:rPr>
          <w:rFonts w:ascii="Arial" w:hAnsi="Arial" w:cs="Arial"/>
        </w:rPr>
      </w:pPr>
      <w:r>
        <w:rPr>
          <w:rFonts w:cs="Arial" w:ascii="Arial" w:hAnsi="Arial"/>
        </w:rPr>
        <w:t>Notice that as long as EcoEléctrica’s LNG facilities are operational, the project will not have a net cash outflow when summing Energy Payment revenue and fuel expense. In other words, there is only upside and no downside. Again, a call option on the spread would have the same characteristic.</w:t>
      </w:r>
    </w:p>
    <w:p>
      <w:pPr>
        <w:pStyle w:val="Normal"/>
        <w:jc w:val="both"/>
        <w:rPr>
          <w:rFonts w:ascii="Arial" w:hAnsi="Arial" w:cs="Arial"/>
        </w:rPr>
      </w:pPr>
      <w:r>
        <w:rPr>
          <w:rFonts w:cs="Arial" w:ascii="Arial" w:hAnsi="Arial"/>
        </w:rPr>
        <w:t xml:space="preserve">It should be noted that diesel is considered to be an emergency fuel. Its usage is limited to 54 MM gallons per year, which is sufficient for 90 days of operation at 100% output. Propane is considered to be the backup fuel. Additionally, diesel consumption results in a reduction in maximum output to 465 MW, which impacts the Capacity Payment. </w:t>
      </w:r>
    </w:p>
    <w:p>
      <w:pPr>
        <w:pStyle w:val="Normal"/>
        <w:jc w:val="both"/>
        <w:rPr>
          <w:rFonts w:ascii="Arial" w:hAnsi="Arial" w:cs="Arial"/>
        </w:rPr>
      </w:pPr>
      <w:r>
        <w:rPr>
          <w:rFonts w:cs="Arial" w:ascii="Arial" w:hAnsi="Arial"/>
        </w:rPr>
        <w:t>Current prices make the near term value of the fuel switchability almost worthless (the Year 2001 spread is currently near -$3.00/MMBtu). However, in essence the project holds a twenty year strip of the spread call options and it would be a worthwhile exercise to price these options using current long-term forward curves and an option pricing model. Note that, pricing these options will be somewhat complicated by the fact that the Cabot contract LNG Commodity Charge has both a NYMEX Henry Hub natural gas component and a Puerto Rico CPI component. Also, the LNG contract’s Winter Cargo has some additional charges built into its price. Another complication is the fact that each of the three different fuels has a different Heat Rate (Attachment 1). Nevertheless, once the value of these options is quantified, the potential for mark-to-market accounting treatment can be evaluated.</w:t>
      </w:r>
    </w:p>
    <w:p>
      <w:pPr>
        <w:pStyle w:val="Normal"/>
        <w:jc w:val="both"/>
        <w:rPr>
          <w:rFonts w:ascii="Arial" w:hAnsi="Arial" w:cs="Arial"/>
        </w:rPr>
      </w:pPr>
      <w:r>
        <w:rPr>
          <w:rFonts w:cs="Arial" w:ascii="Arial" w:hAnsi="Arial"/>
        </w:rPr>
      </w:r>
    </w:p>
    <w:p>
      <w:pPr>
        <w:pStyle w:val="Heading6"/>
        <w:ind w:hanging="0" w:start="0"/>
        <w:jc w:val="both"/>
        <w:rPr/>
      </w:pPr>
      <w:r>
        <w:rPr/>
        <w:t>Current Year Spot Natural Gas Prices - Cabot Contract LNG Commodity Charge Spread</w:t>
      </w:r>
    </w:p>
    <w:p>
      <w:pPr>
        <w:pStyle w:val="Normal"/>
        <w:jc w:val="both"/>
        <w:rPr>
          <w:rFonts w:ascii="Arial" w:hAnsi="Arial" w:cs="Arial"/>
        </w:rPr>
      </w:pPr>
      <w:r>
        <w:rPr>
          <w:rFonts w:cs="Arial" w:ascii="Arial" w:hAnsi="Arial"/>
        </w:rPr>
        <w:t>Trading opportunities can arise at times when worldwide spot natural gas prices significantly exceed the Cabot contract LNG Commodity Charge. The Commodity Charge is based on U.S. natural gas prices for the year prior to the year in which delivery occurs. If natural gas prices surge, EcoEléctrica could negotiate an arrangement with Cabot that results in a cargo not being delivered to Puerto Rico. The arrangement could be a cargo deviation charge if EcoEléctrica sells the cargo itself or it could be a lump-sum payment from Cabot if EcoEléctrica were to sell the cargo back to Cabot.</w:t>
      </w:r>
    </w:p>
    <w:p>
      <w:pPr>
        <w:pStyle w:val="Normal"/>
        <w:jc w:val="both"/>
        <w:rPr>
          <w:rFonts w:ascii="Arial" w:hAnsi="Arial" w:cs="Arial"/>
        </w:rPr>
      </w:pPr>
      <w:r>
        <w:rPr>
          <w:rFonts w:cs="Arial" w:ascii="Arial" w:hAnsi="Arial"/>
        </w:rPr>
        <w:t>EcoEléctrica should pursue such a settlement with Cabot anytime that its expected profit on a cargo deviation/sellback to Cabot is greater than the cost differential between alternative fuel and the Cabot contract LNG Commodity Charge. Note that this opportunity can arise regardless of whether the cost of alternative fuel is higher or lower than the LNG Commodity Charge.</w:t>
      </w:r>
    </w:p>
    <w:p>
      <w:pPr>
        <w:pStyle w:val="Normal"/>
        <w:jc w:val="both"/>
        <w:rPr>
          <w:rFonts w:ascii="Arial" w:hAnsi="Arial" w:cs="Arial"/>
        </w:rPr>
      </w:pPr>
      <w:r>
        <w:rPr>
          <w:rFonts w:cs="Arial" w:ascii="Arial" w:hAnsi="Arial"/>
        </w:rPr>
        <w:t>EcoEléctrica’s negotiating position is straightforward when the cost of alternative fuel is higher than the LNG Commodity Charge. If Cabot is unwilling to make a fair arrangement to capture profit from a price spike, then EcoEléctrica can simply land the cargo in Puerto Rico and neither party profits.</w:t>
      </w:r>
    </w:p>
    <w:p>
      <w:pPr>
        <w:pStyle w:val="Normal"/>
        <w:jc w:val="both"/>
        <w:rPr>
          <w:rFonts w:ascii="Arial" w:hAnsi="Arial" w:cs="Arial"/>
        </w:rPr>
      </w:pPr>
      <w:r>
        <w:rPr>
          <w:rFonts w:cs="Arial" w:ascii="Arial" w:hAnsi="Arial"/>
        </w:rPr>
        <w:t>Negotiations are less straightforward when the cost of alternative fuel is lower than the LNG Commodity Charge. Cabot will be aware that EcoEléctrica should desire to burn alternative fuel and not take a LNG cargo. Cabot may have the view that they can negotiate a greater share of the upside in this scenario.</w:t>
      </w:r>
    </w:p>
    <w:p>
      <w:pPr>
        <w:pStyle w:val="Normal"/>
        <w:jc w:val="both"/>
        <w:rPr>
          <w:rFonts w:ascii="Arial" w:hAnsi="Arial" w:cs="Arial"/>
        </w:rPr>
      </w:pPr>
      <w:r>
        <w:rPr>
          <w:rFonts w:cs="Arial" w:ascii="Arial" w:hAnsi="Arial"/>
        </w:rPr>
        <w:t>The Cabot contract does not address this type of trading arrangement but they should be open to discussing any deal that benefits both parties.</w:t>
      </w:r>
    </w:p>
    <w:p>
      <w:pPr>
        <w:pStyle w:val="Normal"/>
        <w:jc w:val="both"/>
        <w:rPr>
          <w:rFonts w:ascii="Arial" w:hAnsi="Arial" w:cs="Arial"/>
        </w:rPr>
      </w:pPr>
      <w:r>
        <w:rPr>
          <w:rFonts w:cs="Arial" w:ascii="Arial" w:hAnsi="Arial"/>
        </w:rPr>
      </w:r>
    </w:p>
    <w:p>
      <w:pPr>
        <w:pStyle w:val="Normal"/>
        <w:jc w:val="both"/>
        <w:rPr>
          <w:rFonts w:ascii="Arial" w:hAnsi="Arial" w:cs="Arial"/>
          <w:b/>
          <w:u w:val="single"/>
        </w:rPr>
      </w:pPr>
      <w:r>
        <w:rPr>
          <w:rFonts w:cs="Arial" w:ascii="Arial" w:hAnsi="Arial"/>
          <w:b/>
          <w:u w:val="single"/>
        </w:rPr>
        <w:t>Replacement Fuel for the Winter Cargo</w:t>
      </w:r>
    </w:p>
    <w:p>
      <w:pPr>
        <w:pStyle w:val="Normal"/>
        <w:jc w:val="both"/>
        <w:rPr>
          <w:rFonts w:ascii="Arial" w:hAnsi="Arial" w:cs="Arial"/>
        </w:rPr>
      </w:pPr>
      <w:r>
        <w:rPr>
          <w:rFonts w:cs="Arial" w:ascii="Arial" w:hAnsi="Arial"/>
        </w:rPr>
        <w:t>By each December 1, EcoEléctrica can give Cabot notice that it has an opportunity to secure replacement fuel rather than purchasing the Winter Cargo. The replacement fuel can be LNG, propane, or diesel. Cabot then has 10 days to commit to the Winter Cargo. If Cabot is willing to commit to the Winter Cargo, then EcoEléctrica must purchase the cargo at the contract price. If Cabot is unable to commit to the delivery, EcoEléctrica avoids all contract costs associated with the cargo. The current estimate of the cost of the Winter Cargo for the Year 2001 is $5.94/MMBtu.</w:t>
      </w:r>
    </w:p>
    <w:p>
      <w:pPr>
        <w:pStyle w:val="Normal"/>
        <w:jc w:val="both"/>
        <w:rPr>
          <w:rFonts w:ascii="Arial" w:hAnsi="Arial" w:cs="Arial"/>
        </w:rPr>
      </w:pPr>
      <w:r>
        <w:rPr>
          <w:rFonts w:cs="Arial" w:ascii="Arial" w:hAnsi="Arial"/>
        </w:rPr>
        <w:t>If EcoEléctrica were able to secure replacement fuel, there would be both cost savings and surety of fuel supply. Without the December 1 notification and subsequent commitment or non-commitment described above, EcoEléctrica could be notified as late as 5 days prior to expected cargo arrival that Cabot is unable to deliver the Winter Cargo.</w:t>
      </w:r>
    </w:p>
    <w:p>
      <w:pPr>
        <w:pStyle w:val="Normal"/>
        <w:jc w:val="both"/>
        <w:rPr>
          <w:rFonts w:ascii="Arial" w:hAnsi="Arial" w:cs="Arial"/>
        </w:rPr>
      </w:pPr>
      <w:r>
        <w:rPr>
          <w:rFonts w:cs="Arial" w:ascii="Arial" w:hAnsi="Arial"/>
        </w:rPr>
      </w:r>
    </w:p>
    <w:p>
      <w:pPr>
        <w:pStyle w:val="Normal"/>
        <w:jc w:val="both"/>
        <w:rPr>
          <w:rFonts w:ascii="Arial" w:hAnsi="Arial" w:cs="Arial"/>
          <w:b/>
          <w:u w:val="single"/>
        </w:rPr>
      </w:pPr>
      <w:r>
        <w:rPr>
          <w:rFonts w:cs="Arial" w:ascii="Arial" w:hAnsi="Arial"/>
          <w:b/>
          <w:u w:val="single"/>
        </w:rPr>
        <w:t>FOB Conversion</w:t>
      </w:r>
    </w:p>
    <w:p>
      <w:pPr>
        <w:pStyle w:val="Normal"/>
        <w:jc w:val="both"/>
        <w:rPr>
          <w:rFonts w:ascii="Arial" w:hAnsi="Arial" w:cs="Arial"/>
        </w:rPr>
      </w:pPr>
      <w:r>
        <w:rPr>
          <w:rFonts w:cs="Arial" w:ascii="Arial" w:hAnsi="Arial"/>
        </w:rPr>
        <w:t>EcoEléctrica has a one-time opportunity to enter into negotiations with Cabot to convert the remainder of the LNG supply contract into a FOB arrangement. EcoEléctrica will be obliged to provide the LNG tanker. Atlantic LNG must approve any agreement between EcoEléctrica and Cabot.</w:t>
      </w:r>
      <w:r>
        <w:br w:type="page"/>
      </w:r>
    </w:p>
    <w:p>
      <w:pPr>
        <w:pStyle w:val="Normal"/>
        <w:jc w:val="both"/>
        <w:rPr>
          <w:rFonts w:ascii="Arial" w:hAnsi="Arial" w:cs="Arial"/>
          <w:b/>
          <w:u w:val="single"/>
        </w:rPr>
      </w:pPr>
      <w:r>
        <w:rPr>
          <w:rFonts w:cs="Arial" w:ascii="Arial" w:hAnsi="Arial"/>
          <w:b/>
          <w:u w:val="single"/>
        </w:rPr>
      </w:r>
    </w:p>
    <w:p>
      <w:pPr>
        <w:pStyle w:val="Heading8"/>
        <w:ind w:hanging="0" w:start="0"/>
        <w:rPr>
          <w:rFonts w:ascii="Arial" w:hAnsi="Arial" w:cs="Arial"/>
        </w:rPr>
      </w:pPr>
      <w:r>
        <w:rPr>
          <w:rFonts w:cs="Arial" w:ascii="Arial" w:hAnsi="Arial"/>
        </w:rPr>
        <w:t>Pricing</w:t>
      </w:r>
    </w:p>
    <w:p>
      <w:pPr>
        <w:pStyle w:val="Normal"/>
        <w:jc w:val="both"/>
        <w:rPr>
          <w:rFonts w:ascii="Arial" w:hAnsi="Arial" w:cs="Arial"/>
          <w:b/>
          <w:u w:val="single"/>
        </w:rPr>
      </w:pPr>
      <w:r>
        <w:rPr>
          <w:rFonts w:cs="Arial" w:ascii="Arial" w:hAnsi="Arial"/>
          <w:b/>
          <w:u w:val="single"/>
        </w:rPr>
      </w:r>
    </w:p>
    <w:p>
      <w:pPr>
        <w:pStyle w:val="Normal"/>
        <w:jc w:val="both"/>
        <w:rPr>
          <w:rFonts w:ascii="Arial" w:hAnsi="Arial" w:cs="Arial"/>
        </w:rPr>
      </w:pPr>
      <w:r>
        <w:rPr>
          <w:rFonts w:cs="Arial" w:ascii="Arial" w:hAnsi="Arial"/>
          <w:b/>
          <w:u w:val="single"/>
        </w:rPr>
        <w:t>LNG Purchases</w:t>
      </w:r>
    </w:p>
    <w:p>
      <w:pPr>
        <w:pStyle w:val="Normal"/>
        <w:jc w:val="both"/>
        <w:rPr>
          <w:rFonts w:ascii="Arial" w:hAnsi="Arial" w:cs="Arial"/>
        </w:rPr>
      </w:pPr>
      <w:r>
        <w:rPr>
          <w:rFonts w:cs="Arial" w:ascii="Arial" w:hAnsi="Arial"/>
        </w:rPr>
        <w:t xml:space="preserve">EcoEléctrica’s LNG supply contract calls for payment to Cabot of both a Demand Charge and a Commodity Charge. The Demand Charge is a fixed price with an escalator. The Commodity Charge is equivalent to 0.680 MMBtu of the prior year’s Henry Hub natural gas plus a fixed price component. </w:t>
      </w:r>
    </w:p>
    <w:p>
      <w:pPr>
        <w:pStyle w:val="Header"/>
        <w:tabs>
          <w:tab w:val="clear" w:pos="4320"/>
          <w:tab w:val="clear" w:pos="8640"/>
          <w:tab w:val="clear" w:pos="9000"/>
        </w:tabs>
        <w:spacing w:before="60" w:after="60"/>
        <w:jc w:val="both"/>
        <w:rPr>
          <w:rFonts w:ascii="Arial" w:hAnsi="Arial" w:cs="Arial"/>
        </w:rPr>
      </w:pPr>
      <w:r>
        <w:rPr>
          <w:rFonts w:cs="Arial" w:ascii="Arial" w:hAnsi="Arial"/>
        </w:rPr>
      </w:r>
    </w:p>
    <w:tbl>
      <w:tblPr>
        <w:tblW w:w="8856" w:type="dxa"/>
        <w:jc w:val="start"/>
        <w:tblInd w:w="0" w:type="dxa"/>
        <w:tblLayout w:type="fixed"/>
        <w:tblCellMar>
          <w:top w:w="0" w:type="dxa"/>
          <w:start w:w="108" w:type="dxa"/>
          <w:bottom w:w="0" w:type="dxa"/>
          <w:end w:w="108" w:type="dxa"/>
        </w:tblCellMar>
      </w:tblPr>
      <w:tblGrid>
        <w:gridCol w:w="1476"/>
        <w:gridCol w:w="1476"/>
        <w:gridCol w:w="1476"/>
        <w:gridCol w:w="1476"/>
        <w:gridCol w:w="1476"/>
        <w:gridCol w:w="1476"/>
      </w:tblGrid>
      <w:tr>
        <w:trPr/>
        <w:tc>
          <w:tcPr>
            <w:tcW w:w="8856" w:type="dxa"/>
            <w:gridSpan w:val="6"/>
            <w:tcBorders>
              <w:top w:val="single" w:sz="4" w:space="0" w:color="000000"/>
              <w:start w:val="single" w:sz="4" w:space="0" w:color="000000"/>
              <w:bottom w:val="single" w:sz="4" w:space="0" w:color="000000"/>
              <w:end w:val="single" w:sz="4" w:space="0" w:color="000000"/>
            </w:tcBorders>
          </w:tcPr>
          <w:p>
            <w:pPr>
              <w:pStyle w:val="Heading4"/>
              <w:spacing w:before="60" w:after="60"/>
              <w:ind w:hanging="0" w:start="0"/>
              <w:jc w:val="both"/>
              <w:rPr/>
            </w:pPr>
            <w:r>
              <w:rPr/>
              <w:t>Fuel Expense – LNG Cost – Cabot – Year 2001 est.*</w:t>
            </w:r>
          </w:p>
        </w:tc>
      </w:tr>
      <w:tr>
        <w:trPr/>
        <w:tc>
          <w:tcPr>
            <w:tcW w:w="1476"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Arial" w:hAnsi="Arial" w:cs="Arial"/>
              </w:rPr>
            </w:pPr>
            <w:r>
              <w:rPr>
                <w:rFonts w:cs="Arial" w:ascii="Arial" w:hAnsi="Arial"/>
              </w:rPr>
            </w:r>
          </w:p>
        </w:tc>
        <w:tc>
          <w:tcPr>
            <w:tcW w:w="2952" w:type="dxa"/>
            <w:gridSpan w:val="2"/>
            <w:tcBorders>
              <w:top w:val="single" w:sz="4" w:space="0" w:color="000000"/>
              <w:start w:val="single" w:sz="4" w:space="0" w:color="000000"/>
              <w:bottom w:val="single" w:sz="4" w:space="0" w:color="000000"/>
              <w:end w:val="single" w:sz="4" w:space="0" w:color="000000"/>
            </w:tcBorders>
          </w:tcPr>
          <w:p>
            <w:pPr>
              <w:pStyle w:val="Heading4"/>
              <w:spacing w:before="60" w:after="60"/>
              <w:ind w:hanging="0" w:start="0"/>
              <w:jc w:val="both"/>
              <w:rPr/>
            </w:pPr>
            <w:r>
              <w:rPr/>
              <w:t>8 Non-Winter Cargoes</w:t>
            </w:r>
          </w:p>
        </w:tc>
        <w:tc>
          <w:tcPr>
            <w:tcW w:w="2952" w:type="dxa"/>
            <w:gridSpan w:val="2"/>
            <w:tcBorders>
              <w:top w:val="single" w:sz="4" w:space="0" w:color="000000"/>
              <w:start w:val="single" w:sz="4" w:space="0" w:color="000000"/>
              <w:bottom w:val="single" w:sz="4" w:space="0" w:color="000000"/>
              <w:end w:val="single" w:sz="4" w:space="0" w:color="000000"/>
            </w:tcBorders>
          </w:tcPr>
          <w:p>
            <w:pPr>
              <w:pStyle w:val="Heading4"/>
              <w:spacing w:before="60" w:after="60"/>
              <w:ind w:hanging="0" w:start="0"/>
              <w:jc w:val="both"/>
              <w:rPr/>
            </w:pPr>
            <w:r>
              <w:rPr/>
              <w:t>1 Winter Cargo</w:t>
            </w:r>
          </w:p>
        </w:tc>
        <w:tc>
          <w:tcPr>
            <w:tcW w:w="1476"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Arial" w:hAnsi="Arial" w:cs="Arial"/>
              </w:rPr>
            </w:pPr>
            <w:r>
              <w:rPr>
                <w:rFonts w:cs="Arial" w:ascii="Arial" w:hAnsi="Arial"/>
              </w:rPr>
            </w:r>
          </w:p>
        </w:tc>
      </w:tr>
      <w:tr>
        <w:trPr/>
        <w:tc>
          <w:tcPr>
            <w:tcW w:w="147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Arial" w:hAnsi="Arial" w:cs="Arial"/>
              </w:rPr>
            </w:pPr>
            <w:r>
              <w:rPr>
                <w:rFonts w:cs="Arial" w:ascii="Arial" w:hAnsi="Arial"/>
              </w:rPr>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Arial" w:hAnsi="Arial" w:cs="Arial"/>
              </w:rPr>
            </w:pPr>
            <w:r>
              <w:rPr>
                <w:rFonts w:cs="Arial" w:ascii="Arial" w:hAnsi="Arial"/>
              </w:rPr>
              <w:t>$/MMBtu</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Arial" w:hAnsi="Arial" w:cs="Arial"/>
              </w:rPr>
            </w:pPr>
            <w:r>
              <w:rPr>
                <w:rFonts w:cs="Arial" w:ascii="Arial" w:hAnsi="Arial"/>
              </w:rPr>
              <w:t>% of Total</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Arial" w:hAnsi="Arial" w:cs="Arial"/>
              </w:rPr>
            </w:pPr>
            <w:r>
              <w:rPr>
                <w:rFonts w:cs="Arial" w:ascii="Arial" w:hAnsi="Arial"/>
              </w:rPr>
              <w:t>$/MMBtu</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Arial" w:hAnsi="Arial" w:cs="Arial"/>
              </w:rPr>
            </w:pPr>
            <w:r>
              <w:rPr>
                <w:rFonts w:cs="Arial" w:ascii="Arial" w:hAnsi="Arial"/>
              </w:rPr>
              <w:t>% of Total</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Arial" w:hAnsi="Arial" w:cs="Arial"/>
              </w:rPr>
            </w:pPr>
            <w:r>
              <w:rPr>
                <w:rFonts w:cs="Arial" w:ascii="Arial" w:hAnsi="Arial"/>
              </w:rPr>
              <w:t>Escalation</w:t>
            </w:r>
          </w:p>
        </w:tc>
      </w:tr>
      <w:tr>
        <w:trPr/>
        <w:tc>
          <w:tcPr>
            <w:tcW w:w="1476"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Arial" w:hAnsi="Arial" w:cs="Arial"/>
              </w:rPr>
            </w:pPr>
            <w:r>
              <w:rPr>
                <w:rFonts w:cs="Arial" w:ascii="Arial" w:hAnsi="Arial"/>
              </w:rPr>
              <w:t>Demand Charge</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Arial" w:hAnsi="Arial" w:cs="Arial"/>
              </w:rPr>
            </w:pPr>
            <w:r>
              <w:rPr>
                <w:rFonts w:cs="Arial" w:ascii="Arial" w:hAnsi="Arial"/>
              </w:rPr>
              <w:t>$0.842070</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Arial" w:hAnsi="Arial" w:cs="Arial"/>
              </w:rPr>
            </w:pPr>
            <w:r>
              <w:rPr>
                <w:rFonts w:cs="Arial" w:ascii="Arial" w:hAnsi="Arial"/>
              </w:rPr>
              <w:t>19.7%</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Arial" w:hAnsi="Arial" w:cs="Arial"/>
              </w:rPr>
            </w:pPr>
            <w:r>
              <w:rPr>
                <w:rFonts w:cs="Arial" w:ascii="Arial" w:hAnsi="Arial"/>
              </w:rPr>
              <w:t>$0.842070</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Arial" w:hAnsi="Arial" w:cs="Arial"/>
              </w:rPr>
            </w:pPr>
            <w:r>
              <w:rPr>
                <w:rFonts w:cs="Arial" w:ascii="Arial" w:hAnsi="Arial"/>
              </w:rPr>
              <w:t>14.2%</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Arial" w:hAnsi="Arial" w:cs="Arial"/>
              </w:rPr>
            </w:pPr>
            <w:r>
              <w:rPr>
                <w:rFonts w:cs="Arial" w:ascii="Arial" w:hAnsi="Arial"/>
              </w:rPr>
              <w:t>50% Puerto Rico CPI</w:t>
            </w:r>
          </w:p>
        </w:tc>
      </w:tr>
      <w:tr>
        <w:trPr/>
        <w:tc>
          <w:tcPr>
            <w:tcW w:w="1476"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Arial" w:hAnsi="Arial" w:cs="Arial"/>
              </w:rPr>
            </w:pPr>
            <w:r>
              <w:rPr>
                <w:rFonts w:cs="Arial" w:ascii="Arial" w:hAnsi="Arial"/>
              </w:rPr>
              <w:t>Demand Surcharge</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Arial" w:hAnsi="Arial" w:cs="Arial"/>
              </w:rPr>
            </w:pPr>
            <w:r>
              <w:rPr>
                <w:rFonts w:cs="Arial" w:ascii="Arial" w:hAnsi="Arial"/>
              </w:rPr>
              <w:t>$0.000000</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Arial" w:hAnsi="Arial" w:cs="Arial"/>
              </w:rPr>
            </w:pPr>
            <w:r>
              <w:rPr>
                <w:rFonts w:cs="Arial" w:ascii="Arial" w:hAnsi="Arial"/>
              </w:rPr>
              <w:t>0%</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Arial" w:hAnsi="Arial" w:cs="Arial"/>
              </w:rPr>
            </w:pPr>
            <w:r>
              <w:rPr>
                <w:rFonts w:cs="Arial" w:ascii="Arial" w:hAnsi="Arial"/>
              </w:rPr>
              <w:t>$0.836302</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Arial" w:hAnsi="Arial" w:cs="Arial"/>
              </w:rPr>
            </w:pPr>
            <w:r>
              <w:rPr>
                <w:rFonts w:cs="Arial" w:ascii="Arial" w:hAnsi="Arial"/>
              </w:rPr>
              <w:t>14.1%</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Arial" w:hAnsi="Arial" w:cs="Arial"/>
              </w:rPr>
            </w:pPr>
            <w:r>
              <w:rPr>
                <w:rFonts w:cs="Arial" w:ascii="Arial" w:hAnsi="Arial"/>
              </w:rPr>
              <w:t>50% Puerto Rico CPI</w:t>
            </w:r>
          </w:p>
        </w:tc>
      </w:tr>
      <w:tr>
        <w:trPr/>
        <w:tc>
          <w:tcPr>
            <w:tcW w:w="1476"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Arial" w:hAnsi="Arial" w:cs="Arial"/>
              </w:rPr>
            </w:pPr>
            <w:r>
              <w:rPr>
                <w:rFonts w:cs="Arial" w:ascii="Arial" w:hAnsi="Arial"/>
              </w:rPr>
              <w:t>Commodity Charge</w:t>
            </w:r>
          </w:p>
          <w:p>
            <w:pPr>
              <w:pStyle w:val="Normal"/>
              <w:spacing w:before="60" w:after="60"/>
              <w:jc w:val="both"/>
              <w:rPr>
                <w:rFonts w:ascii="Arial" w:hAnsi="Arial" w:cs="Arial"/>
              </w:rPr>
            </w:pPr>
            <w:r>
              <w:rPr>
                <w:rFonts w:cs="Arial" w:ascii="Arial" w:hAnsi="Arial"/>
              </w:rPr>
              <w:t>* NYMEX Component</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Arial" w:hAnsi="Arial" w:cs="Arial"/>
              </w:rPr>
            </w:pPr>
            <w:r>
              <w:rPr>
                <w:rFonts w:cs="Arial" w:ascii="Arial" w:hAnsi="Arial"/>
              </w:rPr>
              <w:t>$2.607422</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Arial" w:hAnsi="Arial" w:cs="Arial"/>
              </w:rPr>
            </w:pPr>
            <w:r>
              <w:rPr>
                <w:rFonts w:cs="Arial" w:ascii="Arial" w:hAnsi="Arial"/>
              </w:rPr>
              <w:t>61.1%</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Arial" w:hAnsi="Arial" w:cs="Arial"/>
              </w:rPr>
            </w:pPr>
            <w:r>
              <w:rPr>
                <w:rFonts w:cs="Arial" w:ascii="Arial" w:hAnsi="Arial"/>
              </w:rPr>
              <w:t>$2.607422</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Arial" w:hAnsi="Arial" w:cs="Arial"/>
              </w:rPr>
            </w:pPr>
            <w:r>
              <w:rPr>
                <w:rFonts w:cs="Arial" w:ascii="Arial" w:hAnsi="Arial"/>
              </w:rPr>
              <w:t>43.9%</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Arial" w:hAnsi="Arial" w:cs="Arial"/>
              </w:rPr>
            </w:pPr>
            <w:r>
              <w:rPr>
                <w:rFonts w:cs="Arial" w:ascii="Arial" w:hAnsi="Arial"/>
              </w:rPr>
              <w:t>NYMEX Henry Hub for Prior Year. Always equivalent to 0.680 MMBtu of Prior Year U.S. Natural Gas.</w:t>
            </w:r>
          </w:p>
        </w:tc>
      </w:tr>
      <w:tr>
        <w:trPr/>
        <w:tc>
          <w:tcPr>
            <w:tcW w:w="1476"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Arial" w:hAnsi="Arial" w:cs="Arial"/>
              </w:rPr>
            </w:pPr>
            <w:r>
              <w:rPr>
                <w:rFonts w:cs="Arial" w:ascii="Arial" w:hAnsi="Arial"/>
              </w:rPr>
              <w:t>Commodity Charge</w:t>
            </w:r>
          </w:p>
          <w:p>
            <w:pPr>
              <w:pStyle w:val="Normal"/>
              <w:spacing w:before="60" w:after="60"/>
              <w:jc w:val="both"/>
              <w:rPr>
                <w:rFonts w:ascii="Arial" w:hAnsi="Arial" w:cs="Arial"/>
              </w:rPr>
            </w:pPr>
            <w:r>
              <w:rPr>
                <w:rFonts w:cs="Arial" w:ascii="Arial" w:hAnsi="Arial"/>
              </w:rPr>
              <w:t>* Fixed Price Component</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Arial" w:hAnsi="Arial" w:cs="Arial"/>
              </w:rPr>
            </w:pPr>
            <w:r>
              <w:rPr>
                <w:rFonts w:cs="Arial" w:ascii="Arial" w:hAnsi="Arial"/>
              </w:rPr>
              <w:t>$0.816901</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Arial" w:hAnsi="Arial" w:cs="Arial"/>
              </w:rPr>
            </w:pPr>
            <w:r>
              <w:rPr>
                <w:rFonts w:cs="Arial" w:ascii="Arial" w:hAnsi="Arial"/>
              </w:rPr>
              <w:t>19.1%</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Arial" w:hAnsi="Arial" w:cs="Arial"/>
              </w:rPr>
            </w:pPr>
            <w:r>
              <w:rPr>
                <w:rFonts w:cs="Arial" w:ascii="Arial" w:hAnsi="Arial"/>
              </w:rPr>
              <w:t>$0.816901</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Arial" w:hAnsi="Arial" w:cs="Arial"/>
              </w:rPr>
            </w:pPr>
            <w:r>
              <w:rPr>
                <w:rFonts w:cs="Arial" w:ascii="Arial" w:hAnsi="Arial"/>
              </w:rPr>
              <w:t>13.8%</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Arial" w:hAnsi="Arial" w:cs="Arial"/>
              </w:rPr>
            </w:pPr>
            <w:r>
              <w:rPr>
                <w:rFonts w:cs="Arial" w:ascii="Arial" w:hAnsi="Arial"/>
              </w:rPr>
              <w:t>100% Puerto Rico CPI</w:t>
            </w:r>
          </w:p>
        </w:tc>
      </w:tr>
      <w:tr>
        <w:trPr/>
        <w:tc>
          <w:tcPr>
            <w:tcW w:w="1476"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Arial" w:hAnsi="Arial" w:cs="Arial"/>
              </w:rPr>
            </w:pPr>
            <w:r>
              <w:rPr>
                <w:rFonts w:cs="Arial" w:ascii="Arial" w:hAnsi="Arial"/>
              </w:rPr>
              <w:t>Commodity Surcharge</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Arial" w:hAnsi="Arial" w:cs="Arial"/>
              </w:rPr>
            </w:pPr>
            <w:r>
              <w:rPr>
                <w:rFonts w:cs="Arial" w:ascii="Arial" w:hAnsi="Arial"/>
              </w:rPr>
              <w:t>$0.000000</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Arial" w:hAnsi="Arial" w:cs="Arial"/>
              </w:rPr>
            </w:pPr>
            <w:r>
              <w:rPr>
                <w:rFonts w:cs="Arial" w:ascii="Arial" w:hAnsi="Arial"/>
              </w:rPr>
              <w:t>0%</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Arial" w:hAnsi="Arial" w:cs="Arial"/>
              </w:rPr>
            </w:pPr>
            <w:r>
              <w:rPr>
                <w:rFonts w:cs="Arial" w:ascii="Arial" w:hAnsi="Arial"/>
              </w:rPr>
              <w:t>$0.836302</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Arial" w:hAnsi="Arial" w:cs="Arial"/>
              </w:rPr>
            </w:pPr>
            <w:r>
              <w:rPr>
                <w:rFonts w:cs="Arial" w:ascii="Arial" w:hAnsi="Arial"/>
              </w:rPr>
              <w:t>14.1%</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Arial" w:hAnsi="Arial" w:cs="Arial"/>
              </w:rPr>
            </w:pPr>
            <w:r>
              <w:rPr>
                <w:rFonts w:cs="Arial" w:ascii="Arial" w:hAnsi="Arial"/>
              </w:rPr>
              <w:t>50% Puerto Rico CPI</w:t>
            </w:r>
          </w:p>
        </w:tc>
      </w:tr>
      <w:tr>
        <w:trPr/>
        <w:tc>
          <w:tcPr>
            <w:tcW w:w="1476"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Arial" w:hAnsi="Arial" w:cs="Arial"/>
              </w:rPr>
            </w:pPr>
            <w:r>
              <w:rPr>
                <w:rFonts w:cs="Arial" w:ascii="Arial" w:hAnsi="Arial"/>
              </w:rPr>
              <w:t>Total</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Arial" w:hAnsi="Arial" w:cs="Arial"/>
              </w:rPr>
            </w:pPr>
            <w:r>
              <w:rPr>
                <w:rFonts w:cs="Arial" w:ascii="Arial" w:hAnsi="Arial"/>
              </w:rPr>
              <w:t>$4.266393</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Arial" w:hAnsi="Arial" w:cs="Arial"/>
              </w:rPr>
            </w:pPr>
            <w:r>
              <w:rPr>
                <w:rFonts w:cs="Arial" w:ascii="Arial" w:hAnsi="Arial"/>
              </w:rPr>
              <w:t>100%</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Arial" w:hAnsi="Arial" w:cs="Arial"/>
              </w:rPr>
            </w:pPr>
            <w:r>
              <w:rPr>
                <w:rFonts w:cs="Arial" w:ascii="Arial" w:hAnsi="Arial"/>
              </w:rPr>
              <w:t>$5.938997</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Arial" w:hAnsi="Arial" w:cs="Arial"/>
              </w:rPr>
            </w:pPr>
            <w:r>
              <w:rPr>
                <w:rFonts w:cs="Arial" w:ascii="Arial" w:hAnsi="Arial"/>
              </w:rPr>
              <w:t>100%</w:t>
            </w:r>
          </w:p>
        </w:tc>
        <w:tc>
          <w:tcPr>
            <w:tcW w:w="1476"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Arial" w:hAnsi="Arial" w:cs="Arial"/>
              </w:rPr>
            </w:pPr>
            <w:r>
              <w:rPr>
                <w:rFonts w:cs="Arial" w:ascii="Arial" w:hAnsi="Arial"/>
              </w:rPr>
            </w:r>
          </w:p>
        </w:tc>
      </w:tr>
    </w:tbl>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Assumes PR-CPI for Year 2000 = 179.064633 and NYMEX Henry Hub Natural Gas Prices Average for Year 2000 = $3.834444/MMBtu.</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Note:</w:t>
        <w:tab/>
        <w:t>1. Demand Charge and Demand Surcharge are payable even if no cargo is ordered.</w:t>
      </w:r>
    </w:p>
    <w:p>
      <w:pPr>
        <w:pStyle w:val="Normal"/>
        <w:ind w:start="720" w:end="0"/>
        <w:jc w:val="both"/>
        <w:rPr>
          <w:rFonts w:ascii="Arial" w:hAnsi="Arial" w:cs="Arial"/>
        </w:rPr>
      </w:pPr>
      <w:r>
        <w:rPr>
          <w:rFonts w:cs="Arial" w:ascii="Arial" w:hAnsi="Arial"/>
        </w:rPr>
        <w:t>2. Commodity Surcharge in Year 2001 would be $0.259542 if second liquefaction train in Trinidad were complete.</w:t>
      </w:r>
    </w:p>
    <w:p>
      <w:pPr>
        <w:pStyle w:val="Normal"/>
        <w:jc w:val="both"/>
        <w:rPr>
          <w:rFonts w:ascii="Arial" w:hAnsi="Arial" w:cs="Arial"/>
        </w:rPr>
      </w:pPr>
      <w:r>
        <w:rPr>
          <w:rFonts w:cs="Arial" w:ascii="Arial" w:hAnsi="Arial"/>
        </w:rPr>
      </w:r>
    </w:p>
    <w:p>
      <w:pPr>
        <w:pStyle w:val="Normal"/>
        <w:jc w:val="both"/>
        <w:rPr>
          <w:rFonts w:ascii="Arial" w:hAnsi="Arial" w:cs="Arial"/>
          <w:b/>
          <w:u w:val="single"/>
        </w:rPr>
      </w:pPr>
      <w:r>
        <w:rPr>
          <w:rFonts w:cs="Arial" w:ascii="Arial" w:hAnsi="Arial"/>
          <w:b/>
          <w:u w:val="single"/>
        </w:rPr>
        <w:t>Power Sales</w:t>
      </w:r>
    </w:p>
    <w:p>
      <w:pPr>
        <w:pStyle w:val="Normal"/>
        <w:jc w:val="both"/>
        <w:rPr>
          <w:rFonts w:ascii="Arial" w:hAnsi="Arial" w:cs="Arial"/>
        </w:rPr>
      </w:pPr>
      <w:r>
        <w:rPr>
          <w:rFonts w:cs="Arial" w:ascii="Arial" w:hAnsi="Arial"/>
        </w:rPr>
        <w:t>EcoEléctrica receives revenue from PREPA in the form of both a Capacity Payment and an Energy Payment. The Capacity Payment is similar to a demand payment and is dependent on EcoEléctrica’s actual availability. Availability greater than 90% of 507 MW results in EcoEléctrica receiving a full payment. Exactly 60% availability results in a payment equal to 30.5% of a full payment. Availability less than 60% of 507 MW results in $0 of Capacity Payment revenue. The Capacity Payment escalates each year by a combination of Puerto Rico CPI and a 2% escalator. In the Year 2001, EcoEléctrica will receive approximately $11.5 MM per month from PREPA as compensation for making its power generation capacity available.</w:t>
      </w:r>
    </w:p>
    <w:p>
      <w:pPr>
        <w:pStyle w:val="Normal"/>
        <w:jc w:val="both"/>
        <w:rPr>
          <w:rFonts w:ascii="Arial" w:hAnsi="Arial" w:cs="Arial"/>
        </w:rPr>
      </w:pPr>
      <w:r>
        <w:rPr>
          <w:rFonts w:cs="Arial" w:ascii="Arial" w:hAnsi="Arial"/>
        </w:rPr>
        <w:t>The Energy Payment approximates the cost of Cabot contract LNG up to a 76% dispatch rate. The Energy Payment is not adjusted if EcoEléctrica consumes a fuel other than LNG purchased through the Cabot contract. It is important to note that the Energy Payment, when expressed as $/MMBtu consumed, will always be equivalent to 0.6835 MMBtu of the prior year’s Henry Hub natural gas plus a fixed price component.</w:t>
      </w:r>
    </w:p>
    <w:p>
      <w:pPr>
        <w:pStyle w:val="Normal"/>
        <w:jc w:val="both"/>
        <w:rPr>
          <w:rFonts w:ascii="Arial" w:hAnsi="Arial" w:cs="Arial"/>
        </w:rPr>
      </w:pPr>
      <w:r>
        <w:rPr>
          <w:rFonts w:cs="Arial" w:ascii="Arial" w:hAnsi="Arial"/>
        </w:rPr>
      </w:r>
    </w:p>
    <w:tbl>
      <w:tblPr>
        <w:tblW w:w="8856" w:type="dxa"/>
        <w:jc w:val="start"/>
        <w:tblInd w:w="0" w:type="dxa"/>
        <w:tblLayout w:type="fixed"/>
        <w:tblCellMar>
          <w:top w:w="0" w:type="dxa"/>
          <w:start w:w="108" w:type="dxa"/>
          <w:bottom w:w="0" w:type="dxa"/>
          <w:end w:w="108" w:type="dxa"/>
        </w:tblCellMar>
      </w:tblPr>
      <w:tblGrid>
        <w:gridCol w:w="2214"/>
        <w:gridCol w:w="2214"/>
        <w:gridCol w:w="2214"/>
        <w:gridCol w:w="2214"/>
      </w:tblGrid>
      <w:tr>
        <w:trPr/>
        <w:tc>
          <w:tcPr>
            <w:tcW w:w="8856" w:type="dxa"/>
            <w:gridSpan w:val="4"/>
            <w:tcBorders>
              <w:top w:val="single" w:sz="4" w:space="0" w:color="000000"/>
              <w:start w:val="single" w:sz="4" w:space="0" w:color="000000"/>
              <w:bottom w:val="single" w:sz="4" w:space="0" w:color="000000"/>
              <w:end w:val="single" w:sz="4" w:space="0" w:color="000000"/>
            </w:tcBorders>
          </w:tcPr>
          <w:p>
            <w:pPr>
              <w:pStyle w:val="Heading4"/>
              <w:spacing w:before="60" w:after="60"/>
              <w:ind w:hanging="0" w:start="0"/>
              <w:jc w:val="both"/>
              <w:rPr/>
            </w:pPr>
            <w:r>
              <w:rPr/>
              <w:t>Power Sales – Energy Payment Revenue – PREPA – Year 2001 est.*</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Arial" w:hAnsi="Arial" w:cs="Arial"/>
              </w:rPr>
            </w:pPr>
            <w:r>
              <w:rPr>
                <w:rFonts w:cs="Arial" w:ascii="Arial" w:hAnsi="Arial"/>
              </w:rPr>
            </w:r>
          </w:p>
        </w:tc>
        <w:tc>
          <w:tcPr>
            <w:tcW w:w="2214"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Arial" w:hAnsi="Arial" w:cs="Arial"/>
              </w:rPr>
            </w:pPr>
            <w:r>
              <w:rPr>
                <w:rFonts w:cs="Arial" w:ascii="Arial" w:hAnsi="Arial"/>
              </w:rPr>
              <w:t>$/MMBtu</w:t>
            </w:r>
          </w:p>
          <w:p>
            <w:pPr>
              <w:pStyle w:val="Normal"/>
              <w:spacing w:before="60" w:after="60"/>
              <w:jc w:val="both"/>
              <w:rPr>
                <w:rFonts w:ascii="Arial" w:hAnsi="Arial" w:cs="Arial"/>
              </w:rPr>
            </w:pPr>
            <w:r>
              <w:rPr>
                <w:rFonts w:cs="Arial" w:ascii="Arial" w:hAnsi="Arial"/>
              </w:rPr>
              <w:t>Consumed*</w:t>
            </w:r>
          </w:p>
        </w:tc>
        <w:tc>
          <w:tcPr>
            <w:tcW w:w="2214"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Arial" w:hAnsi="Arial" w:cs="Arial"/>
              </w:rPr>
            </w:pPr>
            <w:r>
              <w:rPr>
                <w:rFonts w:cs="Arial" w:ascii="Arial" w:hAnsi="Arial"/>
              </w:rPr>
              <w:t>% of Total</w:t>
            </w:r>
          </w:p>
        </w:tc>
        <w:tc>
          <w:tcPr>
            <w:tcW w:w="2214"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Arial" w:hAnsi="Arial" w:cs="Arial"/>
              </w:rPr>
            </w:pPr>
            <w:r>
              <w:rPr>
                <w:rFonts w:cs="Arial" w:ascii="Arial" w:hAnsi="Arial"/>
              </w:rPr>
              <w:t>Escalation</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Arial" w:hAnsi="Arial" w:cs="Arial"/>
              </w:rPr>
            </w:pPr>
            <w:r>
              <w:rPr>
                <w:rFonts w:cs="Arial" w:ascii="Arial" w:hAnsi="Arial"/>
              </w:rPr>
              <w:t>Fixed Price Component</w:t>
            </w:r>
          </w:p>
        </w:tc>
        <w:tc>
          <w:tcPr>
            <w:tcW w:w="2214"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Arial" w:hAnsi="Arial" w:cs="Arial"/>
              </w:rPr>
            </w:pPr>
            <w:r>
              <w:rPr>
                <w:rFonts w:cs="Arial" w:ascii="Arial" w:hAnsi="Arial"/>
              </w:rPr>
              <w:t>$1.827</w:t>
            </w:r>
          </w:p>
        </w:tc>
        <w:tc>
          <w:tcPr>
            <w:tcW w:w="2214"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Arial" w:hAnsi="Arial" w:cs="Arial"/>
              </w:rPr>
            </w:pPr>
            <w:r>
              <w:rPr>
                <w:rFonts w:cs="Arial" w:ascii="Arial" w:hAnsi="Arial"/>
              </w:rPr>
              <w:t>41.1%</w:t>
            </w:r>
          </w:p>
        </w:tc>
        <w:tc>
          <w:tcPr>
            <w:tcW w:w="2214"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Arial" w:hAnsi="Arial" w:cs="Arial"/>
              </w:rPr>
            </w:pPr>
            <w:r>
              <w:rPr>
                <w:rFonts w:cs="Arial" w:ascii="Arial" w:hAnsi="Arial"/>
              </w:rPr>
              <w:t>100% Puerto Rico CPI</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Arial" w:hAnsi="Arial" w:cs="Arial"/>
              </w:rPr>
            </w:pPr>
            <w:r>
              <w:rPr>
                <w:rFonts w:cs="Arial" w:ascii="Arial" w:hAnsi="Arial"/>
              </w:rPr>
              <w:t>NYMEX Component</w:t>
            </w:r>
          </w:p>
        </w:tc>
        <w:tc>
          <w:tcPr>
            <w:tcW w:w="2214"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Arial" w:hAnsi="Arial" w:cs="Arial"/>
              </w:rPr>
            </w:pPr>
            <w:r>
              <w:rPr>
                <w:rFonts w:cs="Arial" w:ascii="Arial" w:hAnsi="Arial"/>
              </w:rPr>
              <w:t>$2.621</w:t>
            </w:r>
          </w:p>
        </w:tc>
        <w:tc>
          <w:tcPr>
            <w:tcW w:w="2214"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Arial" w:hAnsi="Arial" w:cs="Arial"/>
              </w:rPr>
            </w:pPr>
            <w:r>
              <w:rPr>
                <w:rFonts w:cs="Arial" w:ascii="Arial" w:hAnsi="Arial"/>
              </w:rPr>
              <w:t>58.9%</w:t>
            </w:r>
          </w:p>
        </w:tc>
        <w:tc>
          <w:tcPr>
            <w:tcW w:w="2214"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Arial" w:hAnsi="Arial" w:cs="Arial"/>
              </w:rPr>
            </w:pPr>
            <w:r>
              <w:rPr>
                <w:rFonts w:cs="Arial" w:ascii="Arial" w:hAnsi="Arial"/>
              </w:rPr>
              <w:t>NYMEX Henry Hub for Prior Year. Always equivalent to 0.6835 MMBtu of Prior Year U.S. Natural Gas per MMBtu Consumed.**</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Arial" w:hAnsi="Arial" w:cs="Arial"/>
              </w:rPr>
            </w:pPr>
            <w:r>
              <w:rPr>
                <w:rFonts w:cs="Arial" w:ascii="Arial" w:hAnsi="Arial"/>
              </w:rPr>
              <w:t>Total</w:t>
            </w:r>
          </w:p>
        </w:tc>
        <w:tc>
          <w:tcPr>
            <w:tcW w:w="2214"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Arial" w:hAnsi="Arial" w:cs="Arial"/>
              </w:rPr>
            </w:pPr>
            <w:r>
              <w:rPr>
                <w:rFonts w:cs="Arial" w:ascii="Arial" w:hAnsi="Arial"/>
              </w:rPr>
              <w:t>$4.448</w:t>
            </w:r>
          </w:p>
        </w:tc>
        <w:tc>
          <w:tcPr>
            <w:tcW w:w="2214"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Arial" w:hAnsi="Arial" w:cs="Arial"/>
              </w:rPr>
            </w:pPr>
            <w:r>
              <w:rPr>
                <w:rFonts w:cs="Arial" w:ascii="Arial" w:hAnsi="Arial"/>
              </w:rPr>
              <w:t>100%</w:t>
            </w:r>
          </w:p>
        </w:tc>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both"/>
              <w:rPr>
                <w:rFonts w:ascii="Arial" w:hAnsi="Arial" w:cs="Arial"/>
              </w:rPr>
            </w:pPr>
            <w:r>
              <w:rPr>
                <w:rFonts w:cs="Arial" w:ascii="Arial" w:hAnsi="Arial"/>
              </w:rPr>
            </w:r>
          </w:p>
        </w:tc>
      </w:tr>
    </w:tbl>
    <w:p>
      <w:pPr>
        <w:pStyle w:val="Normal"/>
        <w:jc w:val="both"/>
        <w:rPr>
          <w:rFonts w:ascii="Arial" w:hAnsi="Arial" w:cs="Arial"/>
        </w:rPr>
      </w:pPr>
      <w:r>
        <w:rPr>
          <w:rFonts w:cs="Arial" w:ascii="Arial" w:hAnsi="Arial"/>
        </w:rPr>
        <w:t>** Assumes Heat Rate of 0.007473 MMBtu/kwh before application of Fuel Cost Correction Curves. Table reflects Energy Payment for a 76% or lower dispatch rate.</w:t>
      </w:r>
    </w:p>
    <w:p>
      <w:pPr>
        <w:pStyle w:val="Normal"/>
        <w:jc w:val="both"/>
        <w:rPr>
          <w:rFonts w:ascii="Arial" w:hAnsi="Arial" w:cs="Arial"/>
        </w:rPr>
      </w:pPr>
      <w:r>
        <w:rPr>
          <w:rFonts w:cs="Arial" w:ascii="Arial" w:hAnsi="Arial"/>
        </w:rPr>
      </w:r>
    </w:p>
    <w:p>
      <w:pPr>
        <w:pStyle w:val="Normal"/>
        <w:spacing w:before="60" w:after="60"/>
        <w:jc w:val="both"/>
        <w:rPr>
          <w:rFonts w:ascii="Arial" w:hAnsi="Arial" w:cs="Arial"/>
        </w:rPr>
      </w:pPr>
      <w:r>
        <w:rPr>
          <w:rFonts w:cs="Arial" w:ascii="Arial" w:hAnsi="Arial"/>
        </w:rPr>
      </w:r>
    </w:p>
    <w:sectPr>
      <w:headerReference w:type="default" r:id="rId6"/>
      <w:headerReference w:type="first" r:id="rId7"/>
      <w:type w:val="nextPage"/>
      <w:pgSz w:w="12240" w:h="15840"/>
      <w:pgMar w:left="1800" w:right="1800" w:gutter="0" w:header="720" w:top="1080" w:footer="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5</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7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60" w:after="6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numPr>
        <w:ilvl w:val="0"/>
        <w:numId w:val="1"/>
      </w:numPr>
      <w:spacing w:before="180" w:after="0"/>
      <w:outlineLvl w:val="0"/>
    </w:pPr>
    <w:rPr>
      <w:b/>
      <w:sz w:val="24"/>
    </w:rPr>
  </w:style>
  <w:style w:type="paragraph" w:styleId="Heading2">
    <w:name w:val="heading 2"/>
    <w:basedOn w:val="Heading1"/>
    <w:next w:val="Normal"/>
    <w:qFormat/>
    <w:pPr>
      <w:numPr>
        <w:ilvl w:val="1"/>
        <w:numId w:val="1"/>
      </w:numPr>
      <w:spacing w:before="120" w:after="0"/>
      <w:outlineLvl w:val="1"/>
    </w:pPr>
    <w:rPr>
      <w:sz w:val="22"/>
    </w:rPr>
  </w:style>
  <w:style w:type="paragraph" w:styleId="Heading3">
    <w:name w:val="heading 3"/>
    <w:basedOn w:val="Heading2"/>
    <w:next w:val="Normal"/>
    <w:qFormat/>
    <w:pPr>
      <w:numPr>
        <w:ilvl w:val="2"/>
        <w:numId w:val="1"/>
      </w:numPr>
      <w:outlineLvl w:val="2"/>
    </w:pPr>
    <w:rPr>
      <w:sz w:val="20"/>
    </w:rPr>
  </w:style>
  <w:style w:type="paragraph" w:styleId="Heading4">
    <w:name w:val="heading 4"/>
    <w:basedOn w:val="Normal"/>
    <w:next w:val="Normal"/>
    <w:qFormat/>
    <w:pPr>
      <w:keepNext w:val="true"/>
      <w:numPr>
        <w:ilvl w:val="3"/>
        <w:numId w:val="1"/>
      </w:numPr>
      <w:jc w:val="center"/>
      <w:outlineLvl w:val="3"/>
    </w:pPr>
    <w:rPr>
      <w:rFonts w:ascii="Arial" w:hAnsi="Arial" w:cs="Arial"/>
      <w:b/>
    </w:rPr>
  </w:style>
  <w:style w:type="paragraph" w:styleId="Heading5">
    <w:name w:val="heading 5"/>
    <w:basedOn w:val="Normal"/>
    <w:next w:val="Normal"/>
    <w:qFormat/>
    <w:pPr>
      <w:keepNext w:val="true"/>
      <w:numPr>
        <w:ilvl w:val="4"/>
        <w:numId w:val="1"/>
      </w:numPr>
      <w:jc w:val="center"/>
      <w:outlineLvl w:val="4"/>
    </w:pPr>
    <w:rPr>
      <w:rFonts w:ascii="Arial" w:hAnsi="Arial" w:cs="Arial"/>
      <w:b/>
      <w:sz w:val="24"/>
    </w:rPr>
  </w:style>
  <w:style w:type="paragraph" w:styleId="Heading6">
    <w:name w:val="heading 6"/>
    <w:basedOn w:val="Normal"/>
    <w:next w:val="Normal"/>
    <w:qFormat/>
    <w:pPr>
      <w:keepNext w:val="true"/>
      <w:numPr>
        <w:ilvl w:val="5"/>
        <w:numId w:val="1"/>
      </w:numPr>
      <w:outlineLvl w:val="5"/>
    </w:pPr>
    <w:rPr>
      <w:rFonts w:ascii="Arial" w:hAnsi="Arial" w:cs="Arial"/>
      <w:b/>
      <w:u w:val="single"/>
    </w:rPr>
  </w:style>
  <w:style w:type="paragraph" w:styleId="Heading7">
    <w:name w:val="heading 7"/>
    <w:basedOn w:val="Normal"/>
    <w:next w:val="Normal"/>
    <w:qFormat/>
    <w:pPr>
      <w:keepNext w:val="true"/>
      <w:numPr>
        <w:ilvl w:val="6"/>
        <w:numId w:val="1"/>
      </w:numPr>
      <w:jc w:val="center"/>
      <w:outlineLvl w:val="6"/>
    </w:pPr>
    <w:rPr>
      <w:rFonts w:ascii="Arial" w:hAnsi="Arial" w:cs="Arial"/>
      <w:b/>
      <w:sz w:val="28"/>
    </w:rPr>
  </w:style>
  <w:style w:type="paragraph" w:styleId="Heading8">
    <w:name w:val="heading 8"/>
    <w:basedOn w:val="Normal"/>
    <w:next w:val="Normal"/>
    <w:qFormat/>
    <w:pPr>
      <w:keepNext w:val="true"/>
      <w:numPr>
        <w:ilvl w:val="7"/>
        <w:numId w:val="1"/>
      </w:numPr>
      <w:jc w:val="center"/>
      <w:outlineLvl w:val="7"/>
    </w:pPr>
    <w:rPr>
      <w:b/>
      <w:sz w:val="24"/>
      <w:u w:val="single"/>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Heading1"/>
    <w:next w:val="BodyText"/>
    <w:qFormat/>
    <w:pPr>
      <w:numPr>
        <w:ilvl w:val="0"/>
        <w:numId w:val="0"/>
      </w:numPr>
      <w:spacing w:before="0" w:after="0"/>
      <w:outlineLvl w:val="9"/>
    </w:pPr>
    <w:rPr/>
  </w:style>
  <w:style w:type="paragraph" w:styleId="BodyText">
    <w:name w:val="Body Text"/>
    <w:basedOn w:val="Normal"/>
    <w:pPr>
      <w:spacing w:lineRule="auto" w:line="276" w:before="0" w:after="140"/>
    </w:pPr>
    <w:rPr/>
  </w:style>
  <w:style w:type="paragraph" w:styleId="List">
    <w:name w:val="List"/>
    <w:basedOn w:val="Normal"/>
    <w:pPr>
      <w:ind w:hanging="360" w:start="72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 w:val="right" w:pos="9000" w:leader="none"/>
      </w:tabs>
      <w:spacing w:before="0" w:after="0"/>
    </w:pPr>
    <w:rPr/>
  </w:style>
  <w:style w:type="paragraph" w:styleId="FootnoteText">
    <w:name w:val="footnote text"/>
    <w:basedOn w:val="Normal"/>
    <w:pPr>
      <w:ind w:hanging="360" w:start="360" w:end="0"/>
    </w:pPr>
    <w:rPr/>
  </w:style>
  <w:style w:type="paragraph" w:styleId="NormalIndent">
    <w:name w:val="Normal Indent"/>
    <w:basedOn w:val="Normal"/>
    <w:qFormat/>
    <w:pPr>
      <w:ind w:hanging="0" w:start="720" w:end="0"/>
    </w:pPr>
    <w:rPr/>
  </w:style>
  <w:style w:type="paragraph" w:styleId="SubList">
    <w:name w:val="SubList"/>
    <w:basedOn w:val="List"/>
    <w:qFormat/>
    <w:pPr>
      <w:ind w:hanging="360" w:start="1440" w:end="0"/>
    </w:pPr>
    <w:rPr/>
  </w:style>
  <w:style w:type="paragraph" w:styleId="Subject">
    <w:name w:val="Subject"/>
    <w:basedOn w:val="Normal"/>
    <w:qFormat/>
    <w:pPr/>
    <w:rPr/>
  </w:style>
  <w:style w:type="paragraph" w:styleId="Date">
    <w:name w:val="Date"/>
    <w:basedOn w:val="Normal"/>
    <w:qFormat/>
    <w:pPr/>
    <w:rPr/>
  </w:style>
  <w:style w:type="paragraph" w:styleId="To">
    <w:name w:val="To"/>
    <w:basedOn w:val="Normal"/>
    <w:qFormat/>
    <w:pPr/>
    <w:rPr/>
  </w:style>
  <w:style w:type="paragraph" w:styleId="From">
    <w:name w:val="From"/>
    <w:basedOn w:val="Normal"/>
    <w:qFormat/>
    <w:pPr/>
    <w:rPr/>
  </w:style>
  <w:style w:type="paragraph" w:styleId="Closed">
    <w:name w:val="Closed"/>
    <w:basedOn w:val="Normal"/>
    <w:qFormat/>
    <w:pPr>
      <w:spacing w:before="0" w:after="0"/>
    </w:pPr>
    <w:rPr/>
  </w:style>
  <w:style w:type="paragraph" w:styleId="CopyList">
    <w:name w:val="CopyList"/>
    <w:basedOn w:val="Normal"/>
    <w:qFormat/>
    <w:pPr>
      <w:tabs>
        <w:tab w:val="clear" w:pos="720"/>
        <w:tab w:val="left" w:pos="504" w:leader="none"/>
      </w:tabs>
      <w:spacing w:before="360" w:after="0"/>
      <w:ind w:hanging="504" w:start="504" w:end="0"/>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emf"/><Relationship Id="rId4" Type="http://schemas.openxmlformats.org/officeDocument/2006/relationships/oleObject" Target="embeddings/oleObject2.bin"/><Relationship Id="rId5" Type="http://schemas.openxmlformats.org/officeDocument/2006/relationships/image" Target="media/image1.emf"/><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EcoElectrica PPOA-Fuel Summary 00-10-17f.dot</Template>
  <TotalTime>705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2000-10-17T21:43:00Z</dcterms:created>
  <dc:creator>EI</dc:creator>
  <dc:description/>
  <dc:language>en-CA</dc:language>
  <cp:lastModifiedBy>EI</cp:lastModifiedBy>
  <cp:lastPrinted>2000-11-01T18:53:00Z</cp:lastPrinted>
  <dcterms:modified xsi:type="dcterms:W3CDTF">2000-11-02T15:36:00Z</dcterms:modified>
  <cp:revision>88</cp:revision>
  <dc:subject/>
  <dc:title>Enron International Memo</dc:title>
</cp:coreProperties>
</file>