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6866" w:type="dxa"/>
        <w:jc w:val="start"/>
        <w:tblInd w:w="0" w:type="dxa"/>
        <w:tblLayout w:type="fixed"/>
        <w:tblCellMar>
          <w:top w:w="0" w:type="dxa"/>
          <w:start w:w="108" w:type="dxa"/>
          <w:bottom w:w="0" w:type="dxa"/>
          <w:end w:w="108" w:type="dxa"/>
        </w:tblCellMar>
      </w:tblPr>
      <w:tblGrid>
        <w:gridCol w:w="2448"/>
        <w:gridCol w:w="7740"/>
        <w:gridCol w:w="6678"/>
      </w:tblGrid>
      <w:tr>
        <w:trPr/>
        <w:tc>
          <w:tcPr>
            <w:tcW w:w="2448" w:type="dxa"/>
            <w:tcBorders/>
          </w:tcPr>
          <w:p>
            <w:pPr>
              <w:pStyle w:val="Normal"/>
              <w:tabs>
                <w:tab w:val="clear" w:pos="720"/>
                <w:tab w:val="left" w:pos="900" w:leader="none"/>
              </w:tabs>
              <w:ind w:start="0" w:end="-360"/>
              <w:jc w:val="both"/>
              <w:rPr/>
            </w:pPr>
            <w:bookmarkStart w:id="0" w:name="xgraphic"/>
            <w:bookmarkEnd w:id="0"/>
            <w:r>
              <w:rPr/>
              <w:drawing>
                <wp:inline distT="0" distB="0" distL="0" distR="0">
                  <wp:extent cx="1203960" cy="9525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0" t="-26" r="-20" b="-26"/>
                          <a:stretch>
                            <a:fillRect/>
                          </a:stretch>
                        </pic:blipFill>
                        <pic:spPr bwMode="auto">
                          <a:xfrm>
                            <a:off x="0" y="0"/>
                            <a:ext cx="1203960" cy="952500"/>
                          </a:xfrm>
                          <a:prstGeom prst="rect">
                            <a:avLst/>
                          </a:prstGeom>
                          <a:noFill/>
                        </pic:spPr>
                      </pic:pic>
                    </a:graphicData>
                  </a:graphic>
                </wp:inline>
              </w:drawing>
            </w:r>
          </w:p>
        </w:tc>
        <w:tc>
          <w:tcPr>
            <w:tcW w:w="7740" w:type="dxa"/>
            <w:tcBorders/>
          </w:tcPr>
          <w:p>
            <w:pPr>
              <w:pStyle w:val="Normal"/>
              <w:snapToGrid w:val="false"/>
              <w:ind w:start="0" w:end="-720"/>
              <w:jc w:val="center"/>
              <w:rPr>
                <w:b/>
              </w:rPr>
            </w:pPr>
            <w:r>
              <w:rPr>
                <w:b/>
              </w:rPr>
            </w:r>
          </w:p>
          <w:p>
            <w:pPr>
              <w:pStyle w:val="Normal"/>
              <w:ind w:start="0" w:end="-720"/>
              <w:jc w:val="center"/>
              <w:rPr>
                <w:b/>
                <w:sz w:val="30"/>
              </w:rPr>
            </w:pPr>
            <w:r>
              <w:rPr>
                <w:b/>
                <w:sz w:val="30"/>
              </w:rPr>
              <w:t>ENRON EQUIPMENT &amp; PROCUREMENT CO.</w:t>
            </w:r>
          </w:p>
          <w:p>
            <w:pPr>
              <w:pStyle w:val="Normal"/>
              <w:ind w:start="0" w:end="-720"/>
              <w:jc w:val="center"/>
              <w:rPr>
                <w:b/>
                <w:sz w:val="30"/>
              </w:rPr>
            </w:pPr>
            <w:r>
              <w:rPr>
                <w:b/>
                <w:sz w:val="30"/>
              </w:rPr>
              <w:t>&amp;  ENRON POWER I (PUERTO RICO) INC.</w:t>
            </w:r>
          </w:p>
          <w:p>
            <w:pPr>
              <w:pStyle w:val="Normal"/>
              <w:ind w:start="0" w:end="-720"/>
              <w:jc w:val="center"/>
              <w:rPr/>
            </w:pPr>
            <w:r>
              <w:rPr/>
              <w:t>Road 127 Km 17.3, Bo. Tallaboa Poniente, Peñuelas Puerto Rico 00624</w:t>
            </w:r>
          </w:p>
          <w:p>
            <w:pPr>
              <w:pStyle w:val="Normal"/>
              <w:ind w:start="0" w:end="-720"/>
              <w:jc w:val="center"/>
              <w:rPr/>
            </w:pPr>
            <w:r>
              <w:rPr/>
              <w:t>P.O.Box 560549, Guayanilla, Puerto Rico 00656-0549</w:t>
            </w:r>
          </w:p>
          <w:p>
            <w:pPr>
              <w:pStyle w:val="Normal"/>
              <w:ind w:start="0" w:end="-720"/>
              <w:jc w:val="center"/>
              <w:rPr/>
            </w:pPr>
            <w:r>
              <w:rPr/>
              <w:t>Telephone (787) 836-3859  Fax (787) 836-5999</w:t>
            </w:r>
          </w:p>
          <w:p>
            <w:pPr>
              <w:pStyle w:val="Normal"/>
              <w:tabs>
                <w:tab w:val="clear" w:pos="720"/>
                <w:tab w:val="left" w:pos="900" w:leader="none"/>
              </w:tabs>
              <w:ind w:start="0" w:end="-720"/>
              <w:jc w:val="center"/>
              <w:rPr/>
            </w:pPr>
            <w:r>
              <w:rPr/>
            </w:r>
          </w:p>
        </w:tc>
        <w:tc>
          <w:tcPr>
            <w:tcW w:w="6678" w:type="dxa"/>
            <w:tcBorders/>
          </w:tcPr>
          <w:p>
            <w:pPr>
              <w:pStyle w:val="Normal"/>
              <w:tabs>
                <w:tab w:val="clear" w:pos="720"/>
                <w:tab w:val="left" w:pos="900" w:leader="none"/>
              </w:tabs>
              <w:snapToGrid w:val="false"/>
              <w:ind w:start="0" w:end="-360"/>
              <w:jc w:val="both"/>
              <w:rPr/>
            </w:pPr>
            <w:r>
              <w:rPr/>
            </w:r>
          </w:p>
        </w:tc>
      </w:tr>
    </w:tbl>
    <w:p>
      <w:pPr>
        <w:pStyle w:val="Normal"/>
        <w:ind w:end="684"/>
        <w:rPr/>
      </w:pPr>
      <w:r>
        <w:rPr/>
      </w:r>
    </w:p>
    <w:p>
      <w:pPr>
        <w:pStyle w:val="Normal"/>
        <w:ind w:end="684"/>
        <w:rPr/>
      </w:pPr>
      <w:r>
        <w:rPr/>
      </w:r>
    </w:p>
    <w:p>
      <w:pPr>
        <w:pStyle w:val="Heading1"/>
        <w:rPr>
          <w:b w:val="false"/>
        </w:rPr>
      </w:pPr>
      <w:r>
        <w:rPr>
          <w:b w:val="false"/>
        </w:rPr>
        <w:t>October 19, 2000</w:t>
      </w:r>
    </w:p>
    <w:p>
      <w:pPr>
        <w:pStyle w:val="Normal"/>
        <w:rPr>
          <w:rFonts w:ascii="Arial" w:hAnsi="Arial" w:cs="Arial"/>
          <w:b/>
          <w:sz w:val="22"/>
        </w:rPr>
      </w:pPr>
      <w:r>
        <w:rPr>
          <w:rFonts w:cs="Arial" w:ascii="Arial" w:hAnsi="Arial"/>
          <w:b/>
          <w:sz w:val="22"/>
        </w:rPr>
      </w:r>
    </w:p>
    <w:p>
      <w:pPr>
        <w:pStyle w:val="Heading8"/>
        <w:ind w:hanging="0" w:start="840"/>
        <w:rPr>
          <w:sz w:val="22"/>
        </w:rPr>
      </w:pPr>
      <w:r>
        <w:rPr>
          <w:sz w:val="22"/>
        </w:rPr>
        <w:t>EcoElectrica, LP</w:t>
      </w:r>
    </w:p>
    <w:p>
      <w:pPr>
        <w:pStyle w:val="Normal"/>
        <w:rPr>
          <w:rFonts w:ascii="Arial" w:hAnsi="Arial" w:cs="Arial"/>
          <w:sz w:val="22"/>
        </w:rPr>
      </w:pPr>
      <w:r>
        <w:rPr>
          <w:rFonts w:cs="Arial" w:ascii="Arial" w:hAnsi="Arial"/>
          <w:sz w:val="22"/>
        </w:rPr>
        <w:t>Plaza Scotiabank</w:t>
      </w:r>
    </w:p>
    <w:p>
      <w:pPr>
        <w:pStyle w:val="Normal"/>
        <w:rPr>
          <w:rFonts w:ascii="Arial" w:hAnsi="Arial" w:cs="Arial"/>
          <w:sz w:val="22"/>
        </w:rPr>
      </w:pPr>
      <w:r>
        <w:rPr>
          <w:rFonts w:cs="Arial" w:ascii="Arial" w:hAnsi="Arial"/>
          <w:sz w:val="22"/>
        </w:rPr>
        <w:t>273 Ponce de Leon Ave</w:t>
      </w:r>
    </w:p>
    <w:p>
      <w:pPr>
        <w:pStyle w:val="Normal"/>
        <w:rPr>
          <w:rFonts w:ascii="Arial" w:hAnsi="Arial" w:cs="Arial"/>
          <w:sz w:val="22"/>
        </w:rPr>
      </w:pPr>
      <w:r>
        <w:rPr>
          <w:rFonts w:cs="Arial" w:ascii="Arial" w:hAnsi="Arial"/>
          <w:sz w:val="22"/>
        </w:rPr>
        <w:t>Suite 902</w:t>
      </w:r>
    </w:p>
    <w:p>
      <w:pPr>
        <w:pStyle w:val="Normal"/>
        <w:rPr>
          <w:rFonts w:ascii="Arial" w:hAnsi="Arial" w:cs="Arial"/>
          <w:sz w:val="22"/>
        </w:rPr>
      </w:pPr>
      <w:r>
        <w:rPr>
          <w:rFonts w:cs="Arial" w:ascii="Arial" w:hAnsi="Arial"/>
          <w:sz w:val="22"/>
        </w:rPr>
        <w:t>Hato Rey, Puerto Rico 00918</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Attn:</w:t>
        <w:tab/>
        <w:t>Larry Shepherd</w:t>
      </w:r>
    </w:p>
    <w:p>
      <w:pPr>
        <w:pStyle w:val="Normal"/>
        <w:rPr>
          <w:rFonts w:ascii="Arial" w:hAnsi="Arial" w:cs="Arial"/>
          <w:sz w:val="22"/>
        </w:rPr>
      </w:pPr>
      <w:r>
        <w:rPr>
          <w:rFonts w:cs="Arial" w:ascii="Arial" w:hAnsi="Arial"/>
          <w:sz w:val="22"/>
        </w:rPr>
        <w:tab/>
        <w:t>Owner’s Representative</w:t>
      </w:r>
    </w:p>
    <w:p>
      <w:pPr>
        <w:pStyle w:val="Normal"/>
        <w:ind w:end="324"/>
        <w:rPr>
          <w:rFonts w:ascii="Arial" w:hAnsi="Arial" w:cs="Arial"/>
          <w:sz w:val="22"/>
        </w:rPr>
      </w:pPr>
      <w:r>
        <w:rPr>
          <w:rFonts w:cs="Arial" w:ascii="Arial" w:hAnsi="Arial"/>
          <w:sz w:val="22"/>
        </w:rPr>
      </w:r>
    </w:p>
    <w:p>
      <w:pPr>
        <w:pStyle w:val="Normal"/>
        <w:ind w:start="835" w:end="324"/>
        <w:rPr>
          <w:rFonts w:ascii="Arial" w:hAnsi="Arial" w:cs="Arial"/>
          <w:sz w:val="22"/>
        </w:rPr>
      </w:pPr>
      <w:r>
        <w:rPr>
          <w:rFonts w:cs="Arial" w:ascii="Arial" w:hAnsi="Arial"/>
          <w:sz w:val="22"/>
        </w:rPr>
        <w:t xml:space="preserve">Re: </w:t>
      </w:r>
      <w:r>
        <w:rPr>
          <w:rFonts w:cs="Arial" w:ascii="Arial" w:hAnsi="Arial"/>
          <w:sz w:val="22"/>
          <w:u w:val="single"/>
        </w:rPr>
        <w:t>Disputes Resolution - Outstanding Commercial Issues Penuelas Project</w:t>
      </w:r>
    </w:p>
    <w:p>
      <w:pPr>
        <w:pStyle w:val="Normal"/>
        <w:ind w:end="324"/>
        <w:rPr>
          <w:rFonts w:ascii="Arial" w:hAnsi="Arial" w:cs="Arial"/>
          <w:sz w:val="22"/>
        </w:rPr>
      </w:pPr>
      <w:r>
        <w:rPr>
          <w:rFonts w:cs="Arial" w:ascii="Arial" w:hAnsi="Arial"/>
          <w:sz w:val="22"/>
        </w:rPr>
      </w:r>
    </w:p>
    <w:p>
      <w:pPr>
        <w:pStyle w:val="Normal"/>
        <w:ind w:end="324"/>
        <w:rPr>
          <w:rFonts w:ascii="Arial" w:hAnsi="Arial" w:cs="Arial"/>
          <w:sz w:val="22"/>
        </w:rPr>
      </w:pPr>
      <w:r>
        <w:rPr>
          <w:rFonts w:cs="Arial" w:ascii="Arial" w:hAnsi="Arial"/>
          <w:sz w:val="22"/>
        </w:rPr>
        <w:t>Dear Mr. Shepherd:</w:t>
      </w:r>
    </w:p>
    <w:p>
      <w:pPr>
        <w:pStyle w:val="Normal"/>
        <w:ind w:end="324"/>
        <w:rPr>
          <w:rFonts w:ascii="Arial" w:hAnsi="Arial" w:cs="Arial"/>
          <w:sz w:val="22"/>
        </w:rPr>
      </w:pPr>
      <w:r>
        <w:rPr>
          <w:rFonts w:cs="Arial" w:ascii="Arial" w:hAnsi="Arial"/>
          <w:sz w:val="22"/>
        </w:rPr>
      </w:r>
    </w:p>
    <w:p>
      <w:pPr>
        <w:pStyle w:val="Normal"/>
        <w:ind w:end="324"/>
        <w:rPr>
          <w:rFonts w:ascii="Arial" w:hAnsi="Arial" w:cs="Arial"/>
          <w:sz w:val="22"/>
        </w:rPr>
      </w:pPr>
      <w:r>
        <w:rPr>
          <w:rFonts w:cs="Arial" w:ascii="Arial" w:hAnsi="Arial"/>
          <w:sz w:val="22"/>
        </w:rPr>
        <w:t>Thank you for the recent payment of $6.0 million.  There are, however, other outstanding issues remaining that must be promptly addressed:</w:t>
      </w:r>
    </w:p>
    <w:p>
      <w:pPr>
        <w:pStyle w:val="Normal"/>
        <w:ind w:end="324"/>
        <w:jc w:val="both"/>
        <w:rPr>
          <w:rFonts w:ascii="Arial" w:hAnsi="Arial" w:cs="Arial"/>
          <w:sz w:val="22"/>
        </w:rPr>
      </w:pPr>
      <w:r>
        <w:rPr>
          <w:rFonts w:cs="Arial" w:ascii="Arial" w:hAnsi="Arial"/>
          <w:sz w:val="22"/>
        </w:rPr>
      </w:r>
    </w:p>
    <w:p>
      <w:pPr>
        <w:pStyle w:val="Normal"/>
        <w:numPr>
          <w:ilvl w:val="0"/>
          <w:numId w:val="2"/>
        </w:numPr>
        <w:tabs>
          <w:tab w:val="clear" w:pos="720"/>
          <w:tab w:val="left" w:pos="1200" w:leader="none"/>
        </w:tabs>
        <w:ind w:hanging="360" w:start="1200" w:end="324"/>
        <w:jc w:val="both"/>
        <w:rPr>
          <w:rFonts w:ascii="Arial" w:hAnsi="Arial" w:cs="Arial"/>
          <w:sz w:val="22"/>
        </w:rPr>
      </w:pPr>
      <w:r>
        <w:rPr>
          <w:rFonts w:cs="Arial" w:ascii="Arial" w:hAnsi="Arial"/>
          <w:sz w:val="22"/>
        </w:rPr>
        <w:t>There is still an outstanding balance of approximately $18 million that remains unpaid.  Excluding $8.4 million that EcoElectrica has identified as being withheld in connection with disputed liquidated damages, there remains an undisputed, unpaid balance of approximately $9.6 million.  To date, EcoElectrica has not articulated any contractual basis for withholding this amount,  which is past due and in default.  We request payment of this undisputed amount on or before November 1, 2000 so that there is no need for the issuance of a formal default notice.</w:t>
      </w:r>
    </w:p>
    <w:p>
      <w:pPr>
        <w:pStyle w:val="Normal"/>
        <w:ind w:end="324"/>
        <w:jc w:val="both"/>
        <w:rPr>
          <w:rFonts w:ascii="Arial" w:hAnsi="Arial" w:cs="Arial"/>
          <w:sz w:val="22"/>
        </w:rPr>
      </w:pPr>
      <w:r>
        <w:rPr>
          <w:rFonts w:cs="Arial" w:ascii="Arial" w:hAnsi="Arial"/>
          <w:sz w:val="22"/>
        </w:rPr>
      </w:r>
    </w:p>
    <w:p>
      <w:pPr>
        <w:pStyle w:val="Normal"/>
        <w:numPr>
          <w:ilvl w:val="0"/>
          <w:numId w:val="2"/>
        </w:numPr>
        <w:tabs>
          <w:tab w:val="clear" w:pos="720"/>
          <w:tab w:val="left" w:pos="1200" w:leader="none"/>
        </w:tabs>
        <w:ind w:hanging="360" w:start="1200" w:end="324"/>
        <w:jc w:val="both"/>
        <w:rPr>
          <w:rFonts w:ascii="Arial" w:hAnsi="Arial" w:cs="Arial"/>
          <w:sz w:val="22"/>
        </w:rPr>
      </w:pPr>
      <w:r>
        <w:rPr>
          <w:rFonts w:cs="Arial" w:ascii="Arial" w:hAnsi="Arial"/>
          <w:sz w:val="22"/>
        </w:rPr>
        <w:t>We have had no response to our letter of October 6, 2000 requesting a meeting of senior officers of our respective companies on November 2, 2000 to resolve all outstanding commercial issues.  Please respond in writing by October 24 indicating your acceptance of the proposed date or committing to an alternative date in early November.  Failing your agreement to a date certain for the senior management meeting, the only other alternative for resolving such matters is to refer to them to binding arbitration under Section 21.2 of each of the Contracts, which we hope to avoid.</w:t>
      </w:r>
    </w:p>
    <w:p>
      <w:pPr>
        <w:pStyle w:val="Normal"/>
        <w:ind w:start="0" w:end="324"/>
        <w:jc w:val="both"/>
        <w:rPr>
          <w:rFonts w:ascii="Arial" w:hAnsi="Arial" w:cs="Arial"/>
          <w:sz w:val="22"/>
        </w:rPr>
      </w:pPr>
      <w:r>
        <w:rPr>
          <w:rFonts w:cs="Arial" w:ascii="Arial" w:hAnsi="Arial"/>
          <w:sz w:val="22"/>
        </w:rPr>
      </w:r>
    </w:p>
    <w:p>
      <w:pPr>
        <w:pStyle w:val="Normal"/>
        <w:ind w:end="324"/>
        <w:jc w:val="both"/>
        <w:rPr>
          <w:rFonts w:ascii="Arial" w:hAnsi="Arial" w:cs="Arial"/>
          <w:sz w:val="22"/>
        </w:rPr>
      </w:pPr>
      <w:r>
        <w:rPr>
          <w:rFonts w:cs="Arial" w:ascii="Arial" w:hAnsi="Arial"/>
          <w:sz w:val="22"/>
        </w:rPr>
        <w:t>Thank you for your prompt attention to these urgent issues.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Sincerely,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Nigel Carling</w:t>
      </w:r>
    </w:p>
    <w:p>
      <w:pPr>
        <w:pStyle w:val="Normal"/>
        <w:ind w:end="864"/>
        <w:jc w:val="both"/>
        <w:rPr>
          <w:rFonts w:ascii="Arial" w:hAnsi="Arial" w:cs="Arial"/>
          <w:sz w:val="22"/>
        </w:rPr>
      </w:pPr>
      <w:r>
        <w:rPr>
          <w:rFonts w:cs="Arial" w:ascii="Arial" w:hAnsi="Arial"/>
          <w:sz w:val="22"/>
        </w:rPr>
        <w:t>for EEPC &amp; EPI (PR) Inc.</w:t>
      </w:r>
    </w:p>
    <w:p>
      <w:pPr>
        <w:pStyle w:val="Normal"/>
        <w:ind w:end="864"/>
        <w:jc w:val="both"/>
        <w:rPr>
          <w:rFonts w:ascii="Arial" w:hAnsi="Arial" w:cs="Arial"/>
          <w:sz w:val="22"/>
        </w:rPr>
      </w:pPr>
      <w:r>
        <w:rPr>
          <w:rFonts w:cs="Arial" w:ascii="Arial" w:hAnsi="Arial"/>
          <w:sz w:val="22"/>
        </w:rPr>
      </w:r>
    </w:p>
    <w:p>
      <w:pPr>
        <w:pStyle w:val="Normal"/>
        <w:ind w:end="864"/>
        <w:jc w:val="both"/>
        <w:rPr>
          <w:rFonts w:ascii="Arial" w:hAnsi="Arial" w:cs="Arial"/>
        </w:rPr>
      </w:pPr>
      <w:r>
        <w:rPr>
          <w:rFonts w:cs="Arial" w:ascii="Arial" w:hAnsi="Arial"/>
        </w:rPr>
        <w:t>cc:</w:t>
        <w:tab/>
        <w:t>K. Breckon</w:t>
        <w:tab/>
        <w:t>R. Murphy</w:t>
        <w:tab/>
      </w:r>
    </w:p>
    <w:p>
      <w:pPr>
        <w:pStyle w:val="Normal"/>
        <w:ind w:end="864"/>
        <w:jc w:val="both"/>
        <w:rPr>
          <w:rFonts w:ascii="Arial" w:hAnsi="Arial" w:cs="Arial"/>
        </w:rPr>
      </w:pPr>
      <w:r>
        <w:rPr>
          <w:rFonts w:cs="Arial" w:ascii="Arial" w:hAnsi="Arial"/>
        </w:rPr>
        <w:tab/>
        <w:t>S. Dieball</w:t>
        <w:tab/>
        <w:t>Site File</w:t>
      </w:r>
    </w:p>
    <w:p>
      <w:pPr>
        <w:pStyle w:val="Normal"/>
        <w:ind w:end="864"/>
        <w:jc w:val="both"/>
        <w:rPr>
          <w:rFonts w:ascii="Arial" w:hAnsi="Arial" w:cs="Arial"/>
        </w:rPr>
      </w:pPr>
      <w:r>
        <w:rPr>
          <w:rFonts w:cs="Arial" w:ascii="Arial" w:hAnsi="Arial"/>
        </w:rPr>
        <w:tab/>
        <w:t>N. Carling</w:t>
        <w:tab/>
      </w:r>
    </w:p>
    <w:p>
      <w:pPr>
        <w:pStyle w:val="Normal"/>
        <w:ind w:end="684"/>
        <w:jc w:val="both"/>
        <w:rPr>
          <w:rFonts w:ascii="Arial" w:hAnsi="Arial" w:cs="Arial"/>
        </w:rPr>
      </w:pPr>
      <w:r>
        <w:rPr>
          <w:rFonts w:cs="Arial" w:ascii="Arial" w:hAnsi="Arial"/>
        </w:rPr>
      </w:r>
    </w:p>
    <w:p>
      <w:pPr>
        <w:pStyle w:val="Heading7"/>
        <w:rPr>
          <w:sz w:val="20"/>
        </w:rPr>
      </w:pPr>
      <w:r>
        <w:rPr>
          <w:sz w:val="20"/>
        </w:rPr>
        <w:t>P. Wilkins – EcoElectrica</w:t>
      </w:r>
    </w:p>
    <w:p>
      <w:pPr>
        <w:pStyle w:val="Normal"/>
        <w:ind w:start="1440" w:end="684"/>
        <w:jc w:val="both"/>
        <w:rPr>
          <w:rFonts w:ascii="Arial" w:hAnsi="Arial" w:cs="Arial"/>
        </w:rPr>
      </w:pPr>
      <w:r>
        <w:rPr>
          <w:rFonts w:cs="Arial" w:ascii="Arial" w:hAnsi="Arial"/>
        </w:rPr>
        <w:t>R. Sierra   - EcoElectrica</w:t>
      </w:r>
    </w:p>
    <w:sectPr>
      <w:headerReference w:type="default" r:id="rId3"/>
      <w:headerReference w:type="first" r:id="rId4"/>
      <w:footerReference w:type="default" r:id="rId5"/>
      <w:footerReference w:type="first" r:id="rId6"/>
      <w:type w:val="nextPage"/>
      <w:pgSz w:w="12240" w:h="15840"/>
      <w:pgMar w:left="1008" w:right="1008" w:gutter="0" w:header="965" w:top="1021"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ind w:hanging="0" w:start="1440" w:end="684"/>
      <w:jc w:val="both"/>
      <w:outlineLvl w:val="6"/>
    </w:pPr>
    <w:rPr>
      <w:rFonts w:ascii="Arial" w:hAnsi="Arial" w:cs="Arial"/>
      <w:sz w:val="24"/>
    </w:rPr>
  </w:style>
  <w:style w:type="paragraph" w:styleId="Heading8">
    <w:name w:val="heading 8"/>
    <w:basedOn w:val="Normal"/>
    <w:next w:val="Normal"/>
    <w:qFormat/>
    <w:pPr>
      <w:keepNext w:val="true"/>
      <w:numPr>
        <w:ilvl w:val="7"/>
        <w:numId w:val="1"/>
      </w:numPr>
      <w:outlineLvl w:val="7"/>
    </w:pPr>
    <w:rPr>
      <w:rFonts w:ascii="Arial" w:hAnsi="Arial" w:cs="Arial"/>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bidi="ar-SA" w:eastAsia="zh-C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BlockText">
    <w:name w:val="Block Text"/>
    <w:basedOn w:val="Normal"/>
    <w:qFormat/>
    <w:pPr>
      <w:ind w:hanging="0" w:start="840" w:end="864"/>
      <w:jc w:val="both"/>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2000-10-19T19:01:00Z</dcterms:created>
  <dc:creator>crodrig</dc:creator>
  <dc:description/>
  <dc:language>en-CA</dc:language>
  <cp:lastModifiedBy>John Schwartzenburg</cp:lastModifiedBy>
  <cp:lastPrinted>2000-10-19T17:08:00Z</cp:lastPrinted>
  <dcterms:modified xsi:type="dcterms:W3CDTF">2000-10-19T19:38:00Z</dcterms:modified>
  <cp:revision>7</cp:revision>
  <dc:subject/>
  <dc:title>Memo</dc:title>
</cp:coreProperties>
</file>