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Eastman Chemical Company – Kingsport, Tennessee</w:t>
      </w:r>
    </w:p>
    <w:p>
      <w:pPr>
        <w:pStyle w:val="Heading2"/>
        <w:ind w:hanging="0" w:start="0"/>
        <w:rPr>
          <w:sz w:val="24"/>
        </w:rPr>
      </w:pPr>
      <w:r>
        <w:rPr>
          <w:sz w:val="24"/>
        </w:rPr>
      </w:r>
    </w:p>
    <w:p>
      <w:pPr>
        <w:pStyle w:val="Heading2"/>
        <w:ind w:hanging="0" w:start="0"/>
        <w:rPr>
          <w:sz w:val="24"/>
        </w:rPr>
      </w:pPr>
      <w:r>
        <w:rPr>
          <w:sz w:val="24"/>
        </w:rPr>
        <w:t>Term Sheet Proposal</w:t>
      </w:r>
    </w:p>
    <w:p>
      <w:pPr>
        <w:pStyle w:val="Heading7"/>
        <w:ind w:hanging="0" w:start="0"/>
        <w:rPr/>
      </w:pPr>
      <w:r>
        <w:rPr/>
        <w:t>November 10, 1999</w:t>
      </w:r>
    </w:p>
    <w:p>
      <w:pPr>
        <w:pStyle w:val="Heading9"/>
        <w:ind w:hanging="0" w:start="0"/>
        <w:rPr>
          <w:sz w:val="22"/>
          <w:u w:val="single"/>
        </w:rPr>
      </w:pPr>
      <w:r>
        <w:rPr>
          <w:sz w:val="22"/>
          <w:u w:val="single"/>
        </w:rPr>
      </w:r>
    </w:p>
    <w:p>
      <w:pPr>
        <w:pStyle w:val="Heading9"/>
        <w:ind w:hanging="0" w:start="0"/>
        <w:rPr>
          <w:u w:val="single"/>
        </w:rPr>
      </w:pPr>
      <w:r>
        <w:rPr>
          <w:u w:val="single"/>
        </w:rPr>
        <w:t>Introduction</w:t>
      </w:r>
    </w:p>
    <w:p>
      <w:pPr>
        <w:pStyle w:val="Heading9"/>
        <w:ind w:hanging="0" w:start="0"/>
        <w:rPr>
          <w:sz w:val="22"/>
          <w:u w:val="single"/>
        </w:rPr>
      </w:pPr>
      <w:r>
        <w:rPr>
          <w:sz w:val="22"/>
          <w:u w:val="single"/>
        </w:rPr>
      </w:r>
    </w:p>
    <w:p>
      <w:pPr>
        <w:pStyle w:val="BodyText"/>
        <w:jc w:val="both"/>
        <w:rPr/>
      </w:pPr>
      <w:r>
        <w:rPr/>
        <w:t xml:space="preserve">Enron Compression Services a subsidiary of Enron North America and Flowserve Corporation have developed a business relationship that is designed to offer specific equipment and financial services and provide a customized level of physical services.  This relationship brings together the highest level of rotating equipment quality, expertise and experience with the financial and energy management superiority that have made each of these respective companies leaders in their fields.  We also believe that by segregating the various areas of responsibility associated with the engineering, construction, maintenance, capital financing, as well as risk and energy management this relationship will offer a superior value of services and reduce the overall risk of ownership and operation of pumping equipment.   </w:t>
      </w:r>
    </w:p>
    <w:p>
      <w:pPr>
        <w:pStyle w:val="Normal"/>
        <w:jc w:val="both"/>
        <w:rPr>
          <w:sz w:val="22"/>
        </w:rPr>
      </w:pPr>
      <w:r>
        <w:rPr>
          <w:sz w:val="22"/>
        </w:rPr>
      </w:r>
    </w:p>
    <w:p>
      <w:pPr>
        <w:pStyle w:val="Heading9"/>
        <w:ind w:hanging="0" w:start="0"/>
        <w:rPr>
          <w:u w:val="single"/>
        </w:rPr>
      </w:pPr>
      <w:r>
        <w:rPr>
          <w:u w:val="single"/>
        </w:rPr>
        <w:t>Background</w:t>
      </w:r>
    </w:p>
    <w:p>
      <w:pPr>
        <w:pStyle w:val="Normal"/>
        <w:jc w:val="both"/>
        <w:rPr>
          <w:sz w:val="22"/>
          <w:u w:val="single"/>
        </w:rPr>
      </w:pPr>
      <w:r>
        <w:rPr>
          <w:sz w:val="22"/>
          <w:u w:val="single"/>
        </w:rPr>
      </w:r>
    </w:p>
    <w:p>
      <w:pPr>
        <w:pStyle w:val="Normal"/>
        <w:jc w:val="both"/>
        <w:rPr/>
      </w:pPr>
      <w:r>
        <w:rPr>
          <w:sz w:val="22"/>
        </w:rPr>
        <w:t xml:space="preserve">Enron began developing these business relationships and customized services in the natural gas pipeline and gas storage applications several years ago. Currently with </w:t>
      </w:r>
      <w:r>
        <w:rPr>
          <w:color w:val="FF0000"/>
          <w:sz w:val="22"/>
        </w:rPr>
        <w:t xml:space="preserve">approximately </w:t>
      </w:r>
      <w:r>
        <w:rPr>
          <w:i/>
          <w:color w:val="FF0000"/>
          <w:sz w:val="22"/>
        </w:rPr>
        <w:t>one hundred and fifty</w:t>
      </w:r>
      <w:r>
        <w:rPr>
          <w:i/>
          <w:sz w:val="22"/>
        </w:rPr>
        <w:t xml:space="preserve"> </w:t>
      </w:r>
      <w:r>
        <w:rPr>
          <w:sz w:val="22"/>
        </w:rPr>
        <w:t xml:space="preserve">thousand horsepower in-service ECS continues to offer and expand the services structured around all electrically driven horsepower applications.  Enron maintains the largest portfolio of energy risk management products in the country in addition to being the leading power marketer in the nation. Flowserve Corporation, being a leading provider of rotating equipment in the industrial sector, also recognized a shift taking place whereby customers were looking for opportunities to avoid major capital and maintenance commitments in exchange for structured service type of arrangements.  </w:t>
      </w:r>
      <w:r>
        <w:rPr>
          <w:color w:val="FF0000"/>
          <w:sz w:val="22"/>
        </w:rPr>
        <w:t>Customers would undertake the development and maintenance of detailed specifications, drawings and other activities to limit future cost exposure (risk) at the expense of initial capital costs.  These customers have developed a proficiency at procurement and equipment maintenance that is typically ancillary to core objectives</w:t>
      </w:r>
      <w:r>
        <w:rPr>
          <w:sz w:val="22"/>
        </w:rPr>
        <w:t xml:space="preserve">.    In this relationship, Flowserve would be responsible for the specifications, design, packaging the rotating equipment in addition to the operational warranty of the pumping equipment.  Enron will provide construction, engineering and procurement for the renovation project through a subsidiary company NEPCO (National Electrical Power Company).  They have extensive experience in the construction of power facilities including power plant and substation type projects.  NEPCO has an Industrial Division to perform smaller projects that would handle this river water pumping renovation.  Enron Compression Services would provide all financing, risk management functions as well as the energy procurement for the term of the contract.  </w:t>
      </w:r>
    </w:p>
    <w:p>
      <w:pPr>
        <w:pStyle w:val="Normal"/>
        <w:jc w:val="both"/>
        <w:rPr>
          <w:sz w:val="22"/>
        </w:rPr>
      </w:pPr>
      <w:r>
        <w:rPr>
          <w:sz w:val="22"/>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sz w:val="22"/>
        </w:rPr>
      </w:pPr>
      <w:r>
        <w:rPr>
          <w:sz w:val="22"/>
        </w:rPr>
        <w:t>Enron and Flowserve jointly submit the following terms to provide the described project with river water pumping capacity at pump house #63 of the Eastman Chemical Co. complex in Kingsport, Tennessee.  This proposal includes the power transmission line, electrical substation, pumping equipment, engineering, construction, term maintenance, and all power costs associated with the September 1999 Request for Proposal prepared by Eastman Chemical Company.  Eastman Chemical Company would continue to operate the pumping station and maintain operational control of the equipment and facilities represented in this proposal.</w:t>
      </w:r>
    </w:p>
    <w:p>
      <w:pPr>
        <w:pStyle w:val="Normal"/>
        <w:jc w:val="both"/>
        <w:rPr>
          <w:sz w:val="22"/>
        </w:rPr>
      </w:pPr>
      <w:r>
        <w:rPr>
          <w:sz w:val="22"/>
        </w:rPr>
      </w:r>
    </w:p>
    <w:p>
      <w:pPr>
        <w:pStyle w:val="Normal"/>
        <w:jc w:val="both"/>
        <w:rPr>
          <w:sz w:val="22"/>
        </w:rPr>
      </w:pPr>
      <w:r>
        <w:rPr>
          <w:sz w:val="22"/>
        </w:rPr>
        <w:t xml:space="preserve">Electrical power supply would be sourced from a new connection with the 138 kV power line on the North side of the Holston River crossing within the plant complex.  This power source is located downstream of the current purchase power point from AEP whereby this proposal would provide either a contractual metering configuration with AEP and Eastman Chemical or an isolation of this specific 138 kV line to the point of the proposed tap site at the river.  This electrical configuration will provide access to retail power from the local utility as well as power generated from within the plant infrastructure for enhanced reliability.  Firm electrical power would be provided by AEP for this application under their Industrial Power Tariff structure with service provided at the transmission voltage. </w:t>
      </w:r>
    </w:p>
    <w:p>
      <w:pPr>
        <w:pStyle w:val="Normal"/>
        <w:jc w:val="both"/>
        <w:rPr>
          <w:sz w:val="22"/>
        </w:rPr>
      </w:pPr>
      <w:r>
        <w:rPr>
          <w:sz w:val="22"/>
        </w:rPr>
      </w:r>
    </w:p>
    <w:p>
      <w:pPr>
        <w:pStyle w:val="Heading5"/>
        <w:ind w:hanging="0" w:start="0"/>
        <w:jc w:val="both"/>
        <w:rPr/>
      </w:pPr>
      <w:r>
        <w:rPr/>
        <w:t>Project Definition</w:t>
      </w:r>
    </w:p>
    <w:p>
      <w:pPr>
        <w:pStyle w:val="Normal"/>
        <w:jc w:val="both"/>
        <w:rPr>
          <w:sz w:val="22"/>
        </w:rPr>
      </w:pPr>
      <w:r>
        <w:rPr>
          <w:sz w:val="22"/>
        </w:rPr>
      </w:r>
    </w:p>
    <w:p>
      <w:pPr>
        <w:pStyle w:val="Normal"/>
        <w:jc w:val="both"/>
        <w:rPr>
          <w:sz w:val="22"/>
        </w:rPr>
      </w:pPr>
      <w:r>
        <w:rPr>
          <w:sz w:val="22"/>
        </w:rPr>
        <w:t xml:space="preserve">This proposal provides the initial definition of scope and costs associated with the September 1999 Eastman Chemical Company RFP to rebuild the river water pumping station at building defined at 63, 63A and 63B.  This station supplies cooling water to the chemical plant through three header systems.  One system operates at approximately 85 psig (200 foot head), another at 50 psig (110 foot head) and the third at 30 psig (60 foot head).  The high-pressure system will require 7 new pumps, while the intermediate system will utilize 5 new pumps and the low-pressure system will only require 1 new pump.  Excess capacity from the higher-pressure systems can be directed into the lower pressure systems to provide back-up capacity while the high-pressure system has back-up capacity proposed.  </w:t>
      </w:r>
    </w:p>
    <w:p>
      <w:pPr>
        <w:pStyle w:val="Normal"/>
        <w:jc w:val="both"/>
        <w:rPr>
          <w:sz w:val="22"/>
        </w:rPr>
      </w:pPr>
      <w:r>
        <w:rPr>
          <w:sz w:val="22"/>
        </w:rPr>
      </w:r>
    </w:p>
    <w:p>
      <w:pPr>
        <w:pStyle w:val="Normal"/>
        <w:jc w:val="both"/>
        <w:rPr>
          <w:sz w:val="22"/>
        </w:rPr>
      </w:pPr>
      <w:r>
        <w:rPr>
          <w:sz w:val="22"/>
        </w:rPr>
        <w:t xml:space="preserve">Overall, the pumping station handles a capacity of 268,000 gallons of cooling water per minute to the chemical complex.  Currently the pumps are 23 horizontal steam-driven units taking suction from sumps with water levels that are below pump centerline.  The pumps are primed manually by a vacuum system and all this equipment is located within concrete and steel structured buildings with steam lines and other piping across the roof and around the buildings. </w:t>
      </w:r>
    </w:p>
    <w:p>
      <w:pPr>
        <w:pStyle w:val="Normal"/>
        <w:jc w:val="both"/>
        <w:rPr>
          <w:sz w:val="22"/>
        </w:rPr>
      </w:pPr>
      <w:r>
        <w:rPr>
          <w:sz w:val="22"/>
        </w:rPr>
      </w:r>
    </w:p>
    <w:p>
      <w:pPr>
        <w:pStyle w:val="Normal"/>
        <w:jc w:val="both"/>
        <w:rPr>
          <w:sz w:val="22"/>
        </w:rPr>
      </w:pPr>
      <w:r>
        <w:rPr>
          <w:sz w:val="22"/>
        </w:rPr>
        <w:t>The buildings with the existing equipment provide very limited access and minimal amounts of working space to construct and locate the replacement equipment necessary to satisfy the RFP.  It appears that most of the steam lines are encased with asbestos type of insulation that creates a difficult expense to estimate given a variety of company policies and environmental controls.  Additional difficulties surrounding the inability to shutdown and interrupt the pumping process have resulted in this proposal which limits the disruption associated with the interior of these buildings.  This proposed Statement of Proposed Work is further defined in the following section and does not include any costs for asbestos removal or handling.</w:t>
      </w:r>
    </w:p>
    <w:p>
      <w:pPr>
        <w:pStyle w:val="Normal"/>
        <w:jc w:val="both"/>
        <w:rPr>
          <w:sz w:val="22"/>
        </w:rPr>
      </w:pPr>
      <w:r>
        <w:rPr>
          <w:sz w:val="22"/>
        </w:rPr>
      </w:r>
    </w:p>
    <w:p>
      <w:pPr>
        <w:pStyle w:val="Heading6"/>
        <w:ind w:hanging="0" w:start="0"/>
        <w:rPr/>
      </w:pPr>
      <w:r>
        <w:rPr/>
        <w:t>Statement of Proposed Work</w:t>
      </w:r>
    </w:p>
    <w:p>
      <w:pPr>
        <w:pStyle w:val="Normal"/>
        <w:jc w:val="both"/>
        <w:rPr>
          <w:sz w:val="22"/>
        </w:rPr>
      </w:pPr>
      <w:r>
        <w:rPr>
          <w:sz w:val="22"/>
        </w:rPr>
      </w:r>
    </w:p>
    <w:p>
      <w:pPr>
        <w:pStyle w:val="Normal"/>
        <w:jc w:val="both"/>
        <w:rPr>
          <w:sz w:val="22"/>
        </w:rPr>
      </w:pPr>
      <w:r>
        <w:rPr>
          <w:sz w:val="22"/>
        </w:rPr>
        <w:t xml:space="preserve">The existing 23 pumps with steam turbine drivers would be replaced with 13 new vertical pumps each with electric induction motors.  A central vacuum priming system would be connected to the suction side of each pumping unit.  All new pumps will be installed exterior to the pump houses (63, 63A and 63B) by drilling a hole to a depth of approximately 28 foot for the installation of a vertical pump assembly with the top of the pump located slightly above grade on a concrete footing.  The holes would be approximately 60 inches in diameter with a steel tube or pipe liner all located between the discharge piping from the existing pumps to the respective header systems.  </w:t>
      </w:r>
    </w:p>
    <w:p>
      <w:pPr>
        <w:pStyle w:val="BodyText3"/>
        <w:rPr/>
      </w:pPr>
      <w:r>
        <w:rPr/>
        <w:t xml:space="preserve">The new pumps will be connected to the existing piping with modifications for transition.  In buildings 63 and 63A the pumps will be removed to access the existing tail pipes that go into the river.  These tail pipes will not be altered or modified as part of this scope.  We propose to connect the tail pipes at the inside face of the pimp house wall on the river side and install new suction lines across the pump house diagonally to penetrate the land side wall and go to the suction side of the new pumps.  At building 63B, the new suction pipes will go into the existing subsurface pump galleries replacing the existing pump suction lines.  Then new pipe will come up and turn through the wall on the land side of the pump house to connect to the suction side of the new pumps.  All pump discharges will flow through a check valve and down into the ground and tie into the existing pipe and gate valves prior to the respective header system.  </w:t>
      </w:r>
    </w:p>
    <w:p>
      <w:pPr>
        <w:pStyle w:val="Normal"/>
        <w:jc w:val="both"/>
        <w:rPr>
          <w:sz w:val="22"/>
        </w:rPr>
      </w:pPr>
      <w:r>
        <w:rPr>
          <w:sz w:val="22"/>
        </w:rPr>
      </w:r>
    </w:p>
    <w:p>
      <w:pPr>
        <w:pStyle w:val="Normal"/>
        <w:jc w:val="both"/>
        <w:rPr/>
      </w:pPr>
      <w:r>
        <w:rPr>
          <w:sz w:val="22"/>
        </w:rPr>
        <w:t xml:space="preserve">Incoming electric power will be made available through a connection to an existing 138 kV line approximately 2,000 feet from the site of the proposed substation.  This proposal includes the design of an overhead 138 kV feed line with a substation inclusive of a transformer to provide 4160 Volt and switch gear for the new pumps, motors and lighting.  The proposed substation </w:t>
      </w:r>
      <w:r>
        <w:rPr>
          <w:color w:val="FF0000"/>
          <w:sz w:val="22"/>
        </w:rPr>
        <w:t xml:space="preserve">with adjacent MCC’s </w:t>
      </w:r>
      <w:r>
        <w:rPr>
          <w:sz w:val="22"/>
        </w:rPr>
        <w:t xml:space="preserve">will be located at parking lot number 7E on the side of building 63A.  All new electrical conduit and lighting will be mounted along the land side of the existing pump buildings.  </w:t>
      </w:r>
    </w:p>
    <w:p>
      <w:pPr>
        <w:pStyle w:val="Normal"/>
        <w:jc w:val="both"/>
        <w:rPr>
          <w:sz w:val="22"/>
        </w:rPr>
      </w:pPr>
      <w:r>
        <w:rPr>
          <w:sz w:val="22"/>
        </w:rPr>
      </w:r>
    </w:p>
    <w:p>
      <w:pPr>
        <w:pStyle w:val="Normal"/>
        <w:jc w:val="both"/>
        <w:rPr>
          <w:sz w:val="22"/>
        </w:rPr>
      </w:pPr>
      <w:r>
        <w:rPr>
          <w:sz w:val="22"/>
        </w:rPr>
        <w:t xml:space="preserve">Instrumentation proposed is minimal and would include only pressure transmitters on the three water system headers in addition to signal indication of pump status (on/off).  All wiring and instrumentation into an Allen-Bradley or equivalent PLC mounted in a NEMA 4 or 4X enclosure at the MCC.  Programming of the PLC unit as well as the wiring to connect to the Eastman control system is not included in this scope of work. </w:t>
      </w:r>
    </w:p>
    <w:p>
      <w:pPr>
        <w:pStyle w:val="Normal"/>
        <w:jc w:val="both"/>
        <w:rPr>
          <w:sz w:val="22"/>
        </w:rPr>
      </w:pPr>
      <w:r>
        <w:rPr>
          <w:sz w:val="22"/>
        </w:rPr>
      </w:r>
    </w:p>
    <w:p>
      <w:pPr>
        <w:pStyle w:val="Heading6"/>
        <w:ind w:hanging="0" w:start="0"/>
        <w:rPr/>
      </w:pPr>
      <w:r>
        <w:rPr/>
        <w:t>Commercial Terms</w:t>
      </w:r>
    </w:p>
    <w:p>
      <w:pPr>
        <w:pStyle w:val="Normal"/>
        <w:jc w:val="both"/>
        <w:rPr>
          <w:sz w:val="22"/>
        </w:rPr>
      </w:pPr>
      <w:r>
        <w:rPr>
          <w:sz w:val="22"/>
        </w:rPr>
      </w:r>
    </w:p>
    <w:p>
      <w:pPr>
        <w:pStyle w:val="Normal"/>
        <w:jc w:val="both"/>
        <w:rPr>
          <w:sz w:val="22"/>
        </w:rPr>
      </w:pPr>
      <w:r>
        <w:rPr>
          <w:sz w:val="22"/>
        </w:rPr>
        <w:t xml:space="preserve">Under the terms described in this bid, Enron and Flowserve would design, install, finance and own the assets while providing guaranteed performance and operational availability with Eastman paying a fixed Annual Charge in addition to a variable Pumping Service Charge.  The Annual Charge would recover capital and financing in addition to other operational expenses.  The Pumping Service Charge would be determined monthly based on the amount of Horsepower-hours utilized in the river water pumping process.  This proposal would also provide for all maintenance of the electrical substation as well as the rotating equipment utilized in delivering the river water circulation at this location based on the rates and pressure conditions detailed in the Request for Proposal package.  </w:t>
      </w:r>
    </w:p>
    <w:p>
      <w:pPr>
        <w:pStyle w:val="Normal"/>
        <w:jc w:val="both"/>
        <w:rPr>
          <w:sz w:val="22"/>
        </w:rPr>
      </w:pPr>
      <w:r>
        <w:rPr>
          <w:sz w:val="22"/>
        </w:rPr>
      </w:r>
    </w:p>
    <w:p>
      <w:pPr>
        <w:pStyle w:val="Normal"/>
        <w:jc w:val="both"/>
        <w:rPr>
          <w:sz w:val="22"/>
        </w:rPr>
      </w:pPr>
      <w:r>
        <w:rPr>
          <w:sz w:val="22"/>
        </w:rPr>
        <w:t xml:space="preserve">Purchased electrical power would be contracted with Kingsport Power Company a wholly owned subsidiary of American Electric Power Company, (AEP) in order to provide the electrical service, shaft Horsepower-hours and ultimate circulation of river water for process cooling.  </w:t>
      </w:r>
    </w:p>
    <w:p>
      <w:pPr>
        <w:pStyle w:val="Normal"/>
        <w:jc w:val="both"/>
        <w:rPr>
          <w:sz w:val="22"/>
        </w:rPr>
      </w:pPr>
      <w:r>
        <w:rPr>
          <w:sz w:val="22"/>
        </w:rPr>
      </w:r>
    </w:p>
    <w:p>
      <w:pPr>
        <w:pStyle w:val="Normal"/>
        <w:jc w:val="both"/>
        <w:rPr>
          <w:sz w:val="22"/>
        </w:rPr>
      </w:pPr>
      <w:r>
        <w:rPr>
          <w:sz w:val="22"/>
        </w:rPr>
        <w:t xml:space="preserve">The pump station changeover must be made while the existing pump house continues to deliver cooling water to the Eastman system.  To accomplish this, we are proposing to install and place the first pump in service at an earlier time than the final unit installed.  With this proposed equipment design, this first pump would replace two of the existing high pressure pumps and thereby provide a level of reliability as well as an acceleration of the renovation project through-out the construction schedule.  The Pumping Service Agreement will initiate with the delivery of river water from the first unit.  The contract term will expire fifteen years from the initial deliveries of river water from the final unit.  The terms defined in this Term Sheet Proposal reflect budgetary construction and equipment costs based on the project description and materials provided, the proposed schedule, and other specifics defined herein.  The terms are inclusive of all taxes and other expenses to provide Eastman Chemical with the services defined. </w:t>
      </w:r>
    </w:p>
    <w:p>
      <w:pPr>
        <w:pStyle w:val="Normal"/>
        <w:jc w:val="both"/>
        <w:rPr>
          <w:sz w:val="22"/>
        </w:rPr>
      </w:pPr>
      <w:r>
        <w:rPr>
          <w:sz w:val="22"/>
        </w:rPr>
      </w:r>
    </w:p>
    <w:p>
      <w:pPr>
        <w:pStyle w:val="Heading5"/>
        <w:ind w:hanging="0" w:start="0"/>
        <w:jc w:val="both"/>
        <w:rPr/>
      </w:pPr>
      <w:r>
        <w:rPr/>
        <w:t>Contract Term</w:t>
      </w:r>
    </w:p>
    <w:p>
      <w:pPr>
        <w:pStyle w:val="Normal"/>
        <w:jc w:val="both"/>
        <w:rPr>
          <w:sz w:val="22"/>
        </w:rPr>
      </w:pPr>
      <w:r>
        <w:rPr>
          <w:sz w:val="22"/>
        </w:rPr>
      </w:r>
    </w:p>
    <w:p>
      <w:pPr>
        <w:pStyle w:val="Normal"/>
        <w:jc w:val="both"/>
        <w:rPr/>
      </w:pPr>
      <w:r>
        <w:rPr>
          <w:sz w:val="22"/>
        </w:rPr>
        <w:t>The initial unit would be installed and placed in service targeting a November 15, 2000 date.  The final unit would be installed and placed in service by March 31, 2001.  The Commercial Terms of this agreement would become effective on November 15, 2000 and the Contract Term would begin on March 31, 2001 for a period of 15 years.  During the time period from November 15</w:t>
      </w:r>
      <w:r>
        <w:rPr>
          <w:sz w:val="22"/>
          <w:vertAlign w:val="superscript"/>
        </w:rPr>
        <w:t>th</w:t>
      </w:r>
      <w:r>
        <w:rPr>
          <w:sz w:val="22"/>
        </w:rPr>
        <w:t xml:space="preserve"> and March 31</w:t>
      </w:r>
      <w:r>
        <w:rPr>
          <w:sz w:val="22"/>
          <w:vertAlign w:val="superscript"/>
        </w:rPr>
        <w:t>st</w:t>
      </w:r>
      <w:r>
        <w:rPr>
          <w:sz w:val="22"/>
        </w:rPr>
        <w:t>, the Annual Charge would vary based on the amount of installed horsepower and prorated for capacity made available during inter-month periods.</w:t>
      </w:r>
    </w:p>
    <w:p>
      <w:pPr>
        <w:pStyle w:val="Normal"/>
        <w:jc w:val="both"/>
        <w:rPr>
          <w:sz w:val="22"/>
        </w:rPr>
      </w:pPr>
      <w:r>
        <w:rPr>
          <w:sz w:val="22"/>
        </w:rPr>
      </w:r>
    </w:p>
    <w:p>
      <w:pPr>
        <w:pStyle w:val="Normal"/>
        <w:jc w:val="both"/>
        <w:rPr>
          <w:sz w:val="22"/>
        </w:rPr>
      </w:pPr>
      <w:r>
        <w:rPr>
          <w:sz w:val="22"/>
        </w:rPr>
      </w:r>
    </w:p>
    <w:p>
      <w:pPr>
        <w:pStyle w:val="Heading5"/>
        <w:ind w:hanging="0" w:start="0"/>
        <w:jc w:val="both"/>
        <w:rPr/>
      </w:pPr>
      <w:r>
        <w:rPr/>
        <w:t>Ownership</w:t>
      </w:r>
    </w:p>
    <w:p>
      <w:pPr>
        <w:pStyle w:val="BodyText"/>
        <w:jc w:val="both"/>
        <w:rPr/>
      </w:pPr>
      <w:r>
        <w:rPr/>
      </w:r>
    </w:p>
    <w:p>
      <w:pPr>
        <w:pStyle w:val="BodyText"/>
        <w:jc w:val="both"/>
        <w:rPr/>
      </w:pPr>
      <w:r>
        <w:rPr/>
        <w:t xml:space="preserve">Enron Compression Services and Flowserve Corporation would </w:t>
      </w:r>
      <w:r>
        <w:rPr>
          <w:i/>
          <w:color w:val="FF0000"/>
        </w:rPr>
        <w:t>create a Limited Liability Company (L.L.C.) whereby they are the sole equity investors in this project.  This L.L.C. would be the seller of services to Eastman Chemical, whereby Enron Compression Services would be the general partner and provide 100% equity financing and Flowserve Corporation would be the limited partner</w:t>
      </w:r>
      <w:r>
        <w:rPr/>
        <w:t xml:space="preserve">.  </w:t>
      </w:r>
      <w:r>
        <w:rPr>
          <w:i/>
          <w:color w:val="FF0000"/>
        </w:rPr>
        <w:t>This L.L.C. would own all the components provided in this proposal.</w:t>
      </w:r>
    </w:p>
    <w:p>
      <w:pPr>
        <w:pStyle w:val="BodyText"/>
        <w:jc w:val="both"/>
        <w:rPr>
          <w:i/>
          <w:i/>
          <w:color w:val="FF0000"/>
          <w:u w:val="single"/>
        </w:rPr>
      </w:pPr>
      <w:r>
        <w:rPr>
          <w:i/>
          <w:color w:val="FF0000"/>
          <w:u w:val="single"/>
        </w:rPr>
      </w:r>
    </w:p>
    <w:p>
      <w:pPr>
        <w:pStyle w:val="BodyText"/>
        <w:jc w:val="both"/>
        <w:rPr>
          <w:u w:val="single"/>
        </w:rPr>
      </w:pPr>
      <w:r>
        <w:rPr>
          <w:u w:val="single"/>
        </w:rPr>
        <w:t>Operation and Maintenance</w:t>
      </w:r>
    </w:p>
    <w:p>
      <w:pPr>
        <w:pStyle w:val="BodyText"/>
        <w:jc w:val="both"/>
        <w:rPr>
          <w:u w:val="single"/>
        </w:rPr>
      </w:pPr>
      <w:r>
        <w:rPr>
          <w:u w:val="single"/>
        </w:rPr>
      </w:r>
    </w:p>
    <w:p>
      <w:pPr>
        <w:pStyle w:val="Heading5"/>
        <w:ind w:hanging="0" w:start="0"/>
        <w:jc w:val="both"/>
        <w:rPr>
          <w:u w:val="none"/>
        </w:rPr>
      </w:pPr>
      <w:r>
        <w:rPr>
          <w:u w:val="none"/>
        </w:rPr>
        <w:t xml:space="preserve">The L.L.C. would not provide for the day to day operations of the pumps and equipment that are provided in this proposal.  Eastman would have direct hands on control of all the equipment for dispatching and operational purposes.  Eastman will not be responsible for any expenses associated with the routine or scheduled maintenance of this equipment.  Flowserve would provide and coordinate all of the maintenance activities including parts, materials and labor. </w:t>
      </w:r>
      <w:r>
        <w:rPr>
          <w:color w:val="FF0000"/>
          <w:u w:val="none"/>
        </w:rPr>
        <w:t>Eastman would agree under these terms, to provide monitoring and maintenance of the electric substation power line and related switchgear connecting the pumping facility to the existing transmission line.</w:t>
      </w:r>
    </w:p>
    <w:p>
      <w:pPr>
        <w:pStyle w:val="Normal"/>
        <w:rPr>
          <w:u w:val="none"/>
        </w:rPr>
      </w:pPr>
      <w:r>
        <w:rPr>
          <w:u w:val="none"/>
        </w:rPr>
      </w:r>
    </w:p>
    <w:p>
      <w:pPr>
        <w:pStyle w:val="Heading5"/>
        <w:ind w:hanging="0" w:start="0"/>
        <w:jc w:val="both"/>
        <w:rPr/>
      </w:pPr>
      <w:r>
        <w:rPr/>
        <w:t>Annual Charge</w:t>
      </w:r>
    </w:p>
    <w:p>
      <w:pPr>
        <w:pStyle w:val="Normal"/>
        <w:jc w:val="both"/>
        <w:rPr>
          <w:sz w:val="22"/>
        </w:rPr>
      </w:pPr>
      <w:r>
        <w:rPr>
          <w:sz w:val="22"/>
        </w:rPr>
      </w:r>
    </w:p>
    <w:p>
      <w:pPr>
        <w:pStyle w:val="Normal"/>
        <w:rPr/>
      </w:pPr>
      <w:r>
        <w:rPr>
          <w:sz w:val="22"/>
        </w:rPr>
        <w:t>Eastman Chemical would pay an annualized fee to the L.L.C. divided into twelve equal monthly installments made payable by the 5</w:t>
      </w:r>
      <w:r>
        <w:rPr>
          <w:sz w:val="22"/>
          <w:vertAlign w:val="superscript"/>
        </w:rPr>
        <w:t>th</w:t>
      </w:r>
      <w:r>
        <w:rPr>
          <w:sz w:val="22"/>
        </w:rPr>
        <w:t xml:space="preserve"> working day of each month.  This charge takes into account the capital recovery, financing and other aspects of this project.  The Annual Charge would total $170 per nameplate horsepower installed which results in a monthly installment of $216,042 when the last pump is placed in service.  During the construction phase of this agreement, the Annual Charge would be multiplied by the amount of nameplate horsepower installed at the end of a specific month and prorated for partial month availability. </w:t>
      </w:r>
    </w:p>
    <w:p>
      <w:pPr>
        <w:pStyle w:val="Normal"/>
        <w:rPr>
          <w:sz w:val="22"/>
        </w:rPr>
      </w:pPr>
      <w:r>
        <w:rPr>
          <w:sz w:val="22"/>
        </w:rPr>
      </w:r>
    </w:p>
    <w:p>
      <w:pPr>
        <w:pStyle w:val="Heading5"/>
        <w:ind w:hanging="0" w:start="0"/>
        <w:jc w:val="both"/>
        <w:rPr/>
      </w:pPr>
      <w:r>
        <w:rPr/>
        <w:t>Pumping Service Charge</w:t>
      </w:r>
    </w:p>
    <w:p>
      <w:pPr>
        <w:pStyle w:val="Normal"/>
        <w:jc w:val="both"/>
        <w:rPr>
          <w:sz w:val="22"/>
        </w:rPr>
      </w:pPr>
      <w:r>
        <w:rPr>
          <w:sz w:val="22"/>
        </w:rPr>
      </w:r>
    </w:p>
    <w:p>
      <w:pPr>
        <w:pStyle w:val="Normal"/>
        <w:jc w:val="both"/>
        <w:rPr/>
      </w:pPr>
      <w:r>
        <w:rPr>
          <w:sz w:val="22"/>
        </w:rPr>
        <w:t xml:space="preserve">A variable cost component will also be charged to Eastman Chemical on a monthly basis.  To provide the most cost related value for the delivery of Horsepower-hours a Pumping Service Charge (PSC) will be accessed which varies based on the amount of capacity that was utilized in a given month.  Eastman Chemical has the ability to utilize from zero to one hundred percent of the rated capacity in any given month while providing payment to the L.L.C. only for the capacity actually utilized.  The capacity utilized will be established by determining the actual Horsepower-hours delivered multiplied by </w:t>
      </w:r>
      <w:r>
        <w:rPr>
          <w:color w:val="FF0000"/>
          <w:sz w:val="22"/>
        </w:rPr>
        <w:t>$0.01772 per Horsepower-hour</w:t>
      </w:r>
      <w:r>
        <w:rPr>
          <w:sz w:val="22"/>
        </w:rPr>
        <w:t>.</w:t>
      </w:r>
    </w:p>
    <w:p>
      <w:pPr>
        <w:pStyle w:val="Normal"/>
        <w:rPr>
          <w:sz w:val="22"/>
        </w:rPr>
      </w:pPr>
      <w:r>
        <w:rPr>
          <w:sz w:val="22"/>
        </w:rPr>
      </w:r>
    </w:p>
    <w:p>
      <w:pPr>
        <w:pStyle w:val="Heading5"/>
        <w:ind w:hanging="0" w:start="0"/>
        <w:jc w:val="both"/>
        <w:rPr/>
      </w:pPr>
      <w:r>
        <w:rPr/>
        <w:t>Delivery of Horsepower-hours</w:t>
      </w:r>
    </w:p>
    <w:p>
      <w:pPr>
        <w:pStyle w:val="Normal"/>
        <w:jc w:val="both"/>
        <w:rPr>
          <w:sz w:val="22"/>
        </w:rPr>
      </w:pPr>
      <w:r>
        <w:rPr>
          <w:sz w:val="22"/>
        </w:rPr>
      </w:r>
    </w:p>
    <w:p>
      <w:pPr>
        <w:pStyle w:val="Normal"/>
        <w:jc w:val="both"/>
        <w:rPr>
          <w:sz w:val="22"/>
        </w:rPr>
      </w:pPr>
      <w:r>
        <w:rPr>
          <w:sz w:val="22"/>
        </w:rPr>
        <w:t>The installed motor nameplate rating of the equipment in this proposal totals 15,250 horsepower which results in 12,470 pumping brake horsepower.  The L.L.C. would provide any combination of physical service capacity with the equipment installed under these terms.  The amount of actual Horsepower-hours would be determined through the purchase power meter reading.  Any power utilized from internally generated power within the Eastman Complex would not be reflected in this purchase power meter either through meter location or an In &amp; Out measurement configuration. Monthly Horsepower-hours would be determined by measuring at the purchase power meter and then applying the following formula to make the conversion: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[(Monthly kilowatt-hour at the Purchase Power Meter)</w:t>
      </w:r>
    </w:p>
    <w:p>
      <w:pPr>
        <w:pStyle w:val="Normal"/>
        <w:ind w:firstLine="720" w:start="720" w:end="0"/>
        <w:jc w:val="both"/>
        <w:rPr>
          <w:sz w:val="22"/>
        </w:rPr>
      </w:pPr>
      <w:r>
        <w:rPr>
          <w:sz w:val="22"/>
        </w:rPr>
      </w:r>
    </w:p>
    <w:p>
      <w:pPr>
        <w:pStyle w:val="Normal"/>
        <w:ind w:firstLine="720" w:start="1440" w:end="0"/>
        <w:jc w:val="both"/>
        <w:rPr>
          <w:sz w:val="22"/>
        </w:rPr>
      </w:pPr>
      <w:r>
        <w:rPr>
          <w:sz w:val="22"/>
        </w:rPr>
        <w:t>x</w:t>
        <w:tab/>
        <w:t xml:space="preserve"> (1.341 Horsepower-hour / kilowatt-hour)] </w:t>
      </w:r>
    </w:p>
    <w:p>
      <w:pPr>
        <w:pStyle w:val="Normal"/>
        <w:ind w:firstLine="720" w:start="2160" w:end="0"/>
        <w:jc w:val="both"/>
        <w:rPr>
          <w:sz w:val="22"/>
        </w:rPr>
      </w:pPr>
      <w:r>
        <w:rPr>
          <w:sz w:val="22"/>
        </w:rPr>
      </w:r>
    </w:p>
    <w:p>
      <w:pPr>
        <w:pStyle w:val="Normal"/>
        <w:ind w:firstLine="720" w:start="4320" w:end="0"/>
        <w:jc w:val="both"/>
        <w:rPr>
          <w:sz w:val="22"/>
        </w:rPr>
      </w:pPr>
      <w:r>
        <w:rPr>
          <w:sz w:val="22"/>
        </w:rPr>
        <w:t>=</w:t>
        <w:tab/>
        <w:t>[Delivered Horsepower-hours]</w:t>
      </w:r>
    </w:p>
    <w:p>
      <w:pPr>
        <w:pStyle w:val="Normal"/>
        <w:jc w:val="both"/>
        <w:rPr>
          <w:sz w:val="22"/>
        </w:rPr>
      </w:pPr>
      <w:r>
        <w:rPr>
          <w:sz w:val="22"/>
        </w:rPr>
      </w:r>
    </w:p>
    <w:p>
      <w:pPr>
        <w:pStyle w:val="Normal"/>
        <w:jc w:val="both"/>
        <w:rPr>
          <w:sz w:val="22"/>
        </w:rPr>
      </w:pPr>
      <w:r>
        <w:rPr>
          <w:sz w:val="22"/>
        </w:rPr>
      </w:r>
    </w:p>
    <w:p>
      <w:pPr>
        <w:pStyle w:val="Heading5"/>
        <w:ind w:hanging="0" w:start="0"/>
        <w:jc w:val="both"/>
        <w:rPr/>
      </w:pPr>
      <w:r>
        <w:rPr/>
        <w:t>Force Majeure</w:t>
      </w:r>
    </w:p>
    <w:p>
      <w:pPr>
        <w:pStyle w:val="BodyText3"/>
        <w:rPr/>
      </w:pPr>
      <w:r>
        <w:rPr/>
        <w:t xml:space="preserve">The following general terms would be incorporated into any definitive agreement concerning the subject matter of this proposal.  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Seller for the operation of </w:t>
      </w:r>
      <w:r>
        <w:rPr>
          <w:i/>
          <w:color w:val="FF0000"/>
        </w:rPr>
        <w:t>the pumping station</w:t>
      </w:r>
      <w:r>
        <w:rPr/>
        <w:t>, or any other causes, whether of the kind hereing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BodyText3"/>
        <w:rPr/>
      </w:pPr>
      <w:r>
        <w:rPr/>
      </w:r>
    </w:p>
    <w:p>
      <w:pPr>
        <w:pStyle w:val="Heading6"/>
        <w:ind w:hanging="0" w:start="0"/>
        <w:rPr/>
      </w:pPr>
      <w:r>
        <w:rPr/>
        <w:t>Unwinding Expenses</w:t>
      </w:r>
    </w:p>
    <w:p>
      <w:pPr>
        <w:pStyle w:val="Normal"/>
        <w:jc w:val="both"/>
        <w:rPr>
          <w:sz w:val="22"/>
        </w:rPr>
      </w:pPr>
      <w:r>
        <w:rPr>
          <w:sz w:val="22"/>
        </w:rPr>
        <w:t>If for any reason the Agreements were terminated by the Purchaser before the end of the contract term, the Purchaser would be responsible for any outstanding capital obligations, taxes and satisfying any forward commodity sales that may result from this agreement over the initial 15 -year term.  At this time, no forward commodity sales have been discussed nor proposed.</w:t>
      </w:r>
    </w:p>
    <w:p>
      <w:pPr>
        <w:pStyle w:val="Normal"/>
        <w:jc w:val="both"/>
        <w:rPr>
          <w:sz w:val="22"/>
        </w:rPr>
      </w:pPr>
      <w:r>
        <w:rPr>
          <w:sz w:val="22"/>
        </w:rPr>
      </w:r>
    </w:p>
    <w:p>
      <w:pPr>
        <w:pStyle w:val="Heading6"/>
        <w:ind w:hanging="0" w:start="0"/>
        <w:rPr/>
      </w:pPr>
      <w:r>
        <w:rPr/>
        <w:t>Guarantees</w:t>
      </w:r>
    </w:p>
    <w:p>
      <w:pPr>
        <w:pStyle w:val="Normal"/>
        <w:rPr/>
      </w:pPr>
      <w:r>
        <w:rPr/>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AND PREPARATION AND EXECUTION OF A DEFINITIVE AGREEMENT.  THIS PROPOSAL AND TERM SHEET ARE NOT AN OFFER OR COMMITMENT BY ECS OR ANY AFFILIATE OF ENRON CORP OR FLOWSERVE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1999-11-07T16:35:00Z</dcterms:created>
  <dc:creator>mknippa</dc:creator>
  <dc:description/>
  <dc:language>en-CA</dc:language>
  <cp:lastModifiedBy>mknippa</cp:lastModifiedBy>
  <cp:lastPrinted>1999-11-07T11:43:00Z</cp:lastPrinted>
  <dcterms:modified xsi:type="dcterms:W3CDTF">1999-11-07T18:14:00Z</dcterms:modified>
  <cp:revision>5</cp:revision>
  <dc:subject/>
  <dc:title>INTRODUCTION</dc:title>
</cp:coreProperties>
</file>