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Report #:  WE001206</w:t>
      </w:r>
    </w:p>
    <w:p>
      <w:pPr>
        <w:pStyle w:val="Normal"/>
        <w:rPr/>
      </w:pPr>
      <w:r>
        <mc:AlternateContent>
          <mc:Choice Requires="wps">
            <w:drawing>
              <wp:anchor behindDoc="0" distT="0" distB="0" distL="114935" distR="114935" simplePos="0" locked="0" layoutInCell="1" allowOverlap="1" relativeHeight="13">
                <wp:simplePos x="0" y="0"/>
                <wp:positionH relativeFrom="column">
                  <wp:posOffset>51435</wp:posOffset>
                </wp:positionH>
                <wp:positionV relativeFrom="page">
                  <wp:posOffset>1647825</wp:posOffset>
                </wp:positionV>
                <wp:extent cx="114300" cy="114300"/>
                <wp:effectExtent l="6350" t="6350" r="6350" b="6350"/>
                <wp:wrapNone/>
                <wp:docPr id="1" name=""/>
                <a:graphic xmlns:a="http://schemas.openxmlformats.org/drawingml/2006/main">
                  <a:graphicData uri="http://schemas.microsoft.com/office/word/2010/wordprocessingShape">
                    <wps:wsp>
                      <wps:cNvSpPr/>
                      <wps:spPr>
                        <a:xfrm>
                          <a:off x="0" y="0"/>
                          <a:ext cx="114480" cy="114480"/>
                        </a:xfrm>
                        <a:prstGeom prst="rect">
                          <a:avLst/>
                        </a:prstGeom>
                        <a:solidFill>
                          <a:srgbClr val="ffff00"/>
                        </a:solidFill>
                        <a:ln w="12600">
                          <a:solidFill>
                            <a:srgbClr val="000000"/>
                          </a:solidFill>
                          <a:miter/>
                        </a:ln>
                      </wps:spPr>
                      <wps:style>
                        <a:lnRef idx="0"/>
                        <a:fillRef idx="0"/>
                        <a:effectRef idx="0"/>
                        <a:fontRef idx="minor"/>
                      </wps:style>
                      <wps:bodyPr/>
                    </wps:wsp>
                  </a:graphicData>
                </a:graphic>
              </wp:anchor>
            </w:drawing>
          </mc:Choice>
          <mc:Fallback>
            <w:pict>
              <v:rect id="shape_0" fillcolor="yellow" stroked="t" o:allowincell="f" style="position:absolute;margin-left:4.05pt;margin-top:129.75pt;width:8.95pt;height:8.95pt;mso-wrap-style:none;v-text-anchor:middle;mso-position-vertical-relative:page">
                <v:fill o:detectmouseclick="t" type="solid" color2="blue"/>
                <v:stroke color="black" weight="12600" joinstyle="miter" endcap="flat"/>
                <w10:wrap type="none"/>
              </v:rect>
            </w:pict>
          </mc:Fallback>
        </mc:AlternateContent>
      </w:r>
      <w:r>
        <w:rPr/>
        <w:t xml:space="preserve">       </w:t>
      </w:r>
      <w:r>
        <w:rPr/>
        <w:t xml:space="preserve">= MidWest (ECAR, MAIN, MAPP) </w:t>
      </w:r>
    </w:p>
    <w:p>
      <w:pPr>
        <w:pStyle w:val="Normal"/>
        <w:rPr/>
      </w:pPr>
      <w:r>
        <mc:AlternateContent>
          <mc:Choice Requires="wps">
            <w:drawing>
              <wp:anchor behindDoc="0" distT="0" distB="0" distL="114935" distR="114935" simplePos="0" locked="0" layoutInCell="1" allowOverlap="1" relativeHeight="12">
                <wp:simplePos x="0" y="0"/>
                <wp:positionH relativeFrom="column">
                  <wp:posOffset>51435</wp:posOffset>
                </wp:positionH>
                <wp:positionV relativeFrom="page">
                  <wp:posOffset>1783715</wp:posOffset>
                </wp:positionV>
                <wp:extent cx="114300" cy="114300"/>
                <wp:effectExtent l="6350" t="6350" r="6350" b="6350"/>
                <wp:wrapNone/>
                <wp:docPr id="2" name=""/>
                <a:graphic xmlns:a="http://schemas.openxmlformats.org/drawingml/2006/main">
                  <a:graphicData uri="http://schemas.microsoft.com/office/word/2010/wordprocessingShape">
                    <wps:wsp>
                      <wps:cNvSpPr/>
                      <wps:spPr>
                        <a:xfrm>
                          <a:off x="0" y="0"/>
                          <a:ext cx="114480" cy="114480"/>
                        </a:xfrm>
                        <a:prstGeom prst="rect">
                          <a:avLst/>
                        </a:prstGeom>
                        <a:solidFill>
                          <a:srgbClr val="ff0000"/>
                        </a:solidFill>
                        <a:ln w="1260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4.05pt;margin-top:140.45pt;width:8.95pt;height:8.95pt;mso-wrap-style:none;v-text-anchor:middle;mso-position-vertical-relative:page">
                <v:fill o:detectmouseclick="t" type="solid" color2="aqua"/>
                <v:stroke color="black" weight="12600" joinstyle="miter" endcap="flat"/>
                <w10:wrap type="none"/>
              </v:rect>
            </w:pict>
          </mc:Fallback>
        </mc:AlternateContent>
      </w:r>
      <w:r>
        <w:rPr/>
        <w:t xml:space="preserve">       </w:t>
      </w:r>
      <w:r>
        <w:rPr/>
        <w:t xml:space="preserve">= South (ERCOT, FRCC, SERC, SPP)      </w:t>
      </w:r>
    </w:p>
    <w:p>
      <w:pPr>
        <w:pStyle w:val="Normal"/>
        <w:rPr/>
      </w:pPr>
      <w:r>
        <mc:AlternateContent>
          <mc:Choice Requires="wps">
            <w:drawing>
              <wp:anchor behindDoc="0" distT="0" distB="0" distL="114935" distR="114935" simplePos="0" locked="0" layoutInCell="1" allowOverlap="1" relativeHeight="11">
                <wp:simplePos x="0" y="0"/>
                <wp:positionH relativeFrom="column">
                  <wp:posOffset>49530</wp:posOffset>
                </wp:positionH>
                <wp:positionV relativeFrom="page">
                  <wp:posOffset>1928495</wp:posOffset>
                </wp:positionV>
                <wp:extent cx="114300" cy="114300"/>
                <wp:effectExtent l="6350" t="6350" r="6350" b="6350"/>
                <wp:wrapNone/>
                <wp:docPr id="3" name=""/>
                <a:graphic xmlns:a="http://schemas.openxmlformats.org/drawingml/2006/main">
                  <a:graphicData uri="http://schemas.microsoft.com/office/word/2010/wordprocessingShape">
                    <wps:wsp>
                      <wps:cNvSpPr/>
                      <wps:spPr>
                        <a:xfrm>
                          <a:off x="0" y="0"/>
                          <a:ext cx="114480" cy="114480"/>
                        </a:xfrm>
                        <a:prstGeom prst="rect">
                          <a:avLst/>
                        </a:prstGeom>
                        <a:solidFill>
                          <a:srgbClr val="0000ff"/>
                        </a:solidFill>
                        <a:ln w="12600">
                          <a:solidFill>
                            <a:srgbClr val="000000"/>
                          </a:solidFill>
                          <a:miter/>
                        </a:ln>
                      </wps:spPr>
                      <wps:style>
                        <a:lnRef idx="0"/>
                        <a:fillRef idx="0"/>
                        <a:effectRef idx="0"/>
                        <a:fontRef idx="minor"/>
                      </wps:style>
                      <wps:bodyPr/>
                    </wps:wsp>
                  </a:graphicData>
                </a:graphic>
              </wp:anchor>
            </w:drawing>
          </mc:Choice>
          <mc:Fallback>
            <w:pict>
              <v:rect id="shape_0" fillcolor="blue" stroked="t" o:allowincell="f" style="position:absolute;margin-left:3.9pt;margin-top:151.85pt;width:8.95pt;height:8.95pt;mso-wrap-style:none;v-text-anchor:middle;mso-position-vertical-relative:page">
                <v:fill o:detectmouseclick="t" type="solid" color2="yellow"/>
                <v:stroke color="black" weight="12600" joinstyle="miter" endcap="flat"/>
                <w10:wrap type="none"/>
              </v:rect>
            </w:pict>
          </mc:Fallback>
        </mc:AlternateContent>
      </w:r>
      <w:r>
        <w:rPr/>
        <w:t xml:space="preserve">       </w:t>
      </w:r>
      <w:r>
        <w:rPr/>
        <w:t>= New England (MAAC, NPCC)</w:t>
      </w:r>
    </w:p>
    <w:p>
      <w:pPr>
        <w:pStyle w:val="Normal"/>
        <w:rPr/>
      </w:pPr>
      <w:r>
        <w:rPr/>
      </w:r>
    </w:p>
    <w:tbl>
      <w:tblPr>
        <w:tblW w:w="8820" w:type="dxa"/>
        <w:jc w:val="start"/>
        <w:tblInd w:w="18" w:type="dxa"/>
        <w:tblLayout w:type="fixed"/>
        <w:tblCellMar>
          <w:top w:w="0" w:type="dxa"/>
          <w:start w:w="108" w:type="dxa"/>
          <w:bottom w:w="0" w:type="dxa"/>
          <w:end w:w="108" w:type="dxa"/>
        </w:tblCellMar>
      </w:tblPr>
      <w:tblGrid>
        <w:gridCol w:w="540"/>
        <w:gridCol w:w="270"/>
        <w:gridCol w:w="1800"/>
        <w:gridCol w:w="1620"/>
        <w:gridCol w:w="1800"/>
        <w:gridCol w:w="2790"/>
      </w:tblGrid>
      <w:tr>
        <w:trPr>
          <w:tblHeader w:val="true"/>
          <w:trHeight w:val="525" w:hRule="atLeast"/>
        </w:trPr>
        <w:tc>
          <w:tcPr>
            <w:tcW w:w="54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27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Unit</w:t>
            </w:r>
          </w:p>
        </w:tc>
        <w:tc>
          <w:tcPr>
            <w:tcW w:w="16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Update on 12/6/00</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Projected Status</w:t>
            </w:r>
          </w:p>
        </w:tc>
        <w:tc>
          <w:tcPr>
            <w:tcW w:w="279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Our Opinion</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Cook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regulatory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12/16/00</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Cook 1 has still not entered Mode 4 hot shutdown.  Some trouble could have resulted from the Operational Readiness Assessment Team Inspection which the NRC has performed over the last week.  However, it could also be simple system startup/heatup problems having to do with equipment that has not been operating for a couple of years.  The meeting on 12/7/00 should nail down a more definitive answer to restart plans.  Currently we are projecting a 12/16/00 restart.</w:t>
            </w:r>
            <w:r>
              <w:rPr/>
              <w:t xml:space="preserve">   </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112</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Perry</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97% power</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refueling outage expected to begin on 2/17/01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Perry has reported to the NRC that they have begun a coastdown to their refueling outage.  If correct, that would be a long slow coastdown of over two months.  It is possible that the status report was in error.  We are investigating Perry’s current status.</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121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LaSalle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90% power in power ascension</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Full power expected on 12/7/00</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 xml:space="preserve">The unit has delayed final ascension to full power in order to repair certain steam valves.  The repair should be completed today and full power should be reached by tomorrow.  We expect a good capacity factor over the next cycle in the mid to upper 90s.  It may be a bit lower in the next few months perhaps due to resolving problems that result from rushing through a refueling outage.   </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122</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Point Beach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Restart expected on 12/9/00 </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Point Beach 2 dropped back to cold shutdown to perform some minor maintenance.  We continue to expect restart to occur by sometime this weekend, 12/9/00-12/10/00.  The unit has operated well over the past couple of years, and we expect a capacity factor of about 96-97% over the coming cycle.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131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Prairie Island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 xml:space="preserve">0% power </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12/7/00</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Prairie Island 1 is shut down due to maintenance on a reactor coolant pump.  We continue to expect the maintenance to be complete by tomorrow, 12/7/00.  The maintenance outage should not affect the start of the refueling which is scheduled for 1/20/01.  The unit has performed very well over the past couple of years.</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Oconee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1/7/01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bCs/>
              </w:rPr>
            </w:pPr>
            <w:r>
              <w:rPr>
                <w:bCs/>
              </w:rPr>
              <w:t>Oconee 1 moved in to the heart of their outage much more quickly this time than during their last refueling outage.  Its Spring 1999 refueling lasted 54 days which was a big improvement over prior outages, but the current outage has good possibilities to improve even more.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232</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Summer</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1/1/01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 xml:space="preserve">Site personnel continue to expect completion of the pipe replacement and outage by January 1, 2001.  Welding should begin shortly.  All pipe/weld activities are expected to end by Christmas, which leaves a week for ascending through mode changes to restart.  If the welding goes well, the schedule may be improved upon.  </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241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ANO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refueling/steam generator replacement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12/7/00</w:t>
            </w:r>
          </w:p>
        </w:tc>
        <w:tc>
          <w:tcPr>
            <w:tcW w:w="2790" w:type="dxa"/>
            <w:tcBorders>
              <w:top w:val="single" w:sz="6" w:space="0" w:color="000000"/>
              <w:start w:val="single" w:sz="6" w:space="0" w:color="000000"/>
              <w:bottom w:val="single" w:sz="6" w:space="0" w:color="000000"/>
              <w:end w:val="single" w:sz="6" w:space="0" w:color="000000"/>
            </w:tcBorders>
          </w:tcPr>
          <w:p>
            <w:pPr>
              <w:pStyle w:val="BodyText"/>
              <w:jc w:val="both"/>
              <w:rPr>
                <w:bCs/>
                <w:sz w:val="20"/>
              </w:rPr>
            </w:pPr>
            <w:r>
              <w:rPr>
                <w:bCs/>
                <w:sz w:val="20"/>
              </w:rPr>
              <w:t>The unit is currently in hot standby and should move into startup today.  We expect restart (synchronization to the grid) by 12/7/00.  ANO 2 is an average performing plant.  We expect a capacity factor in the low 90s over the coming cycle.</w:t>
            </w:r>
          </w:p>
          <w:p>
            <w:pPr>
              <w:pStyle w:val="BodyText2"/>
              <w:rPr>
                <w:bCs/>
                <w:sz w:val="20"/>
              </w:rPr>
            </w:pPr>
            <w:r>
              <w:rPr>
                <w:bCs/>
                <w:sz w:val="20"/>
              </w:rPr>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311</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 xml:space="preserve">Hope Creek </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100% power</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refueling expected to begin on 9/3/01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The unit is back to full power after performing grid maintenance in a derated condition.  The unit is a consistent performer with capacity factor at about 95%.  We expect continued performance at that level through the rest of this cycle.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312</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Salem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100% power</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refueling expected to begin on 3/30/02</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Salem 2 is back to 100% power after derating to 97% for a couple days this past week.  This unit has made significant improvement in operation over the past couple of years.  We expect a capacity factor in the mid to upper 90s for this cycle.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321</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Indian Point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shutdown in a refueling/steam generator replacement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12/11/00</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Indian Point 2 has not progressed past Mode 5 cold shutdown since last week.  As we had reported earlier, several engineering concerns still remain and progress through mode ascension will be slow.  The restart targeted date of 12/11/00 may be in jeopardy if Mode 4 is not reached within the next couple of days.</w:t>
            </w:r>
          </w:p>
        </w:tc>
      </w:tr>
      <w:tr>
        <w:trPr>
          <w:trHeight w:val="34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322</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Seabrook</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12/21/00</w:t>
            </w:r>
          </w:p>
          <w:p>
            <w:pPr>
              <w:pStyle w:val="Header"/>
              <w:tabs>
                <w:tab w:val="clear" w:pos="4320"/>
                <w:tab w:val="clear" w:pos="8640"/>
              </w:tabs>
              <w:rPr/>
            </w:pPr>
            <w:r>
              <w:rPr/>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Seabrook is moving toward completion of their outage.  If Mode 4 is reached by this weekend, they will have an excellent chance at improving the restart date by about a week, from 12/21/00 to 12/14/00.</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LEGEND:</w:t>
    </w:r>
  </w:p>
  <w:p>
    <w:pPr>
      <w:pStyle w:val="Footer"/>
      <w:rPr>
        <w:b/>
        <w:sz w:val="16"/>
      </w:rPr>
    </w:pPr>
    <w:r>
      <w:rPr>
        <w:b/>
        <w:sz w:val="16"/>
      </w:rPr>
      <w:t>RFO – Refueling Outage</w:t>
    </w:r>
  </w:p>
  <w:p>
    <w:pPr>
      <w:pStyle w:val="Footer"/>
      <w:rPr>
        <w:b/>
      </w:rPr>
    </w:pPr>
    <w:r>
      <w:rPr>
        <w:b/>
        <w:sz w:val="16"/>
      </w:rPr>
      <w:t>FO – Forced Outage</w:t>
    </w:r>
  </w:p>
  <w:p>
    <w:pPr>
      <w:pStyle w:val="Footer"/>
      <w:rPr>
        <w:b/>
      </w:rPr>
    </w:pPr>
    <w:r>
      <w:rPr>
        <w:b/>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/mnt/main-storage/datasets/enron-docs/doc/East_Summary_001206.doc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ight"/>
        </v:shape>
        <o:OLEObject Type="Embed" ProgID="" ShapeID="ole_rId1" DrawAspect="Content" ObjectID="_1385715657"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ight"/>
        </v:shape>
        <o:OLEObject Type="Embed" ProgID="" ShapeID="ole_rId3" DrawAspect="Content" ObjectID="_410889013" r:id="rId3"/>
      </w:object>
    </w:r>
    <w:r>
      <w:rPr/>
      <w:t>Highly Confidential</w:t>
    </w:r>
  </w:p>
  <w:p>
    <w:pPr>
      <w:pStyle w:val="Header"/>
      <w:jc w:val="center"/>
      <w:rPr/>
    </w:pPr>
    <w:r>
      <w:rPr/>
      <w:t>Commercial Nuclear Power Plant Monitoring</w:t>
    </w:r>
  </w:p>
  <w:p>
    <w:pPr>
      <w:pStyle w:val="Header"/>
      <w:jc w:val="center"/>
      <w:rPr>
        <w:effect w:val="blinkBackground"/>
      </w:rPr>
    </w:pPr>
    <w:r>
      <w:rPr>
        <w:effect w:val="blinkBackground"/>
      </w:rPr>
    </w:r>
  </w:p>
  <w:p>
    <w:pPr>
      <w:pStyle w:val="Header"/>
      <w:jc w:val="center"/>
      <w:rPr>
        <w:effect w:val="blinkBackground"/>
        <w:lang w:val="en-CA" w:eastAsia="en-CA"/>
      </w:rPr>
    </w:pPr>
    <w:r>
      <w:rPr>
        <w:effect w:val="blinkBackground"/>
        <w:lang w:val="en-CA" w:eastAsia="en-CA"/>
      </w:rPr>
      <mc:AlternateContent>
        <mc:Choice Requires="wps">
          <w:drawing>
            <wp:anchor behindDoc="1" distT="0" distB="0" distL="114935" distR="114935" simplePos="0" locked="0" layoutInCell="1" allowOverlap="1" relativeHeight="10">
              <wp:simplePos x="0" y="0"/>
              <wp:positionH relativeFrom="column">
                <wp:posOffset>137160</wp:posOffset>
              </wp:positionH>
              <wp:positionV relativeFrom="paragraph">
                <wp:posOffset>110490</wp:posOffset>
              </wp:positionV>
              <wp:extent cx="5212080" cy="0"/>
              <wp:effectExtent l="0" t="19050" r="0" b="19050"/>
              <wp:wrapNone/>
              <wp:docPr id="4"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pPr>
    <w:r>
      <w:rPr/>
      <w:t>Weekly Monitoring Report For Requested Commercial Nuclear Power Plants</w:t>
    </w:r>
  </w:p>
  <w:p>
    <w:pPr>
      <w:pStyle w:val="Header"/>
      <w:jc w:val="center"/>
      <w:rPr/>
    </w:pPr>
    <w:r>
      <w:rPr/>
      <w:t>11/29/00 – 12/6/00</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BodyText2">
    <w:name w:val="Body Text 2"/>
    <w:basedOn w:val="Normal"/>
    <w:qFormat/>
    <w:pPr>
      <w:tabs>
        <w:tab w:val="clear" w:pos="720"/>
        <w:tab w:val="left" w:pos="900" w:leader="none"/>
        <w:tab w:val="left" w:pos="1620" w:leader="none"/>
      </w:tabs>
      <w:jc w:val="both"/>
    </w:pPr>
    <w:rPr/>
  </w:style>
  <w:style w:type="paragraph" w:styleId="Style12">
    <w:name w:val=":"/>
    <w:basedOn w:val="BodyText"/>
    <w:qFormat/>
    <w:pPr>
      <w:spacing w:lineRule="auto" w:line="360"/>
      <w:jc w:val="both"/>
    </w:pPr>
    <w:rPr>
      <w:b/>
      <w:u w:val="single"/>
    </w:rPr>
  </w:style>
  <w:style w:type="paragraph" w:styleId="H3">
    <w:name w:val="H3"/>
    <w:basedOn w:val="Normal"/>
    <w:next w:val="Normal"/>
    <w:qFormat/>
    <w:pPr>
      <w:keepNext w:val="true"/>
      <w:spacing w:before="100" w:after="100"/>
      <w:outlineLvl w:val="3"/>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2000-12-06T12:03:00Z</dcterms:created>
  <dc:creator>James D. Kopp</dc:creator>
  <dc:description/>
  <dc:language>en-CA</dc:language>
  <cp:lastModifiedBy>Dan Salter</cp:lastModifiedBy>
  <cp:lastPrinted>2000-12-06T09:41:00Z</cp:lastPrinted>
  <dcterms:modified xsi:type="dcterms:W3CDTF">2000-12-06T12:11:00Z</dcterms:modified>
  <cp:revision>4</cp:revision>
  <dc:subject/>
  <dc:title>Unit</dc:title>
</cp:coreProperties>
</file>