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rPr>
      </w:pPr>
      <w:r>
        <w:rPr>
          <w:b/>
          <w:i/>
        </w:rPr>
        <w:t>DRAFT LETTER TO ORIGINAL SHAREHOLDERS OF ECOGAS CORP.</w:t>
      </w:r>
    </w:p>
    <w:p>
      <w:pPr>
        <w:pStyle w:val="Normal"/>
        <w:jc w:val="center"/>
        <w:rPr>
          <w:b/>
          <w:i/>
          <w:i/>
        </w:rPr>
      </w:pPr>
      <w:r>
        <w:rPr>
          <w:b/>
          <w:i/>
        </w:rPr>
      </w:r>
    </w:p>
    <w:p>
      <w:pPr>
        <w:pStyle w:val="Normal"/>
        <w:jc w:val="center"/>
        <w:rPr>
          <w:b/>
          <w:i/>
          <w:i/>
        </w:rPr>
      </w:pPr>
      <w:r>
        <w:rPr>
          <w:b/>
          <w:i/>
        </w:rPr>
        <w:t>(TO BE SENT ON ENA LETTERHEAD)</w:t>
      </w:r>
    </w:p>
    <w:p>
      <w:pPr>
        <w:pStyle w:val="Normal"/>
        <w:rPr>
          <w:b/>
          <w:i/>
          <w:i/>
        </w:rPr>
      </w:pPr>
      <w:r>
        <w:rPr>
          <w:b/>
          <w:i/>
        </w:rPr>
      </w:r>
    </w:p>
    <w:p>
      <w:pPr>
        <w:pStyle w:val="Normal"/>
        <w:rPr/>
      </w:pPr>
      <w:r>
        <w:rPr/>
      </w:r>
    </w:p>
    <w:p>
      <w:pPr>
        <w:pStyle w:val="Normal"/>
        <w:rPr/>
      </w:pPr>
      <w:r>
        <w:rPr/>
      </w:r>
    </w:p>
    <w:p>
      <w:pPr>
        <w:pStyle w:val="Normal"/>
        <w:rPr/>
      </w:pPr>
      <w:r>
        <w:rPr/>
        <w:t>To Whom It May Concern:</w:t>
      </w:r>
    </w:p>
    <w:p>
      <w:pPr>
        <w:pStyle w:val="Normal"/>
        <w:rPr/>
      </w:pPr>
      <w:r>
        <w:rPr/>
      </w:r>
    </w:p>
    <w:p>
      <w:pPr>
        <w:pStyle w:val="Normal"/>
        <w:rPr/>
      </w:pPr>
      <w:r>
        <w:rPr/>
        <w:tab/>
        <w:t>Pursuant to the Sec. 2.03 of the Securities Purchase Agreement (SPA) dated July 14, 1999, ECT Merchant Investments Corp. (now a subsidary of Enron North Amercia – “ENA”) purchased 85% of the stock of Ecogas Corp. for the sum of the following pricing terms:</w:t>
      </w:r>
    </w:p>
    <w:p>
      <w:pPr>
        <w:pStyle w:val="Normal"/>
        <w:rPr/>
      </w:pPr>
      <w:r>
        <w:rPr/>
      </w:r>
    </w:p>
    <w:p>
      <w:pPr>
        <w:pStyle w:val="Normal"/>
        <w:numPr>
          <w:ilvl w:val="0"/>
          <w:numId w:val="2"/>
        </w:numPr>
        <w:tabs>
          <w:tab w:val="clear" w:pos="720"/>
          <w:tab w:val="left" w:pos="1080" w:leader="none"/>
        </w:tabs>
        <w:ind w:hanging="360" w:start="1080" w:end="0"/>
        <w:rPr>
          <w:i/>
          <w:i/>
        </w:rPr>
      </w:pPr>
      <w:r>
        <w:rPr/>
        <w:t xml:space="preserve">the </w:t>
      </w:r>
      <w:r>
        <w:rPr>
          <w:i/>
        </w:rPr>
        <w:t xml:space="preserve">“Initial Payment,” </w:t>
      </w:r>
    </w:p>
    <w:p>
      <w:pPr>
        <w:pStyle w:val="Normal"/>
        <w:numPr>
          <w:ilvl w:val="0"/>
          <w:numId w:val="2"/>
        </w:numPr>
        <w:tabs>
          <w:tab w:val="clear" w:pos="720"/>
          <w:tab w:val="left" w:pos="1080" w:leader="none"/>
        </w:tabs>
        <w:ind w:hanging="360" w:start="1080" w:end="0"/>
        <w:rPr/>
      </w:pPr>
      <w:r>
        <w:rPr/>
        <w:t xml:space="preserve">the </w:t>
      </w:r>
      <w:r>
        <w:rPr>
          <w:i/>
        </w:rPr>
        <w:t>“Intermediate Payment”</w:t>
      </w:r>
      <w:r>
        <w:rPr/>
        <w:t xml:space="preserve"> and, </w:t>
      </w:r>
    </w:p>
    <w:p>
      <w:pPr>
        <w:pStyle w:val="Normal"/>
        <w:numPr>
          <w:ilvl w:val="0"/>
          <w:numId w:val="2"/>
        </w:numPr>
        <w:tabs>
          <w:tab w:val="clear" w:pos="720"/>
          <w:tab w:val="left" w:pos="1080" w:leader="none"/>
        </w:tabs>
        <w:ind w:hanging="360" w:start="1080" w:end="0"/>
        <w:rPr/>
      </w:pPr>
      <w:r>
        <w:rPr/>
        <w:t xml:space="preserve">the </w:t>
      </w:r>
      <w:r>
        <w:rPr>
          <w:i/>
        </w:rPr>
        <w:t>“Final Payment”</w:t>
      </w:r>
    </w:p>
    <w:p>
      <w:pPr>
        <w:pStyle w:val="Normal"/>
        <w:rPr/>
      </w:pPr>
      <w:r>
        <w:rPr/>
      </w:r>
    </w:p>
    <w:p>
      <w:pPr>
        <w:pStyle w:val="Normal"/>
        <w:ind w:firstLine="720" w:end="0"/>
        <w:rPr/>
      </w:pPr>
      <w:r>
        <w:rPr/>
        <w:t xml:space="preserve">Under the SPA, the </w:t>
      </w:r>
      <w:r>
        <w:rPr>
          <w:i/>
        </w:rPr>
        <w:t>“Initial Payment”</w:t>
      </w:r>
      <w:r>
        <w:rPr/>
        <w:t xml:space="preserve"> is defined as $24 million less the </w:t>
      </w:r>
      <w:r>
        <w:rPr>
          <w:i/>
        </w:rPr>
        <w:t>“Monteco Holdback Amount”</w:t>
      </w:r>
      <w:r>
        <w:rPr/>
        <w:t xml:space="preserve"> ($3 million) less the </w:t>
      </w:r>
      <w:r>
        <w:rPr>
          <w:i/>
        </w:rPr>
        <w:t>“Working Capital Holdback Amount”</w:t>
      </w:r>
      <w:r>
        <w:rPr/>
        <w:t xml:space="preserve"> ($250,000).  The </w:t>
      </w:r>
      <w:r>
        <w:rPr>
          <w:i/>
        </w:rPr>
        <w:t>“Monteco Holdback Amount”</w:t>
      </w:r>
      <w:r>
        <w:rPr/>
        <w:t xml:space="preserve"> is further defined in Sec. 2.03(g) which states </w:t>
      </w:r>
      <w:r>
        <w:rPr>
          <w:i/>
        </w:rPr>
        <w:t>“… the Monteco Right of First Offer is terminated and not replaced by any similar obligation before December 31, 1999 …”</w:t>
      </w:r>
      <w:r>
        <w:rPr/>
        <w:t xml:space="preserve">  The Monteco Right of First Offer was not extinguished until March 28, 2000 therefore, ENA is not obligated to pay the $3 million </w:t>
      </w:r>
      <w:r>
        <w:rPr>
          <w:i/>
        </w:rPr>
        <w:t>“Monteco Holdback Amount.”</w:t>
      </w:r>
    </w:p>
    <w:p>
      <w:pPr>
        <w:pStyle w:val="Normal"/>
        <w:rPr>
          <w:i/>
          <w:i/>
        </w:rPr>
      </w:pPr>
      <w:r>
        <w:rPr>
          <w:i/>
        </w:rPr>
      </w:r>
    </w:p>
    <w:p>
      <w:pPr>
        <w:pStyle w:val="Normal"/>
        <w:ind w:firstLine="720" w:end="0"/>
        <w:rPr/>
      </w:pPr>
      <w:r>
        <w:rPr/>
        <w:t xml:space="preserve">The </w:t>
      </w:r>
      <w:r>
        <w:rPr>
          <w:i/>
        </w:rPr>
        <w:t>“Intermediate Payment”</w:t>
      </w:r>
      <w:r>
        <w:rPr/>
        <w:t xml:space="preserve"> [defined in Sec. 2.03(b)] is a contingency payment predicated upon Ecogas achieving two primary milestones:</w:t>
      </w:r>
    </w:p>
    <w:p>
      <w:pPr>
        <w:pStyle w:val="Normal"/>
        <w:rPr/>
      </w:pPr>
      <w:r>
        <w:rPr/>
      </w:r>
    </w:p>
    <w:p>
      <w:pPr>
        <w:pStyle w:val="Normal"/>
        <w:numPr>
          <w:ilvl w:val="0"/>
          <w:numId w:val="1"/>
        </w:numPr>
        <w:tabs>
          <w:tab w:val="clear" w:pos="720"/>
          <w:tab w:val="left" w:pos="1080" w:leader="none"/>
        </w:tabs>
        <w:ind w:hanging="360" w:start="1080" w:end="0"/>
        <w:rPr/>
      </w:pPr>
      <w:r>
        <w:rPr/>
        <w:t xml:space="preserve">Production and sales of landfill gas  in excess of 27,000 MMBtu/day (see definition of </w:t>
      </w:r>
      <w:r>
        <w:rPr>
          <w:i/>
        </w:rPr>
        <w:t>“Actual Average Production”</w:t>
      </w:r>
      <w:r>
        <w:rPr/>
        <w:t xml:space="preserve">) </w:t>
      </w:r>
      <w:r>
        <w:rPr>
          <w:u w:val="single"/>
        </w:rPr>
        <w:t>and</w:t>
      </w:r>
      <w:r>
        <w:rPr/>
        <w:t>;</w:t>
      </w:r>
    </w:p>
    <w:p>
      <w:pPr>
        <w:pStyle w:val="Normal"/>
        <w:numPr>
          <w:ilvl w:val="0"/>
          <w:numId w:val="1"/>
        </w:numPr>
        <w:tabs>
          <w:tab w:val="clear" w:pos="720"/>
          <w:tab w:val="left" w:pos="1080" w:leader="none"/>
        </w:tabs>
        <w:ind w:hanging="360" w:start="1080" w:end="0"/>
        <w:rPr/>
      </w:pPr>
      <w:r>
        <w:rPr/>
        <w:t xml:space="preserve">Meeting a certain EBITDA threshold (see </w:t>
      </w:r>
      <w:r>
        <w:rPr>
          <w:i/>
        </w:rPr>
        <w:t>“Projected Annualized EBITDA”</w:t>
      </w:r>
      <w:r>
        <w:rPr/>
        <w:t>)</w:t>
      </w:r>
    </w:p>
    <w:p>
      <w:pPr>
        <w:pStyle w:val="Normal"/>
        <w:rPr/>
      </w:pPr>
      <w:r>
        <w:rPr/>
      </w:r>
    </w:p>
    <w:p>
      <w:pPr>
        <w:pStyle w:val="Normal"/>
        <w:ind w:firstLine="720" w:end="0"/>
        <w:rPr/>
      </w:pPr>
      <w:r>
        <w:rPr/>
        <w:t xml:space="preserve">Under Sec. 2.03, the </w:t>
      </w:r>
      <w:r>
        <w:rPr>
          <w:i/>
        </w:rPr>
        <w:t>“Intermediate Payment”</w:t>
      </w:r>
      <w:r>
        <w:rPr/>
        <w:t xml:space="preserve"> would have been due on April 14, 2000 had the two milestones above been met.  Unfortunately, as of April 14, 2000 Ecogas’ gas production volumes and sales averaged approximately XXXXX  MMBtu/day which, as you can see, is significantly below the required threshold of 27,000 MMBtu/day.  Additionally, Ecogas Corp. continues to struggle financially due to a number of reasons including operational problems, project cost overruns and unforeseen expenses, among others.  As of April 14, 2000 Ecogas was cash flow negative requiring continued cash infusions from ENA via additional working capital loans.  The acutal EBITDA for the period ending April 14, 2000 was estimated at ($XXXXX).  Therefore, since neither of the required milestones were met by the prescribed deadline (April 14, 2000) pursuant to the SPA, ENA is not obligated to pay the </w:t>
      </w:r>
      <w:r>
        <w:rPr>
          <w:i/>
        </w:rPr>
        <w:t>“Intermediate Amount.”</w:t>
      </w:r>
    </w:p>
    <w:p>
      <w:pPr>
        <w:pStyle w:val="Normal"/>
        <w:rPr>
          <w:i/>
          <w:i/>
        </w:rPr>
      </w:pPr>
      <w:r>
        <w:rPr>
          <w:i/>
        </w:rPr>
      </w:r>
    </w:p>
    <w:p>
      <w:pPr>
        <w:pStyle w:val="Normal"/>
        <w:ind w:firstLine="720" w:end="0"/>
        <w:rPr/>
      </w:pPr>
      <w:r>
        <w:rPr/>
        <w:t xml:space="preserve">The </w:t>
      </w:r>
      <w:r>
        <w:rPr>
          <w:i/>
        </w:rPr>
        <w:t>“Final Payment”</w:t>
      </w:r>
      <w:r>
        <w:rPr/>
        <w:t xml:space="preserve"> is also a contingency payment, which will become due on January 14, 2001 if Ecogas has achieved the same milestones detailed above.  ENA and Ecogas will review the relevant data and information at that time to determine the obligations, if any, relative to the </w:t>
      </w:r>
      <w:r>
        <w:rPr>
          <w:i/>
        </w:rPr>
        <w:t>“Final Payment.”</w:t>
      </w:r>
    </w:p>
    <w:p>
      <w:pPr>
        <w:pStyle w:val="Normal"/>
        <w:rPr/>
      </w:pPr>
      <w:r>
        <w:rPr/>
      </w:r>
    </w:p>
    <w:p>
      <w:pPr>
        <w:pStyle w:val="Normal"/>
        <w:ind w:firstLine="720" w:end="0"/>
        <w:rPr/>
      </w:pPr>
      <w:r>
        <w:rPr/>
        <w:t xml:space="preserve">Other relevant definitions and/or terms to understanding both the “Intermediate Payment” and the </w:t>
      </w:r>
      <w:r>
        <w:rPr>
          <w:i/>
        </w:rPr>
        <w:t>“Final Payment”</w:t>
      </w:r>
      <w:r>
        <w:rPr/>
        <w:t xml:space="preserve"> include:  the </w:t>
      </w:r>
      <w:r>
        <w:rPr>
          <w:i/>
        </w:rPr>
        <w:t>“Intermediate Valuation Amount,”</w:t>
      </w:r>
      <w:r>
        <w:rPr/>
        <w:t xml:space="preserve"> the </w:t>
      </w:r>
      <w:r>
        <w:rPr>
          <w:i/>
        </w:rPr>
        <w:t>“Final Valuation Amount,”</w:t>
      </w:r>
      <w:r>
        <w:rPr/>
        <w:t xml:space="preserve"> the </w:t>
      </w:r>
      <w:r>
        <w:rPr>
          <w:i/>
        </w:rPr>
        <w:t>“Adjusted Average Production”</w:t>
      </w:r>
      <w:r>
        <w:rPr/>
        <w:t xml:space="preserve"> and the </w:t>
      </w:r>
      <w:r>
        <w:rPr>
          <w:i/>
        </w:rPr>
        <w:t>“Required Annualized EBITDA.”</w:t>
      </w:r>
      <w:r>
        <w:rPr/>
        <w:t xml:space="preserve">  All of these terms and definitions are integral to the calculation of whether Ecogas Corp. has met the EBITDA threshold </w:t>
      </w:r>
      <w:r>
        <w:rPr>
          <w:u w:val="single"/>
        </w:rPr>
        <w:t>in addition to</w:t>
      </w:r>
      <w:r>
        <w:rPr/>
        <w:t xml:space="preserve"> the gas production and sales milestones.</w:t>
      </w:r>
    </w:p>
    <w:p>
      <w:pPr>
        <w:pStyle w:val="Normal"/>
        <w:rPr/>
      </w:pPr>
      <w:r>
        <w:rPr/>
      </w:r>
    </w:p>
    <w:p>
      <w:pPr>
        <w:pStyle w:val="Normal"/>
        <w:rPr/>
      </w:pPr>
      <w:r>
        <w:rPr/>
        <w:tab/>
        <w:t xml:space="preserve">It is important to understand that neither the </w:t>
      </w:r>
      <w:r>
        <w:rPr>
          <w:i/>
        </w:rPr>
        <w:t>“Intermediate Payment”</w:t>
      </w:r>
      <w:r>
        <w:rPr/>
        <w:t xml:space="preserve"> nor the </w:t>
      </w:r>
      <w:r>
        <w:rPr>
          <w:i/>
        </w:rPr>
        <w:t>“Final Payment”</w:t>
      </w:r>
      <w:r>
        <w:rPr/>
        <w:t xml:space="preserve"> were ever intended to be installment payments.  To the contrary, they were always construed as and intended to be incentive payments contingent upon Ecogas Corp. successfully completing enough projects to produce and sell certain minimum volumes of landfill gas </w:t>
      </w:r>
      <w:r>
        <w:rPr>
          <w:u w:val="single"/>
        </w:rPr>
        <w:t>and</w:t>
      </w:r>
      <w:r>
        <w:rPr/>
        <w:t xml:space="preserve"> provide significant positive cash flow above a certain threshold.  </w:t>
      </w:r>
    </w:p>
    <w:p>
      <w:pPr>
        <w:pStyle w:val="Normal"/>
        <w:rPr/>
      </w:pPr>
      <w:r>
        <w:rPr/>
      </w:r>
    </w:p>
    <w:p>
      <w:pPr>
        <w:pStyle w:val="Normal"/>
        <w:rPr/>
      </w:pPr>
      <w:r>
        <w:rPr/>
        <w:tab/>
        <w:t xml:space="preserve">In closing, I encourage you to review the entire Securities Purchase Agreement, specifically Sec. 2.03 and the Definitions, to better understand the issues I’ve tried to clarify in this letter.  Please feel free to call me at (713)853-3212 if you have any questions or if I can be of further assistance.  </w:t>
      </w:r>
    </w:p>
    <w:p>
      <w:pPr>
        <w:pStyle w:val="Normal"/>
        <w:rPr/>
      </w:pPr>
      <w:r>
        <w:rPr/>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tab/>
        <w:tab/>
        <w:tab/>
        <w:tab/>
        <w:tab/>
        <w:t>Randal T. Maffett</w:t>
      </w:r>
    </w:p>
    <w:p>
      <w:pPr>
        <w:pStyle w:val="Normal"/>
        <w:rPr/>
      </w:pPr>
      <w:r>
        <w:rPr/>
        <w:tab/>
        <w:tab/>
        <w:tab/>
        <w:tab/>
        <w:tab/>
        <w:t>Vice President</w:t>
      </w:r>
    </w:p>
    <w:p>
      <w:pPr>
        <w:pStyle w:val="Normal"/>
        <w:rPr/>
      </w:pPr>
      <w:r>
        <w:rPr/>
        <w:tab/>
        <w:tab/>
        <w:tab/>
        <w:tab/>
        <w:tab/>
        <w:t>Enron North America</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2000-09-19T12:14:00Z</dcterms:created>
  <dc:creator>Randy Maffett</dc:creator>
  <dc:description/>
  <dc:language>en-CA</dc:language>
  <cp:lastModifiedBy>Randy Maffett</cp:lastModifiedBy>
  <dcterms:modified xsi:type="dcterms:W3CDTF">2000-09-19T13:54:00Z</dcterms:modified>
  <cp:revision>4</cp:revision>
  <dc:subject/>
  <dc:title>DRAFT LETTER TO ORIGINAL SHAREHOLDERS OF ECOGAS CORP</dc:title>
</cp:coreProperties>
</file>