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>
          <w:top w:val="single" w:sz="48" w:space="3" w:color="FFFFFF"/>
          <w:left w:val="single" w:sz="6" w:space="0" w:color="FFFFFF"/>
          <w:bottom w:val="single" w:sz="6" w:space="3" w:color="FFFFFF"/>
        </w:pBdr>
        <w:ind w:start="0" w:end="0"/>
        <w:rPr/>
      </w:pPr>
      <w:r>
        <w:rPr/>
        <w:t>Value Maximization Strategy</w:t>
      </w:r>
    </w:p>
    <w:p>
      <w:pPr>
        <w:pStyle w:val="BodyText"/>
        <w:rPr/>
      </w:pPr>
      <w:r>
        <w:rPr/>
        <w:t>There are two primary options being evaluated for realization of the maximum value of the non-terminated power contracts currently being served by Enron.  Each of these options can be pursued on a contract-by-contract basis, for a group of contracts, or for the entire portfolio.</w:t>
      </w:r>
    </w:p>
    <w:p>
      <w:pPr>
        <w:pStyle w:val="BodyText"/>
        <w:rPr/>
      </w:pPr>
      <w:r>
        <w:rPr/>
        <w:t xml:space="preserve">Option I:  Pursue cash payments for the outright assignment of an individual contract or a portfolio of contracts.   </w:t>
      </w:r>
    </w:p>
    <w:p>
      <w:pPr>
        <w:pStyle w:val="BodyText"/>
        <w:rPr/>
      </w:pPr>
      <w:r>
        <w:rPr/>
        <w:t>Option II:  Pursue back-to-back supply contracts such that Enron remains the counterparty to the original contract, with a long-term supply agreement provided by a third party energy provider.  Payments to the supplier would be secured through a lock-box payment structure where back-to-back suppliers would have first call on the lock-box funds and the estate would sweep the residual funds.</w:t>
      </w:r>
    </w:p>
    <w:p>
      <w:pPr>
        <w:pStyle w:val="BodyText"/>
        <w:rPr>
          <w:lang w:val="en-CA" w:eastAsia="en-CA"/>
        </w:rPr>
      </w:pPr>
      <w:r>
        <w:rPr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2624455</wp:posOffset>
                </wp:positionH>
                <wp:positionV relativeFrom="paragraph">
                  <wp:posOffset>114300</wp:posOffset>
                </wp:positionV>
                <wp:extent cx="923290" cy="58039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5803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TOC2"/>
                              <w:rPr/>
                            </w:pPr>
                            <w:r>
                              <w:rPr/>
                              <w:t>Lockbox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45.7pt;mso-wrap-distance-left:9.05pt;mso-wrap-distance-right:9.05pt;mso-wrap-distance-top:0pt;mso-wrap-distance-bottom:0pt;margin-top:9pt;mso-position-vertical-relative:text;margin-left:206.65pt;mso-position-horizontal-relative:text">
                <v:fill opacity="0f"/>
                <v:textbox>
                  <w:txbxContent>
                    <w:p>
                      <w:pPr>
                        <w:pStyle w:val="TOC2"/>
                        <w:rPr/>
                      </w:pPr>
                      <w:r>
                        <w:rPr/>
                        <w:t>Lockbox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lang w:val="en-CA" w:eastAsia="en-CA"/>
        </w:rPr>
      </w:pPr>
      <w:r>
        <w:rPr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3543300</wp:posOffset>
                </wp:positionH>
                <wp:positionV relativeFrom="paragraph">
                  <wp:posOffset>1299845</wp:posOffset>
                </wp:positionV>
                <wp:extent cx="685800" cy="0"/>
                <wp:effectExtent l="0" t="38100" r="0" b="3810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9pt,102.35pt" to="332.95pt,102.3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1943100</wp:posOffset>
                </wp:positionH>
                <wp:positionV relativeFrom="paragraph">
                  <wp:posOffset>1299845</wp:posOffset>
                </wp:positionV>
                <wp:extent cx="685800" cy="0"/>
                <wp:effectExtent l="0" t="38100" r="0" b="3810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3pt,102.35pt" to="206.95pt,102.3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1485900</wp:posOffset>
                </wp:positionH>
                <wp:positionV relativeFrom="paragraph">
                  <wp:posOffset>271145</wp:posOffset>
                </wp:positionV>
                <wp:extent cx="1143000" cy="685800"/>
                <wp:effectExtent l="2540" t="635" r="0" b="4445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3000" cy="685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7pt,21.35pt" to="206.95pt,75.3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3543300</wp:posOffset>
                </wp:positionH>
                <wp:positionV relativeFrom="paragraph">
                  <wp:posOffset>271145</wp:posOffset>
                </wp:positionV>
                <wp:extent cx="1028700" cy="685800"/>
                <wp:effectExtent l="3175" t="4445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880" cy="685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9pt,21.35pt" to="359.95pt,75.3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3086100</wp:posOffset>
                </wp:positionH>
                <wp:positionV relativeFrom="paragraph">
                  <wp:posOffset>385445</wp:posOffset>
                </wp:positionV>
                <wp:extent cx="0" cy="571500"/>
                <wp:effectExtent l="38100" t="0" r="3810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71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dash"/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3pt,30.35pt" to="243pt,75.3pt" stroked="t" o:allowincell="f" style="position:absolute">
                <v:stroke color="black" weight="9360" dashstyle="dash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3314700</wp:posOffset>
                </wp:positionH>
                <wp:positionV relativeFrom="paragraph">
                  <wp:posOffset>1071245</wp:posOffset>
                </wp:positionV>
                <wp:extent cx="1257300" cy="571500"/>
                <wp:effectExtent l="0" t="0" r="0" b="0"/>
                <wp:wrapNone/>
                <wp:docPr id="7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715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Picture"/>
                              <w:keepNext w:val="false"/>
                              <w:ind w:start="540" w:end="0"/>
                              <w:rPr/>
                            </w:pPr>
                            <w:r>
                              <w:rPr/>
                              <w:t>Power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9pt;height:45pt;mso-wrap-distance-left:9.05pt;mso-wrap-distance-right:9.05pt;mso-wrap-distance-top:0pt;mso-wrap-distance-bottom:0pt;margin-top:84.35pt;mso-position-vertical-relative:text;margin-left:261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Picture"/>
                        <w:keepNext w:val="false"/>
                        <w:ind w:start="540" w:end="0"/>
                        <w:rPr/>
                      </w:pPr>
                      <w:r>
                        <w:rPr/>
                        <w:t>Power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1714500</wp:posOffset>
                </wp:positionH>
                <wp:positionV relativeFrom="paragraph">
                  <wp:posOffset>1071245</wp:posOffset>
                </wp:positionV>
                <wp:extent cx="1257300" cy="571500"/>
                <wp:effectExtent l="0" t="0" r="0" b="0"/>
                <wp:wrapNone/>
                <wp:docPr id="8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715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Picture"/>
                              <w:keepNext w:val="false"/>
                              <w:ind w:start="540" w:end="0"/>
                              <w:rPr/>
                            </w:pPr>
                            <w:r>
                              <w:rPr/>
                              <w:t>Power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9pt;height:45pt;mso-wrap-distance-left:9.05pt;mso-wrap-distance-right:9.05pt;mso-wrap-distance-top:0pt;mso-wrap-distance-bottom:0pt;margin-top:84.35pt;mso-position-vertical-relative:text;margin-left:13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Picture"/>
                        <w:keepNext w:val="false"/>
                        <w:ind w:start="540" w:end="0"/>
                        <w:rPr/>
                      </w:pPr>
                      <w:r>
                        <w:rPr/>
                        <w:t>Power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1485900</wp:posOffset>
                </wp:positionH>
                <wp:positionV relativeFrom="paragraph">
                  <wp:posOffset>385445</wp:posOffset>
                </wp:positionV>
                <wp:extent cx="1028700" cy="342900"/>
                <wp:effectExtent l="0" t="0" r="0" b="0"/>
                <wp:wrapNone/>
                <wp:docPr id="9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29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540" w:end="0"/>
                              <w:rPr/>
                            </w:pPr>
                            <w:r>
                              <w:rPr/>
                              <w:t>$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81pt;height:27pt;mso-wrap-distance-left:9.05pt;mso-wrap-distance-right:9.05pt;mso-wrap-distance-top:0pt;mso-wrap-distance-bottom:0pt;margin-top:30.35pt;mso-position-vertical-relative:text;margin-left:117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ind w:start="540" w:end="0"/>
                        <w:rPr/>
                      </w:pPr>
                      <w:r>
                        <w:rPr/>
                        <w:t>$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3543300</wp:posOffset>
                </wp:positionH>
                <wp:positionV relativeFrom="paragraph">
                  <wp:posOffset>385445</wp:posOffset>
                </wp:positionV>
                <wp:extent cx="1028700" cy="342900"/>
                <wp:effectExtent l="0" t="0" r="0" b="0"/>
                <wp:wrapNone/>
                <wp:docPr id="10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29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540" w:end="0"/>
                              <w:rPr/>
                            </w:pPr>
                            <w:r>
                              <w:rPr/>
                              <w:t>$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81pt;height:27pt;mso-wrap-distance-left:9.05pt;mso-wrap-distance-right:9.05pt;mso-wrap-distance-top:0pt;mso-wrap-distance-bottom:0pt;margin-top:30.35pt;mso-position-vertical-relative:text;margin-left:279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ind w:start="540" w:end="0"/>
                        <w:rPr/>
                      </w:pPr>
                      <w:r>
                        <w:rPr/>
                        <w:t>$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2624455</wp:posOffset>
                </wp:positionH>
                <wp:positionV relativeFrom="paragraph">
                  <wp:posOffset>952500</wp:posOffset>
                </wp:positionV>
                <wp:extent cx="923290" cy="580390"/>
                <wp:effectExtent l="0" t="0" r="0" b="0"/>
                <wp:wrapNone/>
                <wp:docPr id="11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5803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ind w:hanging="720" w:end="0"/>
                              <w:rPr/>
                            </w:pPr>
                            <w:r>
                              <w:rPr/>
                              <w:t>Enron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45.7pt;mso-wrap-distance-left:9.05pt;mso-wrap-distance-right:9.05pt;mso-wrap-distance-top:0pt;mso-wrap-distance-bottom:0pt;margin-top:75pt;mso-position-vertical-relative:text;margin-left:206.65pt;mso-position-horizontal-relative:text">
                <v:fill opacity="0f"/>
                <v:textbox>
                  <w:txbxContent>
                    <w:p>
                      <w:pPr>
                        <w:pStyle w:val="Normal"/>
                        <w:ind w:hanging="720" w:end="0"/>
                        <w:rPr/>
                      </w:pPr>
                      <w:r>
                        <w:rPr/>
                        <w:t>Enron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1024255</wp:posOffset>
                </wp:positionH>
                <wp:positionV relativeFrom="paragraph">
                  <wp:posOffset>952500</wp:posOffset>
                </wp:positionV>
                <wp:extent cx="923290" cy="580390"/>
                <wp:effectExtent l="0" t="0" r="0" b="0"/>
                <wp:wrapNone/>
                <wp:docPr id="12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5803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/>
                            </w:pPr>
                            <w:r>
                              <w:rPr/>
                              <w:t>Enron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jc w:val="center"/>
                              <w:rPr/>
                            </w:pPr>
                            <w:r>
                              <w:rPr/>
                              <w:t>Counterparty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45.7pt;mso-wrap-distance-left:9.05pt;mso-wrap-distance-right:9.05pt;mso-wrap-distance-top:0pt;mso-wrap-distance-bottom:0pt;margin-top:75pt;mso-position-vertical-relative:text;margin-left:80.65pt;mso-position-horizontal-relative:text">
                <v:fill opacity="0f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/>
                      </w:pPr>
                      <w:r>
                        <w:rPr/>
                        <w:t>Enron</w:t>
                      </w:r>
                    </w:p>
                    <w:p>
                      <w:pPr>
                        <w:pStyle w:val="Normal"/>
                        <w:ind w:start="0" w:end="0"/>
                        <w:jc w:val="center"/>
                        <w:rPr/>
                      </w:pPr>
                      <w:r>
                        <w:rPr/>
                        <w:t>Counterparty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4224655</wp:posOffset>
                </wp:positionH>
                <wp:positionV relativeFrom="paragraph">
                  <wp:posOffset>952500</wp:posOffset>
                </wp:positionV>
                <wp:extent cx="923290" cy="580390"/>
                <wp:effectExtent l="0" t="0" r="0" b="0"/>
                <wp:wrapNone/>
                <wp:docPr id="13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5803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TOC2"/>
                              <w:rPr/>
                            </w:pPr>
                            <w:r>
                              <w:rPr/>
                              <w:t>Supplier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45.7pt;mso-wrap-distance-left:9.05pt;mso-wrap-distance-right:9.05pt;mso-wrap-distance-top:0pt;mso-wrap-distance-bottom:0pt;margin-top:75pt;mso-position-vertical-relative:text;margin-left:332.65pt;mso-position-horizontal-relative:text">
                <v:fill opacity="0f"/>
                <v:textbox>
                  <w:txbxContent>
                    <w:p>
                      <w:pPr>
                        <w:pStyle w:val="TOC2"/>
                        <w:rPr/>
                      </w:pPr>
                      <w:r>
                        <w:rPr/>
                        <w:t>Supplier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lang w:val="en-CA" w:eastAsia="en-CA"/>
        </w:rPr>
      </w:pPr>
      <w:r>
        <w:rPr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2971800</wp:posOffset>
                </wp:positionH>
                <wp:positionV relativeFrom="paragraph">
                  <wp:posOffset>194945</wp:posOffset>
                </wp:positionV>
                <wp:extent cx="914400" cy="342900"/>
                <wp:effectExtent l="0" t="0" r="0" b="0"/>
                <wp:wrapNone/>
                <wp:docPr id="14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180" w:end="0"/>
                              <w:rPr/>
                            </w:pPr>
                            <w:r>
                              <w:rPr/>
                              <w:t>Residual Cash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pt;height:27pt;mso-wrap-distance-left:9.05pt;mso-wrap-distance-right:9.05pt;mso-wrap-distance-top:0pt;mso-wrap-distance-bottom:0pt;margin-top:15.35pt;mso-position-vertical-relative:text;margin-left:234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ind w:start="180" w:end="0"/>
                        <w:rPr/>
                      </w:pPr>
                      <w:r>
                        <w:rPr/>
                        <w:t>Residual Cash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BodyText"/>
        <w:rPr/>
      </w:pPr>
      <w:r>
        <w:rPr/>
        <w:t>It is expected that we will approach potential bidders with both options, allowing us to pick the highest value proposition for the estate.</w:t>
      </w:r>
    </w:p>
    <w:p>
      <w:pPr>
        <w:pStyle w:val="BodyText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BodyText"/>
        <w:rPr>
          <w:b/>
          <w:bCs/>
          <w:u w:val="single"/>
        </w:rPr>
      </w:pPr>
      <w:r>
        <w:rPr>
          <w:b/>
          <w:bCs/>
          <w:u w:val="single"/>
        </w:rPr>
        <w:t>Auction Process:</w:t>
      </w:r>
    </w:p>
    <w:p>
      <w:pPr>
        <w:pStyle w:val="BodyText"/>
        <w:rPr/>
      </w:pPr>
      <w:r>
        <w:rPr/>
        <w:t>An auction process will be established to ensure an open and transparent process that will yield the highest value for the estate.  The general process will be structured as follows:</w:t>
      </w:r>
    </w:p>
    <w:p>
      <w:pPr>
        <w:pStyle w:val="Normal"/>
        <w:spacing w:before="280" w:after="280"/>
        <w:ind w:start="720" w:end="0"/>
        <w:rPr>
          <w:rFonts w:ascii="Arial Unicode MS" w:hAnsi="Arial Unicode MS" w:eastAsia="Arial Unicode MS" w:cs="Arial Unicode MS"/>
          <w:spacing w:val="0"/>
          <w:sz w:val="24"/>
          <w:szCs w:val="24"/>
        </w:rPr>
      </w:pPr>
      <w:r>
        <w:rPr>
          <w:rFonts w:cs="Arial"/>
        </w:rPr>
        <w:t>Phase 1:     4 weeks</w:t>
      </w:r>
    </w:p>
    <w:p>
      <w:pPr>
        <w:pStyle w:val="Normal"/>
        <w:numPr>
          <w:ilvl w:val="0"/>
          <w:numId w:val="4"/>
        </w:numPr>
        <w:spacing w:before="0" w:after="0"/>
        <w:rPr/>
      </w:pPr>
      <w:r>
        <w:rPr>
          <w:rFonts w:cs="Arial"/>
        </w:rPr>
        <w:t xml:space="preserve">Identify Contracts </w:t>
      </w:r>
    </w:p>
    <w:p>
      <w:pPr>
        <w:pStyle w:val="Normal"/>
        <w:numPr>
          <w:ilvl w:val="0"/>
          <w:numId w:val="4"/>
        </w:numPr>
        <w:spacing w:before="0" w:after="0"/>
        <w:rPr/>
      </w:pPr>
      <w:r>
        <w:rPr>
          <w:rFonts w:cs="Arial"/>
        </w:rPr>
        <w:t xml:space="preserve">Legal Review of Contracts </w:t>
      </w:r>
    </w:p>
    <w:p>
      <w:pPr>
        <w:pStyle w:val="Normal"/>
        <w:numPr>
          <w:ilvl w:val="0"/>
          <w:numId w:val="4"/>
        </w:numPr>
        <w:spacing w:before="0" w:after="0"/>
        <w:rPr/>
      </w:pPr>
      <w:r>
        <w:rPr>
          <w:rFonts w:cs="Arial"/>
        </w:rPr>
        <w:t xml:space="preserve">Construct Data Room </w:t>
      </w:r>
    </w:p>
    <w:p>
      <w:pPr>
        <w:pStyle w:val="Normal"/>
        <w:numPr>
          <w:ilvl w:val="0"/>
          <w:numId w:val="4"/>
        </w:numPr>
        <w:spacing w:before="0" w:after="0"/>
        <w:rPr/>
      </w:pPr>
      <w:r>
        <w:rPr>
          <w:rFonts w:cs="Arial"/>
        </w:rPr>
        <w:t xml:space="preserve">Identify Universe of Prospective Bidders </w:t>
      </w:r>
    </w:p>
    <w:p>
      <w:pPr>
        <w:pStyle w:val="Normal"/>
        <w:numPr>
          <w:ilvl w:val="0"/>
          <w:numId w:val="4"/>
        </w:numPr>
        <w:spacing w:before="0" w:after="280"/>
        <w:rPr/>
      </w:pPr>
      <w:r>
        <w:rPr>
          <w:rFonts w:cs="Arial"/>
        </w:rPr>
        <w:t>Draft Teaser &amp; Confidentiality Agreement</w:t>
      </w:r>
      <w:r>
        <w:br w:type="page"/>
      </w:r>
    </w:p>
    <w:p>
      <w:pPr>
        <w:pStyle w:val="Normal"/>
        <w:spacing w:before="280" w:after="280"/>
        <w:ind w:start="1440" w:end="0"/>
        <w:rPr/>
      </w:pPr>
      <w:r>
        <w:rPr/>
      </w:r>
    </w:p>
    <w:p>
      <w:pPr>
        <w:pStyle w:val="Normal"/>
        <w:spacing w:before="280" w:after="280"/>
        <w:ind w:start="720" w:end="0"/>
        <w:rPr>
          <w:rFonts w:cs="Arial"/>
        </w:rPr>
      </w:pPr>
      <w:r>
        <w:rPr>
          <w:rFonts w:cs="Arial"/>
        </w:rPr>
        <w:t>Phase 2 :    1 week</w:t>
      </w:r>
    </w:p>
    <w:p>
      <w:pPr>
        <w:pStyle w:val="TableofAuthorities"/>
        <w:numPr>
          <w:ilvl w:val="1"/>
          <w:numId w:val="5"/>
        </w:numPr>
        <w:tabs>
          <w:tab w:val="clear" w:pos="7560"/>
        </w:tabs>
        <w:spacing w:before="0" w:after="0"/>
        <w:rPr>
          <w:rFonts w:cs="Arial"/>
        </w:rPr>
      </w:pPr>
      <w:r>
        <w:rPr>
          <w:rFonts w:cs="Arial"/>
        </w:rPr>
        <w:t>Make Initial Contacts</w:t>
      </w:r>
    </w:p>
    <w:p>
      <w:pPr>
        <w:pStyle w:val="TableofAuthorities"/>
        <w:numPr>
          <w:ilvl w:val="1"/>
          <w:numId w:val="5"/>
        </w:numPr>
        <w:tabs>
          <w:tab w:val="clear" w:pos="7560"/>
        </w:tabs>
        <w:spacing w:before="0" w:after="0"/>
        <w:rPr>
          <w:rFonts w:cs="Arial"/>
        </w:rPr>
      </w:pPr>
      <w:r>
        <w:rPr>
          <w:rFonts w:cs="Arial"/>
        </w:rPr>
        <w:t>Send Teaser</w:t>
      </w:r>
    </w:p>
    <w:p>
      <w:pPr>
        <w:pStyle w:val="TableofAuthorities"/>
        <w:numPr>
          <w:ilvl w:val="1"/>
          <w:numId w:val="5"/>
        </w:numPr>
        <w:tabs>
          <w:tab w:val="clear" w:pos="7560"/>
        </w:tabs>
        <w:spacing w:before="0" w:after="280"/>
        <w:rPr>
          <w:rFonts w:cs="Arial"/>
        </w:rPr>
      </w:pPr>
      <w:r>
        <w:rPr>
          <w:rFonts w:cs="Arial"/>
        </w:rPr>
        <w:t>Execute Confidentiality Agreements</w:t>
      </w:r>
    </w:p>
    <w:p>
      <w:pPr>
        <w:pStyle w:val="TableofAuthorities"/>
        <w:tabs>
          <w:tab w:val="clear" w:pos="7560"/>
        </w:tabs>
        <w:spacing w:before="280" w:after="280"/>
        <w:ind w:hanging="0" w:start="1080" w:end="0"/>
        <w:rPr>
          <w:rFonts w:cs="Arial"/>
        </w:rPr>
      </w:pPr>
      <w:r>
        <w:rPr>
          <w:rFonts w:cs="Arial"/>
        </w:rPr>
      </w:r>
    </w:p>
    <w:p>
      <w:pPr>
        <w:pStyle w:val="TableofAuthorities"/>
        <w:tabs>
          <w:tab w:val="clear" w:pos="7560"/>
        </w:tabs>
        <w:spacing w:before="280" w:after="0"/>
        <w:ind w:start="1080" w:end="0"/>
        <w:rPr/>
      </w:pPr>
      <w:r>
        <w:rPr/>
        <w:t>Phase 3 :    4 –8 weeks</w:t>
      </w:r>
    </w:p>
    <w:p>
      <w:pPr>
        <w:pStyle w:val="TableofAuthorities"/>
        <w:numPr>
          <w:ilvl w:val="0"/>
          <w:numId w:val="3"/>
        </w:numPr>
        <w:tabs>
          <w:tab w:val="clear" w:pos="7560"/>
        </w:tabs>
        <w:spacing w:before="280" w:after="0"/>
        <w:rPr/>
      </w:pPr>
      <w:r>
        <w:rPr/>
        <w:t xml:space="preserve">Contract Review by Prospective Bidders </w:t>
      </w:r>
    </w:p>
    <w:p>
      <w:pPr>
        <w:pStyle w:val="TableofAuthorities"/>
        <w:numPr>
          <w:ilvl w:val="0"/>
          <w:numId w:val="3"/>
        </w:numPr>
        <w:tabs>
          <w:tab w:val="clear" w:pos="7560"/>
        </w:tabs>
        <w:spacing w:before="0" w:after="0"/>
        <w:rPr/>
      </w:pPr>
      <w:r>
        <w:rPr/>
        <w:t>Submission of Bids</w:t>
      </w:r>
    </w:p>
    <w:p>
      <w:pPr>
        <w:pStyle w:val="TableofAuthorities"/>
        <w:numPr>
          <w:ilvl w:val="0"/>
          <w:numId w:val="3"/>
        </w:numPr>
        <w:tabs>
          <w:tab w:val="clear" w:pos="7560"/>
        </w:tabs>
        <w:spacing w:before="0" w:after="0"/>
        <w:rPr/>
      </w:pPr>
      <w:r>
        <w:rPr/>
        <w:t>Selection of Final Bid or Bids</w:t>
      </w:r>
    </w:p>
    <w:p>
      <w:pPr>
        <w:pStyle w:val="TableofAuthorities"/>
        <w:numPr>
          <w:ilvl w:val="0"/>
          <w:numId w:val="3"/>
        </w:numPr>
        <w:tabs>
          <w:tab w:val="clear" w:pos="7560"/>
        </w:tabs>
        <w:spacing w:before="0" w:after="280"/>
        <w:rPr/>
      </w:pPr>
      <w:r>
        <w:rPr/>
        <w:t>Execution of Definitive Documents</w:t>
      </w:r>
    </w:p>
    <w:p>
      <w:pPr>
        <w:pStyle w:val="TableofAuthorities"/>
        <w:tabs>
          <w:tab w:val="clear" w:pos="7560"/>
        </w:tabs>
        <w:spacing w:before="280" w:after="0"/>
        <w:ind w:start="1080" w:end="0"/>
        <w:rPr/>
      </w:pPr>
      <w:r>
        <w:rPr/>
        <w:t>Phase 4 :    TBD</w:t>
      </w:r>
    </w:p>
    <w:p>
      <w:pPr>
        <w:pStyle w:val="TableofAuthorities"/>
        <w:numPr>
          <w:ilvl w:val="0"/>
          <w:numId w:val="3"/>
        </w:numPr>
        <w:tabs>
          <w:tab w:val="clear" w:pos="7560"/>
        </w:tabs>
        <w:spacing w:before="280" w:after="280"/>
        <w:rPr/>
      </w:pPr>
      <w:r>
        <w:rPr/>
        <w:t>Approval of Bankruptcy Court, FERC and Hart, Scott, Rodino</w:t>
      </w:r>
    </w:p>
    <w:p>
      <w:pPr>
        <w:pStyle w:val="Normal"/>
        <w:spacing w:before="280" w:after="280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Commercial and Legal Constraints/ Risks</w:t>
      </w:r>
    </w:p>
    <w:p>
      <w:pPr>
        <w:pStyle w:val="BodyText"/>
        <w:rPr/>
      </w:pPr>
      <w:r>
        <w:rPr/>
        <w:t>The plan for extracting the value from the portfolio is impacted by several commercial and legal constraints and risks.  A process is underway to optimize the value within these constraints and risks.  A list of some of the potential constraints and risks can be summarized as follows:</w:t>
      </w:r>
    </w:p>
    <w:p>
      <w:pPr>
        <w:pStyle w:val="ListBullet21"/>
        <w:numPr>
          <w:ilvl w:val="0"/>
          <w:numId w:val="2"/>
        </w:numPr>
        <w:rPr/>
      </w:pPr>
      <w:r>
        <w:rPr/>
        <w:t>Counterparties are not utilizing their right to terminate because they do not have economic access to cash to pay the termination amount</w:t>
      </w:r>
    </w:p>
    <w:p>
      <w:pPr>
        <w:pStyle w:val="ListBullet21"/>
        <w:numPr>
          <w:ilvl w:val="0"/>
          <w:numId w:val="2"/>
        </w:numPr>
        <w:rPr/>
      </w:pPr>
      <w:r>
        <w:rPr/>
        <w:t>Termination of contracts by Enron due to default from a counterparty may force the counterparty into bankruptcy and jeopardize value recovery for the estate</w:t>
      </w:r>
    </w:p>
    <w:p>
      <w:pPr>
        <w:pStyle w:val="ListBullet21"/>
        <w:numPr>
          <w:ilvl w:val="0"/>
          <w:numId w:val="2"/>
        </w:numPr>
        <w:rPr/>
      </w:pPr>
      <w:r>
        <w:rPr/>
        <w:t xml:space="preserve">Contract value is exposed to significant market risk until terminated or assigned  </w:t>
      </w:r>
    </w:p>
    <w:p>
      <w:pPr>
        <w:pStyle w:val="ListBullet21"/>
        <w:numPr>
          <w:ilvl w:val="0"/>
          <w:numId w:val="2"/>
        </w:numPr>
        <w:rPr/>
      </w:pPr>
      <w:r>
        <w:rPr/>
        <w:t>The illiquidity of the long-term power market and the attendant difficulty of executing hedges of several long-term positions within the portfolio could negatively affect contract value</w:t>
      </w:r>
    </w:p>
    <w:p>
      <w:pPr>
        <w:pStyle w:val="ListBullet21"/>
        <w:numPr>
          <w:ilvl w:val="0"/>
          <w:numId w:val="2"/>
        </w:numPr>
        <w:rPr/>
      </w:pPr>
      <w:r>
        <w:rPr/>
        <w:t>Contracts may have restrictive assignment clauses and confidentiality issues which make assignment structures expensive</w:t>
      </w:r>
    </w:p>
    <w:p>
      <w:pPr>
        <w:pStyle w:val="ListBullet21"/>
        <w:numPr>
          <w:ilvl w:val="0"/>
          <w:numId w:val="2"/>
        </w:numPr>
        <w:rPr/>
      </w:pPr>
      <w:r>
        <w:rPr/>
        <w:t>Pursuing assignment of contracts in exchange for cash may be difficult in current tight capital market environment</w:t>
      </w:r>
    </w:p>
    <w:p>
      <w:pPr>
        <w:pStyle w:val="ListBullet21"/>
        <w:numPr>
          <w:ilvl w:val="0"/>
          <w:numId w:val="2"/>
        </w:numPr>
        <w:rPr/>
      </w:pPr>
      <w:r>
        <w:rPr/>
        <w:t>Assignment of contracts will require appropriate approvals including Bankruptcy Court, FERC and possibly Hart, Scott, Rodino</w:t>
      </w:r>
    </w:p>
    <w:p>
      <w:pPr>
        <w:pStyle w:val="ListBullet21"/>
        <w:numPr>
          <w:ilvl w:val="0"/>
          <w:numId w:val="2"/>
        </w:numPr>
        <w:rPr/>
      </w:pPr>
      <w:r>
        <w:rPr/>
        <w:t>Uncertainty surrounding ongoing government review of all Enron related contracts</w:t>
      </w:r>
    </w:p>
    <w:p>
      <w:pPr>
        <w:pStyle w:val="ListBullet21"/>
        <w:numPr>
          <w:ilvl w:val="0"/>
          <w:numId w:val="2"/>
        </w:numPr>
        <w:spacing w:before="0" w:after="240"/>
        <w:rPr/>
      </w:pPr>
      <w:r>
        <w:rPr/>
        <w:t xml:space="preserve">Legal Constraints. . . . .  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530" w:footer="720" w:bottom="153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Arial Narrow">
    <w:charset w:val="00" w:characterSet="windows-1252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32"/>
      </w:rPr>
    </w:pPr>
    <w:r>
      <w:rPr>
        <w:sz w:val="32"/>
      </w:rPr>
      <w:tab/>
      <w:t>DRAFT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0" w:end="0"/>
      <w:rPr>
        <w:sz w:val="32"/>
      </w:rPr>
    </w:pPr>
    <w:r>
      <w:rPr>
        <w:rFonts w:eastAsia="Arial"/>
        <w:sz w:val="32"/>
      </w:rPr>
      <w:t xml:space="preserve">  </w:t>
    </w:r>
    <w:r>
      <w:rPr>
        <w:sz w:val="32"/>
      </w:rPr>
      <w:tab/>
      <w:t>PRIVALEGED AND CONFIDENTIAL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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16"/>
      </w:rPr>
    </w:lvl>
  </w:abstractNum>
  <w:abstractNum w:abstractNumId="7">
    <w:lvl w:ilvl="0">
      <w:start w:val="1"/>
      <w:numFmt w:val="decimal"/>
      <w:lvlText w:val="%1)"/>
      <w:lvlJc w:val="start"/>
      <w:pPr>
        <w:tabs>
          <w:tab w:val="num" w:pos="360"/>
        </w:tabs>
        <w:ind w:start="1440" w:hanging="360"/>
      </w:pPr>
      <w:rPr>
        <w:sz w:val="18"/>
        <w:i w:val="false"/>
        <w:b w:val="false"/>
        <w:rFonts w:ascii="Arial Black" w:hAnsi="Arial Black" w:cs="Arial Black"/>
      </w:rPr>
    </w:lvl>
  </w:abstractNum>
  <w:abstractNum w:abstractNumId="8">
    <w:lvl w:ilvl="0">
      <w:numFmt w:val="bullet"/>
      <w:lvlText w:val=""/>
      <w:lvlJc w:val="start"/>
      <w:pPr>
        <w:tabs>
          <w:tab w:val="num" w:pos="120"/>
        </w:tabs>
        <w:ind w:start="1920" w:hanging="120"/>
      </w:pPr>
      <w:rPr>
        <w:rFonts w:ascii="Symbol" w:hAnsi="Symbol" w:cs="Symbol" w:hint="default"/>
        <w:sz w:val="18"/>
      </w:rPr>
    </w:lvl>
  </w:abstractNum>
  <w:abstractNum w:abstractNumId="9">
    <w:lvl w:ilvl="0">
      <w:start w:val="1"/>
      <w:numFmt w:val="decimal"/>
      <w:suff w:val="nothing"/>
      <w:lvlText w:val="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decimal"/>
      <w:suff w:val="nothing"/>
      <w:lvlText w:val="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ind w:hanging="0" w:start="1080" w:end="0"/>
    </w:pPr>
    <w:rPr>
      <w:rFonts w:ascii="Arial" w:hAnsi="Arial" w:eastAsia="Times New Roman" w:cs="Arial"/>
      <w:color w:val="auto"/>
      <w:spacing w:val="-5"/>
      <w:sz w:val="20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pBdr>
        <w:top w:val="single" w:sz="48" w:space="3" w:color="FFFFFF"/>
        <w:left w:val="single" w:sz="6" w:space="3" w:color="FFFFFF"/>
        <w:bottom w:val="single" w:sz="6" w:space="3" w:color="FFFFFF"/>
      </w:pBdr>
      <w:shd w:fill="000000" w:val="clear"/>
      <w:spacing w:lineRule="atLeast" w:line="240" w:before="0" w:after="240"/>
      <w:ind w:hanging="0" w:start="120" w:end="0"/>
      <w:outlineLvl w:val="0"/>
    </w:pPr>
    <w:rPr>
      <w:rFonts w:ascii="Arial Black" w:hAnsi="Arial Black" w:cs="Arial Black"/>
      <w:color w:val="FFFFFF"/>
      <w:spacing w:val="-10"/>
      <w:kern w:val="2"/>
      <w:sz w:val="24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lineRule="atLeast" w:line="240" w:before="0" w:after="240"/>
      <w:ind w:hanging="0" w:start="0" w:end="0"/>
      <w:outlineLvl w:val="1"/>
    </w:pPr>
    <w:rPr>
      <w:rFonts w:ascii="Arial Black" w:hAnsi="Arial Black" w:cs="Arial Black"/>
      <w:spacing w:val="-15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lineRule="atLeast" w:line="240" w:before="0" w:after="240"/>
      <w:outlineLvl w:val="2"/>
    </w:pPr>
    <w:rPr>
      <w:rFonts w:ascii="Arial Black" w:hAnsi="Arial Black" w:cs="Arial Black"/>
      <w:spacing w:val="-10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lineRule="atLeast" w:line="240" w:before="0" w:after="240"/>
      <w:outlineLvl w:val="3"/>
    </w:pPr>
    <w:rPr/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lineRule="atLeast" w:line="240" w:before="0" w:after="0"/>
      <w:ind w:hanging="0" w:start="1440" w:end="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pPr>
      <w:numPr>
        <w:ilvl w:val="5"/>
        <w:numId w:val="1"/>
      </w:numPr>
      <w:ind w:hanging="0" w:start="1440" w:end="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pPr>
      <w:numPr>
        <w:ilvl w:val="6"/>
        <w:numId w:val="1"/>
      </w:numPr>
      <w:outlineLvl w:val="6"/>
    </w:pPr>
    <w:rPr>
      <w:sz w:val="20"/>
    </w:rPr>
  </w:style>
  <w:style w:type="paragraph" w:styleId="Heading8">
    <w:name w:val="heading 8"/>
    <w:basedOn w:val="HeadingBase"/>
    <w:next w:val="BodyText"/>
    <w:qFormat/>
    <w:pPr>
      <w:numPr>
        <w:ilvl w:val="7"/>
        <w:numId w:val="1"/>
      </w:num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pPr>
      <w:numPr>
        <w:ilvl w:val="8"/>
        <w:numId w:val="1"/>
      </w:numPr>
      <w:outlineLvl w:val="8"/>
    </w:pPr>
    <w:rPr>
      <w:sz w:val="18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  <w:sz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  <w:b w:val="false"/>
      <w:i w:val="false"/>
      <w:sz w:val="18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20z1">
    <w:name w:val="WW8Num20z1"/>
    <w:qFormat/>
    <w:rPr>
      <w:rFonts w:ascii="Courier New" w:hAnsi="Courier New" w:cs="Courier New"/>
      <w:sz w:val="20"/>
    </w:rPr>
  </w:style>
  <w:style w:type="character" w:styleId="WW8Num20z2">
    <w:name w:val="WW8Num20z2"/>
    <w:qFormat/>
    <w:rPr>
      <w:rFonts w:ascii="Wingdings" w:hAnsi="Wingdings" w:cs="Wingdings"/>
      <w:sz w:val="20"/>
    </w:rPr>
  </w:style>
  <w:style w:type="character" w:styleId="WW8Num22z0">
    <w:name w:val="WW8Num22z0"/>
    <w:qFormat/>
    <w:rPr>
      <w:rFonts w:ascii="Wingdings" w:hAnsi="Wingdings" w:cs="Wingdings"/>
      <w:sz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  <w:sz w:val="20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>
      <w:rFonts w:ascii="Wingdings" w:hAnsi="Wingdings" w:cs="Wingdings"/>
      <w:sz w:val="20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  <w:sz w:val="20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rFonts w:ascii="Wingdings" w:hAnsi="Wingdings" w:cs="Wingdings"/>
      <w:sz w:val="20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  <w:sz w:val="20"/>
    </w:rPr>
  </w:style>
  <w:style w:type="character" w:styleId="WW8Num31z1">
    <w:name w:val="WW8Num31z1"/>
    <w:qFormat/>
    <w:rPr>
      <w:rFonts w:ascii="Wingdings" w:hAnsi="Wingdings" w:cs="Wingdings"/>
      <w:sz w:val="20"/>
    </w:rPr>
  </w:style>
  <w:style w:type="character" w:styleId="WW8Num33z0">
    <w:name w:val="WW8Num33z0"/>
    <w:qFormat/>
    <w:rPr>
      <w:rFonts w:ascii="Arial Black" w:hAnsi="Arial Black" w:cs="Arial Black"/>
      <w:b w:val="false"/>
      <w:i w:val="false"/>
      <w:sz w:val="18"/>
    </w:rPr>
  </w:style>
  <w:style w:type="character" w:styleId="WW8Num34z0">
    <w:name w:val="WW8Num34z0"/>
    <w:qFormat/>
    <w:rPr>
      <w:rFonts w:ascii="Wingdings" w:hAnsi="Wingdings" w:cs="Wingdings"/>
      <w:sz w:val="16"/>
    </w:rPr>
  </w:style>
  <w:style w:type="character" w:styleId="WW8Num35z0">
    <w:name w:val="WW8Num35z0"/>
    <w:qFormat/>
    <w:rPr>
      <w:rFonts w:ascii="Arial Black" w:hAnsi="Arial Black" w:cs="Arial Black"/>
      <w:b w:val="false"/>
      <w:i w:val="false"/>
      <w:sz w:val="18"/>
    </w:rPr>
  </w:style>
  <w:style w:type="character" w:styleId="WW8Num37z0">
    <w:name w:val="WW8Num37z0"/>
    <w:qFormat/>
    <w:rPr>
      <w:rFonts w:ascii="Symbol" w:hAnsi="Symbol" w:cs="Symbol"/>
      <w:sz w:val="20"/>
    </w:rPr>
  </w:style>
  <w:style w:type="character" w:styleId="WW8Num37z1">
    <w:name w:val="WW8Num37z1"/>
    <w:qFormat/>
    <w:rPr>
      <w:rFonts w:ascii="Courier New" w:hAnsi="Courier New" w:cs="Courier New"/>
      <w:sz w:val="20"/>
    </w:rPr>
  </w:style>
  <w:style w:type="character" w:styleId="WW8Num37z2">
    <w:name w:val="WW8Num37z2"/>
    <w:qFormat/>
    <w:rPr>
      <w:rFonts w:ascii="Wingdings" w:hAnsi="Wingdings" w:cs="Wingdings"/>
      <w:sz w:val="20"/>
    </w:rPr>
  </w:style>
  <w:style w:type="character" w:styleId="WW8Num39z0">
    <w:name w:val="WW8Num39z0"/>
    <w:qFormat/>
    <w:rPr>
      <w:rFonts w:ascii="Wingdings" w:hAnsi="Wingdings" w:cs="Wingdings"/>
      <w:sz w:val="20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39z3">
    <w:name w:val="WW8Num39z3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St12z0">
    <w:name w:val="WW8NumSt12z0"/>
    <w:qFormat/>
    <w:rPr>
      <w:rFonts w:ascii="Symbol" w:hAnsi="Symbol" w:cs="Symbol"/>
      <w:sz w:val="18"/>
    </w:rPr>
  </w:style>
  <w:style w:type="character" w:styleId="WW8NumSt15z0">
    <w:name w:val="WW8NumSt15z0"/>
    <w:qFormat/>
    <w:rPr>
      <w:rFonts w:ascii="Wingdings" w:hAnsi="Wingdings" w:cs="Wingdings"/>
      <w:sz w:val="16"/>
    </w:rPr>
  </w:style>
  <w:style w:type="character" w:styleId="WW8NumSt19z0">
    <w:name w:val="WW8NumSt19z0"/>
    <w:qFormat/>
    <w:rPr>
      <w:rFonts w:ascii="Symbol" w:hAnsi="Symbol" w:cs="Symbol"/>
      <w:b w:val="false"/>
      <w:i w:val="false"/>
      <w:sz w:val="18"/>
    </w:rPr>
  </w:style>
  <w:style w:type="character" w:styleId="WW8NumSt20z0">
    <w:name w:val="WW8NumSt20z0"/>
    <w:qFormat/>
    <w:rPr>
      <w:rFonts w:ascii="Symbol" w:hAnsi="Symbol" w:cs="Symbol"/>
    </w:rPr>
  </w:style>
  <w:style w:type="character" w:styleId="WW8NumSt21z0">
    <w:name w:val="WW8NumSt2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qFormat/>
    <w:rPr>
      <w:rFonts w:ascii="Arial" w:hAnsi="Arial" w:cs="Arial"/>
      <w:sz w:val="16"/>
    </w:rPr>
  </w:style>
  <w:style w:type="character" w:styleId="Emphasis">
    <w:name w:val="Emphasis"/>
    <w:qFormat/>
    <w:rPr>
      <w:rFonts w:ascii="Arial Black" w:hAnsi="Arial Black" w:cs="Arial Black"/>
      <w:spacing w:val="-4"/>
      <w:sz w:val="18"/>
    </w:rPr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Lead-inEmphasis">
    <w:name w:val="Lead-in Emphasis"/>
    <w:qFormat/>
    <w:rPr>
      <w:rFonts w:ascii="Arial Black" w:hAnsi="Arial Black" w:cs="Arial Black"/>
      <w:spacing w:val="-4"/>
      <w:sz w:val="18"/>
    </w:rPr>
  </w:style>
  <w:style w:type="character" w:styleId="LineNumber">
    <w:name w:val="line number"/>
    <w:rPr>
      <w:sz w:val="18"/>
    </w:rPr>
  </w:style>
  <w:style w:type="character" w:styleId="PageNumber">
    <w:name w:val="page number"/>
    <w:rPr>
      <w:rFonts w:ascii="Arial Black" w:hAnsi="Arial Black" w:cs="Arial Black"/>
      <w:spacing w:val="-10"/>
      <w:sz w:val="18"/>
    </w:rPr>
  </w:style>
  <w:style w:type="character" w:styleId="Slogan">
    <w:name w:val="Slogan"/>
    <w:basedOn w:val="DefaultParagraphFont"/>
    <w:qFormat/>
    <w:rPr>
      <w:i/>
      <w:spacing w:val="-6"/>
      <w:sz w:val="24"/>
    </w:rPr>
  </w:style>
  <w:style w:type="character" w:styleId="Superscript">
    <w:name w:val="Superscript"/>
    <w:qFormat/>
    <w:rPr>
      <w:b/>
      <w:vertAlign w:val="superscript"/>
    </w:rPr>
  </w:style>
  <w:style w:type="paragraph" w:styleId="Heading">
    <w:name w:val="Heading"/>
    <w:basedOn w:val="HeadingBase"/>
    <w:next w:val="Subtitle"/>
    <w:qFormat/>
    <w:pPr>
      <w:pBdr>
        <w:top w:val="single" w:sz="6" w:space="16" w:color="000000"/>
      </w:pBdr>
      <w:spacing w:lineRule="atLeast" w:line="320" w:before="220" w:after="60"/>
      <w:ind w:hanging="0" w:start="0" w:end="0"/>
    </w:pPr>
    <w:rPr>
      <w:rFonts w:ascii="Arial Black" w:hAnsi="Arial Black" w:cs="Arial Black"/>
      <w:spacing w:val="-30"/>
      <w:sz w:val="40"/>
    </w:rPr>
  </w:style>
  <w:style w:type="paragraph" w:styleId="BodyText">
    <w:name w:val="Body Text"/>
    <w:basedOn w:val="Normal"/>
    <w:pPr>
      <w:spacing w:lineRule="atLeast" w:line="240" w:before="0" w:after="240"/>
      <w:jc w:val="both"/>
    </w:pPr>
    <w:rPr/>
  </w:style>
  <w:style w:type="paragraph" w:styleId="List">
    <w:name w:val="List"/>
    <w:basedOn w:val="BodyText"/>
    <w:pPr>
      <w:ind w:hanging="360" w:start="1440" w:end="0"/>
    </w:pPr>
    <w:rPr/>
  </w:style>
  <w:style w:type="paragraph" w:styleId="Caption">
    <w:name w:val="caption"/>
    <w:basedOn w:val="Picture"/>
    <w:next w:val="BodyText"/>
    <w:qFormat/>
    <w:pPr>
      <w:numPr>
        <w:ilvl w:val="0"/>
        <w:numId w:val="8"/>
      </w:numPr>
      <w:spacing w:lineRule="atLeast" w:line="220" w:before="60" w:after="240"/>
    </w:pPr>
    <w:rPr>
      <w:rFonts w:ascii="Arial Narrow" w:hAnsi="Arial Narrow" w:cs="Arial Narrow"/>
      <w:spacing w:val="0"/>
      <w:sz w:val="18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Normal"/>
    <w:next w:val="BodyText"/>
    <w:qFormat/>
    <w:pPr>
      <w:keepNext w:val="true"/>
      <w:keepLines/>
      <w:spacing w:lineRule="atLeast" w:line="220" w:before="140" w:after="0"/>
    </w:pPr>
    <w:rPr>
      <w:spacing w:val="-4"/>
      <w:kern w:val="2"/>
      <w:sz w:val="22"/>
    </w:rPr>
  </w:style>
  <w:style w:type="paragraph" w:styleId="ListBullet">
    <w:name w:val="List Bullet"/>
    <w:basedOn w:val="List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Bullet21">
    <w:name w:val="List Bullet 21"/>
    <w:basedOn w:val="ListBullet"/>
    <w:qFormat/>
    <w:pPr>
      <w:ind w:hanging="360" w:start="1800" w:end="0"/>
    </w:pPr>
    <w:rPr/>
  </w:style>
  <w:style w:type="paragraph" w:styleId="BlockQuotation">
    <w:name w:val="Block Quotation"/>
    <w:basedOn w:val="Normal"/>
    <w:qFormat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fill="F2F2F2" w:val="clear"/>
      <w:spacing w:lineRule="atLeast" w:line="220" w:before="0" w:after="240"/>
      <w:ind w:hanging="0" w:start="1368" w:end="240"/>
      <w:jc w:val="both"/>
    </w:pPr>
    <w:rPr>
      <w:rFonts w:ascii="Arial Narrow" w:hAnsi="Arial Narrow" w:cs="Arial Narrow"/>
    </w:rPr>
  </w:style>
  <w:style w:type="paragraph" w:styleId="BodyTextIndent">
    <w:name w:val="Body Text Indent"/>
    <w:basedOn w:val="BodyText"/>
    <w:pPr>
      <w:ind w:hanging="0" w:start="1440" w:end="0"/>
    </w:pPr>
    <w:rPr/>
  </w:style>
  <w:style w:type="paragraph" w:styleId="BodyTextKeep">
    <w:name w:val="Body Text Keep"/>
    <w:basedOn w:val="BodyText"/>
    <w:qFormat/>
    <w:pPr>
      <w:keepNext w:val="true"/>
    </w:pPr>
    <w:rPr/>
  </w:style>
  <w:style w:type="paragraph" w:styleId="Picture">
    <w:name w:val="Picture"/>
    <w:basedOn w:val="Normal"/>
    <w:next w:val="Caption"/>
    <w:qFormat/>
    <w:pPr>
      <w:keepNext w:val="true"/>
    </w:pPr>
    <w:rPr/>
  </w:style>
  <w:style w:type="paragraph" w:styleId="PartLabel">
    <w:name w:val="Part Label"/>
    <w:basedOn w:val="Normal"/>
    <w:qFormat/>
    <w:pPr>
      <w:shd w:fill="000000" w:val="clear"/>
      <w:spacing w:lineRule="exact" w:line="360"/>
      <w:ind w:hanging="0" w:start="0" w:end="0"/>
      <w:jc w:val="center"/>
    </w:pPr>
    <w:rPr>
      <w:color w:val="FFFFFF"/>
      <w:spacing w:val="-16"/>
      <w:sz w:val="26"/>
    </w:rPr>
  </w:style>
  <w:style w:type="paragraph" w:styleId="PartTitle">
    <w:name w:val="Part Title"/>
    <w:basedOn w:val="Normal"/>
    <w:qFormat/>
    <w:pPr>
      <w:shd w:fill="000000" w:val="clear"/>
      <w:spacing w:lineRule="exact" w:line="660"/>
      <w:ind w:hanging="0" w:start="0" w:end="0"/>
      <w:jc w:val="center"/>
    </w:pPr>
    <w:rPr>
      <w:rFonts w:ascii="Arial Black" w:hAnsi="Arial Black" w:cs="Arial Black"/>
      <w:color w:val="FFFFFF"/>
      <w:spacing w:val="-40"/>
      <w:sz w:val="84"/>
    </w:rPr>
  </w:style>
  <w:style w:type="paragraph" w:styleId="Subtitle">
    <w:name w:val="Subtitle"/>
    <w:basedOn w:val="Heading"/>
    <w:next w:val="BodyText"/>
    <w:qFormat/>
    <w:pPr>
      <w:pBdr>
        <w:top w:val="nil"/>
      </w:pBdr>
      <w:spacing w:lineRule="atLeast" w:line="340" w:before="60" w:after="120"/>
    </w:pPr>
    <w:rPr>
      <w:rFonts w:ascii="Arial" w:hAnsi="Arial" w:cs="Arial"/>
      <w:spacing w:val="-16"/>
      <w:sz w:val="32"/>
    </w:rPr>
  </w:style>
  <w:style w:type="paragraph" w:styleId="ChapterSubtitle">
    <w:name w:val="Chapter Subtitle"/>
    <w:basedOn w:val="Subtitle"/>
    <w:qFormat/>
    <w:pPr/>
    <w:rPr/>
  </w:style>
  <w:style w:type="paragraph" w:styleId="CompanyName">
    <w:name w:val="Company Name"/>
    <w:basedOn w:val="Normal"/>
    <w:qFormat/>
    <w:pPr>
      <w:keepNext w:val="true"/>
      <w:keepLines/>
      <w:spacing w:lineRule="atLeast" w:line="220"/>
      <w:ind w:hanging="0" w:start="0" w:end="0"/>
    </w:pPr>
    <w:rPr>
      <w:rFonts w:ascii="Arial Black" w:hAnsi="Arial Black" w:cs="Arial Black"/>
      <w:spacing w:val="-25"/>
      <w:kern w:val="2"/>
      <w:sz w:val="32"/>
    </w:rPr>
  </w:style>
  <w:style w:type="paragraph" w:styleId="ChapterTitle">
    <w:name w:val="Chapter Title"/>
    <w:basedOn w:val="Normal"/>
    <w:qFormat/>
    <w:pPr>
      <w:spacing w:lineRule="exact" w:line="660" w:before="120" w:after="0"/>
      <w:ind w:hanging="0" w:start="0" w:end="0"/>
      <w:jc w:val="center"/>
    </w:pPr>
    <w:rPr>
      <w:rFonts w:ascii="Arial Black" w:hAnsi="Arial Black" w:cs="Arial Black"/>
      <w:color w:val="FFFFFF"/>
      <w:spacing w:val="-40"/>
      <w:sz w:val="84"/>
    </w:rPr>
  </w:style>
  <w:style w:type="paragraph" w:styleId="FootnoteBase">
    <w:name w:val="Footnote Base"/>
    <w:basedOn w:val="Normal"/>
    <w:qFormat/>
    <w:pPr>
      <w:keepLines/>
      <w:spacing w:lineRule="atLeast" w:line="200"/>
    </w:pPr>
    <w:rPr>
      <w:sz w:val="16"/>
    </w:rPr>
  </w:style>
  <w:style w:type="paragraph" w:styleId="CommentText">
    <w:name w:val="Comment Text"/>
    <w:basedOn w:val="FootnoteBase"/>
    <w:qFormat/>
    <w:pPr/>
    <w:rPr/>
  </w:style>
  <w:style w:type="paragraph" w:styleId="TableText">
    <w:name w:val="Table Text"/>
    <w:basedOn w:val="Normal"/>
    <w:qFormat/>
    <w:pPr>
      <w:spacing w:before="60" w:after="0"/>
      <w:ind w:hanging="0" w:start="0" w:end="0"/>
    </w:pPr>
    <w:rPr>
      <w:sz w:val="16"/>
    </w:rPr>
  </w:style>
  <w:style w:type="paragraph" w:styleId="TitleCover">
    <w:name w:val="Title Cover"/>
    <w:basedOn w:val="HeadingBase"/>
    <w:next w:val="Normal"/>
    <w:qFormat/>
    <w:pPr>
      <w:pBdr>
        <w:top w:val="single" w:sz="48" w:space="31" w:color="000000"/>
      </w:pBdr>
      <w:tabs>
        <w:tab w:val="clear" w:pos="720"/>
        <w:tab w:val="left" w:pos="0" w:leader="none"/>
      </w:tabs>
      <w:spacing w:lineRule="exact" w:line="640" w:before="240" w:after="500"/>
      <w:ind w:hanging="0" w:start="0" w:end="0"/>
    </w:pPr>
    <w:rPr>
      <w:rFonts w:ascii="Arial Black" w:hAnsi="Arial Black" w:cs="Arial Black"/>
      <w:b/>
      <w:spacing w:val="-48"/>
      <w:sz w:val="64"/>
    </w:rPr>
  </w:style>
  <w:style w:type="paragraph" w:styleId="DocumentLabel">
    <w:name w:val="Document Label"/>
    <w:basedOn w:val="TitleCover"/>
    <w:qFormat/>
    <w:pPr/>
    <w:rPr/>
  </w:style>
  <w:style w:type="paragraph" w:styleId="EndnoteText">
    <w:name w:val="endnote text"/>
    <w:basedOn w:val="FootnoteBase"/>
    <w:pPr/>
    <w:rPr/>
  </w:style>
  <w:style w:type="paragraph" w:styleId="HeaderBase">
    <w:name w:val="Header Base"/>
    <w:basedOn w:val="Normal"/>
    <w:qFormat/>
    <w:pPr>
      <w:keepLines/>
      <w:tabs>
        <w:tab w:val="clear" w:pos="720"/>
        <w:tab w:val="center" w:pos="4320" w:leader="none"/>
        <w:tab w:val="right" w:pos="8640" w:leader="none"/>
      </w:tabs>
      <w:spacing w:lineRule="atLeast" w:line="190"/>
    </w:pPr>
    <w:rPr>
      <w:caps/>
      <w:sz w:val="15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/>
    <w:rPr/>
  </w:style>
  <w:style w:type="paragraph" w:styleId="FooterEven">
    <w:name w:val="Footer Even"/>
    <w:basedOn w:val="Footer"/>
    <w:qFormat/>
    <w:pPr>
      <w:pBdr>
        <w:top w:val="single" w:sz="6" w:space="2" w:color="000000"/>
      </w:pBdr>
      <w:spacing w:before="600" w:after="0"/>
    </w:pPr>
    <w:rPr/>
  </w:style>
  <w:style w:type="paragraph" w:styleId="FooterFirst">
    <w:name w:val="Footer First"/>
    <w:basedOn w:val="Footer"/>
    <w:qFormat/>
    <w:pPr>
      <w:pBdr>
        <w:top w:val="single" w:sz="6" w:space="2" w:color="000000"/>
      </w:pBdr>
      <w:spacing w:before="600" w:after="0"/>
    </w:pPr>
    <w:rPr/>
  </w:style>
  <w:style w:type="paragraph" w:styleId="FooterOdd">
    <w:name w:val="Footer Odd"/>
    <w:basedOn w:val="Footer"/>
    <w:qFormat/>
    <w:pPr>
      <w:pBdr>
        <w:top w:val="single" w:sz="6" w:space="2" w:color="000000"/>
      </w:pBdr>
      <w:spacing w:before="600" w:after="0"/>
    </w:pPr>
    <w:rPr/>
  </w:style>
  <w:style w:type="paragraph" w:styleId="FootnoteText">
    <w:name w:val="footnote text"/>
    <w:basedOn w:val="FootnoteBase"/>
    <w:pPr/>
    <w:rPr/>
  </w:style>
  <w:style w:type="paragraph" w:styleId="Header">
    <w:name w:val="header"/>
    <w:basedOn w:val="HeaderBase"/>
    <w:pPr/>
    <w:rPr/>
  </w:style>
  <w:style w:type="paragraph" w:styleId="HeaderEven">
    <w:name w:val="Header Even"/>
    <w:basedOn w:val="Header"/>
    <w:qFormat/>
    <w:pPr>
      <w:numPr>
        <w:ilvl w:val="0"/>
        <w:numId w:val="9"/>
      </w:numPr>
      <w:pBdr>
        <w:bottom w:val="single" w:sz="6" w:space="1" w:color="000000"/>
      </w:pBdr>
      <w:spacing w:before="0" w:after="600"/>
    </w:pPr>
    <w:rPr/>
  </w:style>
  <w:style w:type="paragraph" w:styleId="HeaderFirst">
    <w:name w:val="Header First"/>
    <w:basedOn w:val="Header"/>
    <w:qFormat/>
    <w:pPr>
      <w:pBdr>
        <w:top w:val="single" w:sz="6" w:space="2" w:color="000000"/>
      </w:pBdr>
      <w:jc w:val="end"/>
    </w:pPr>
    <w:rPr/>
  </w:style>
  <w:style w:type="paragraph" w:styleId="HeaderOdd">
    <w:name w:val="Header Odd"/>
    <w:basedOn w:val="Header"/>
    <w:qFormat/>
    <w:pPr>
      <w:numPr>
        <w:ilvl w:val="0"/>
        <w:numId w:val="10"/>
      </w:numPr>
      <w:pBdr>
        <w:bottom w:val="single" w:sz="6" w:space="1" w:color="000000"/>
      </w:pBdr>
      <w:spacing w:before="0" w:after="600"/>
    </w:pPr>
    <w:rPr/>
  </w:style>
  <w:style w:type="paragraph" w:styleId="IndexBase">
    <w:name w:val="Index Base"/>
    <w:basedOn w:val="Normal"/>
    <w:qFormat/>
    <w:pPr>
      <w:spacing w:lineRule="atLeast" w:line="240"/>
      <w:ind w:hanging="360" w:start="360" w:end="0"/>
    </w:pPr>
    <w:rPr>
      <w:sz w:val="18"/>
    </w:rPr>
  </w:style>
  <w:style w:type="paragraph" w:styleId="Index1">
    <w:name w:val="index 1"/>
    <w:basedOn w:val="IndexBase"/>
    <w:pPr/>
    <w:rPr/>
  </w:style>
  <w:style w:type="paragraph" w:styleId="Index2">
    <w:name w:val="index 2"/>
    <w:basedOn w:val="IndexBase"/>
    <w:pPr>
      <w:spacing w:lineRule="auto" w:line="240"/>
      <w:ind w:hanging="360" w:start="720" w:end="0"/>
    </w:pPr>
    <w:rPr/>
  </w:style>
  <w:style w:type="paragraph" w:styleId="Index3">
    <w:name w:val="index 3"/>
    <w:basedOn w:val="IndexBase"/>
    <w:pPr>
      <w:spacing w:lineRule="auto" w:line="240"/>
      <w:ind w:hanging="360" w:start="1080" w:end="0"/>
    </w:pPr>
    <w:rPr/>
  </w:style>
  <w:style w:type="paragraph" w:styleId="Index4">
    <w:name w:val="Index 4"/>
    <w:basedOn w:val="IndexBase"/>
    <w:qFormat/>
    <w:pPr>
      <w:spacing w:lineRule="auto" w:line="240"/>
      <w:ind w:hanging="360" w:start="1440" w:end="0"/>
    </w:pPr>
    <w:rPr/>
  </w:style>
  <w:style w:type="paragraph" w:styleId="Index5">
    <w:name w:val="Index 5"/>
    <w:basedOn w:val="IndexBase"/>
    <w:qFormat/>
    <w:pPr>
      <w:spacing w:lineRule="auto" w:line="240"/>
      <w:ind w:hanging="360" w:start="1800" w:end="0"/>
    </w:pPr>
    <w:rPr/>
  </w:style>
  <w:style w:type="paragraph" w:styleId="IndexHeading">
    <w:name w:val="index heading"/>
    <w:basedOn w:val="HeadingBase"/>
    <w:next w:val="Index1"/>
    <w:pPr>
      <w:keepLines w:val="false"/>
      <w:spacing w:lineRule="atLeast" w:line="480" w:before="0" w:after="0"/>
      <w:ind w:hanging="0" w:start="0" w:end="0"/>
    </w:pPr>
    <w:rPr>
      <w:rFonts w:ascii="Arial Black" w:hAnsi="Arial Black" w:cs="Arial Black"/>
      <w:spacing w:val="-5"/>
      <w:kern w:val="0"/>
      <w:sz w:val="24"/>
    </w:rPr>
  </w:style>
  <w:style w:type="paragraph" w:styleId="ListBullet2">
    <w:name w:val="List Bullet 2"/>
    <w:basedOn w:val="List"/>
    <w:pPr>
      <w:ind w:hanging="360" w:start="1800" w:end="0"/>
    </w:pPr>
    <w:rPr/>
  </w:style>
  <w:style w:type="paragraph" w:styleId="ListBullet3">
    <w:name w:val="List Bullet 3"/>
    <w:basedOn w:val="List"/>
    <w:pPr>
      <w:ind w:hanging="360" w:start="2160" w:end="0"/>
    </w:pPr>
    <w:rPr/>
  </w:style>
  <w:style w:type="paragraph" w:styleId="ListBullet4">
    <w:name w:val="List Bullet 4"/>
    <w:basedOn w:val="List"/>
    <w:pPr>
      <w:ind w:hanging="360" w:start="2520" w:end="0"/>
    </w:pPr>
    <w:rPr/>
  </w:style>
  <w:style w:type="paragraph" w:styleId="ListBullet5">
    <w:name w:val="List Bullet 5"/>
    <w:basedOn w:val="List"/>
    <w:pPr>
      <w:ind w:hanging="360" w:start="2880" w:end="0"/>
    </w:pPr>
    <w:rPr/>
  </w:style>
  <w:style w:type="paragraph" w:styleId="ListBullet31">
    <w:name w:val="List Bullet 31"/>
    <w:basedOn w:val="ListBullet"/>
    <w:qFormat/>
    <w:pPr>
      <w:ind w:hanging="360" w:start="2160" w:end="0"/>
    </w:pPr>
    <w:rPr/>
  </w:style>
  <w:style w:type="paragraph" w:styleId="ListBullet41">
    <w:name w:val="List Bullet 41"/>
    <w:basedOn w:val="ListBullet"/>
    <w:qFormat/>
    <w:pPr>
      <w:ind w:hanging="360" w:start="2520" w:end="0"/>
    </w:pPr>
    <w:rPr/>
  </w:style>
  <w:style w:type="paragraph" w:styleId="ListBullet51">
    <w:name w:val="List Bullet 51"/>
    <w:basedOn w:val="ListBullet"/>
    <w:qFormat/>
    <w:pPr>
      <w:ind w:hanging="360" w:start="2880" w:end="0"/>
    </w:pPr>
    <w:rPr/>
  </w:style>
  <w:style w:type="paragraph" w:styleId="ListContinue">
    <w:name w:val="List Continue"/>
    <w:basedOn w:val="List"/>
    <w:qFormat/>
    <w:pPr>
      <w:numPr>
        <w:ilvl w:val="0"/>
        <w:numId w:val="11"/>
      </w:numPr>
      <w:ind w:hanging="0" w:start="1440" w:end="0"/>
    </w:pPr>
    <w:rPr/>
  </w:style>
  <w:style w:type="paragraph" w:styleId="ListContinue2">
    <w:name w:val="List Continue 2"/>
    <w:basedOn w:val="ListContinue"/>
    <w:qFormat/>
    <w:pPr>
      <w:ind w:hanging="0" w:start="2160" w:end="0"/>
    </w:pPr>
    <w:rPr/>
  </w:style>
  <w:style w:type="paragraph" w:styleId="ListContinue3">
    <w:name w:val="List Continue 3"/>
    <w:basedOn w:val="ListContinue"/>
    <w:qFormat/>
    <w:pPr>
      <w:ind w:hanging="0" w:start="2520" w:end="0"/>
    </w:pPr>
    <w:rPr/>
  </w:style>
  <w:style w:type="paragraph" w:styleId="ListContinue4">
    <w:name w:val="List Continue 4"/>
    <w:basedOn w:val="ListContinue"/>
    <w:qFormat/>
    <w:pPr>
      <w:ind w:hanging="0" w:start="2880" w:end="0"/>
    </w:pPr>
    <w:rPr/>
  </w:style>
  <w:style w:type="paragraph" w:styleId="ListContinue5">
    <w:name w:val="List Continue 5"/>
    <w:basedOn w:val="ListContinue"/>
    <w:qFormat/>
    <w:pPr>
      <w:ind w:hanging="0" w:start="3240" w:end="0"/>
    </w:pPr>
    <w:rPr/>
  </w:style>
  <w:style w:type="paragraph" w:styleId="ListNumber">
    <w:name w:val="List Number"/>
    <w:basedOn w:val="List"/>
    <w:qFormat/>
    <w:pPr>
      <w:numPr>
        <w:ilvl w:val="0"/>
        <w:numId w:val="7"/>
      </w:numPr>
    </w:pPr>
    <w:rPr/>
  </w:style>
  <w:style w:type="paragraph" w:styleId="ListNumber2">
    <w:name w:val="List Number 2"/>
    <w:basedOn w:val="ListNumber"/>
    <w:qFormat/>
    <w:pPr>
      <w:ind w:hanging="360" w:start="1800" w:end="0"/>
    </w:pPr>
    <w:rPr/>
  </w:style>
  <w:style w:type="paragraph" w:styleId="ListNumber3">
    <w:name w:val="List Number 3"/>
    <w:basedOn w:val="ListNumber"/>
    <w:qFormat/>
    <w:pPr>
      <w:ind w:hanging="360" w:start="2160" w:end="0"/>
    </w:pPr>
    <w:rPr/>
  </w:style>
  <w:style w:type="paragraph" w:styleId="ListNumber4">
    <w:name w:val="List Number 4"/>
    <w:basedOn w:val="ListNumber"/>
    <w:qFormat/>
    <w:pPr>
      <w:ind w:hanging="360" w:start="2520" w:end="0"/>
    </w:pPr>
    <w:rPr/>
  </w:style>
  <w:style w:type="paragraph" w:styleId="ListNumber5">
    <w:name w:val="List Number 5"/>
    <w:basedOn w:val="ListNumber"/>
    <w:qFormat/>
    <w:pPr>
      <w:ind w:hanging="360" w:start="2880" w:end="0"/>
    </w:pPr>
    <w:rPr/>
  </w:style>
  <w:style w:type="paragraph" w:styleId="TableHeader">
    <w:name w:val="Table Header"/>
    <w:basedOn w:val="Normal"/>
    <w:qFormat/>
    <w:pPr>
      <w:spacing w:before="60" w:after="0"/>
      <w:ind w:hanging="0" w:start="0" w:end="0"/>
      <w:jc w:val="center"/>
    </w:pPr>
    <w:rPr>
      <w:rFonts w:ascii="Arial Black" w:hAnsi="Arial Black" w:cs="Arial Black"/>
      <w:sz w:val="16"/>
    </w:rPr>
  </w:style>
  <w:style w:type="paragraph" w:styleId="MessageHeader">
    <w:name w:val="Message Header"/>
    <w:basedOn w:val="BodyText"/>
    <w:qFormat/>
    <w:pPr>
      <w:keepLines/>
      <w:tabs>
        <w:tab w:val="clear" w:pos="720"/>
        <w:tab w:val="left" w:pos="3600" w:leader="none"/>
        <w:tab w:val="left" w:pos="4680" w:leader="none"/>
      </w:tabs>
      <w:spacing w:lineRule="exact" w:line="280" w:before="0" w:after="120"/>
      <w:ind w:hanging="1080" w:start="1080" w:end="2160"/>
      <w:jc w:val="start"/>
    </w:pPr>
    <w:rPr>
      <w:spacing w:val="0"/>
      <w:sz w:val="22"/>
    </w:rPr>
  </w:style>
  <w:style w:type="paragraph" w:styleId="NormalIndent">
    <w:name w:val="Normal Indent"/>
    <w:basedOn w:val="Normal"/>
    <w:qFormat/>
    <w:pPr>
      <w:ind w:hanging="0" w:start="1440" w:end="0"/>
    </w:pPr>
    <w:rPr/>
  </w:style>
  <w:style w:type="paragraph" w:styleId="PartSubtitle">
    <w:name w:val="Part Subtitle"/>
    <w:basedOn w:val="Normal"/>
    <w:next w:val="BodyText"/>
    <w:qFormat/>
    <w:pPr>
      <w:keepNext w:val="true"/>
      <w:spacing w:before="360" w:after="120"/>
    </w:pPr>
    <w:rPr>
      <w:i/>
      <w:kern w:val="2"/>
      <w:sz w:val="26"/>
    </w:rPr>
  </w:style>
  <w:style w:type="paragraph" w:styleId="ReturnAddress">
    <w:name w:val="Return Address"/>
    <w:basedOn w:val="Normal"/>
    <w:qFormat/>
    <w:pPr>
      <w:keepLines/>
      <w:tabs>
        <w:tab w:val="clear" w:pos="720"/>
        <w:tab w:val="left" w:pos="2160" w:leader="none"/>
      </w:tabs>
      <w:spacing w:lineRule="atLeast" w:line="160"/>
      <w:ind w:hanging="0" w:start="0" w:end="0"/>
    </w:pPr>
    <w:rPr>
      <w:spacing w:val="0"/>
      <w:sz w:val="14"/>
    </w:rPr>
  </w:style>
  <w:style w:type="paragraph" w:styleId="SectionHeading">
    <w:name w:val="Section Heading"/>
    <w:basedOn w:val="Heading1"/>
    <w:qFormat/>
    <w:pPr>
      <w:numPr>
        <w:ilvl w:val="0"/>
        <w:numId w:val="0"/>
      </w:numPr>
      <w:ind w:hanging="0" w:start="120"/>
      <w:outlineLvl w:val="9"/>
    </w:pPr>
    <w:rPr/>
  </w:style>
  <w:style w:type="paragraph" w:styleId="SectionLabel">
    <w:name w:val="Section Label"/>
    <w:basedOn w:val="HeadingBase"/>
    <w:next w:val="BodyText"/>
    <w:qFormat/>
    <w:pPr>
      <w:pBdr>
        <w:bottom w:val="single" w:sz="6" w:space="2" w:color="000000"/>
      </w:pBdr>
      <w:spacing w:before="360" w:after="960"/>
      <w:ind w:hanging="0" w:start="0" w:end="0"/>
    </w:pPr>
    <w:rPr>
      <w:rFonts w:ascii="Arial Black" w:hAnsi="Arial Black" w:cs="Arial Black"/>
      <w:spacing w:val="-35"/>
      <w:sz w:val="54"/>
    </w:rPr>
  </w:style>
  <w:style w:type="paragraph" w:styleId="SubtitleCover">
    <w:name w:val="Subtitle Cover"/>
    <w:basedOn w:val="TitleCover"/>
    <w:next w:val="BodyText"/>
    <w:qFormat/>
    <w:pPr>
      <w:pBdr>
        <w:top w:val="single" w:sz="6" w:space="24" w:color="000000"/>
      </w:pBdr>
      <w:tabs>
        <w:tab w:val="clear" w:pos="0"/>
      </w:tabs>
      <w:spacing w:lineRule="atLeast" w:line="480" w:before="0" w:after="0"/>
      <w:ind w:hanging="0" w:start="835" w:end="835"/>
    </w:pPr>
    <w:rPr>
      <w:rFonts w:ascii="Arial" w:hAnsi="Arial" w:cs="Arial"/>
      <w:b w:val="false"/>
      <w:spacing w:val="-30"/>
      <w:sz w:val="48"/>
    </w:rPr>
  </w:style>
  <w:style w:type="paragraph" w:styleId="TableofAuthorities">
    <w:name w:val="Table of Authorities"/>
    <w:basedOn w:val="Normal"/>
    <w:qFormat/>
    <w:pPr>
      <w:tabs>
        <w:tab w:val="clear" w:pos="720"/>
        <w:tab w:val="right" w:pos="7560" w:leader="dot"/>
      </w:tabs>
      <w:ind w:hanging="360" w:start="1440" w:end="0"/>
    </w:pPr>
    <w:rPr/>
  </w:style>
  <w:style w:type="paragraph" w:styleId="TOCBase">
    <w:name w:val="TOC Base"/>
    <w:basedOn w:val="Normal"/>
    <w:qFormat/>
    <w:pPr>
      <w:tabs>
        <w:tab w:val="clear" w:pos="720"/>
        <w:tab w:val="right" w:pos="6480" w:leader="dot"/>
      </w:tabs>
      <w:spacing w:lineRule="atLeast" w:line="240" w:before="0" w:after="240"/>
      <w:ind w:hanging="0" w:start="0" w:end="0"/>
    </w:pPr>
    <w:rPr/>
  </w:style>
  <w:style w:type="paragraph" w:styleId="TableofFigures">
    <w:name w:val="Table of Figures"/>
    <w:basedOn w:val="TOCBase"/>
    <w:qFormat/>
    <w:pPr>
      <w:ind w:hanging="360" w:start="1440" w:end="0"/>
    </w:pPr>
    <w:rPr/>
  </w:style>
  <w:style w:type="paragraph" w:styleId="TOAHeading">
    <w:name w:val="TOA Heading"/>
    <w:basedOn w:val="Normal"/>
    <w:next w:val="TableofAuthorities"/>
    <w:qFormat/>
    <w:pPr>
      <w:keepNext w:val="true"/>
      <w:spacing w:lineRule="atLeast" w:line="480"/>
    </w:pPr>
    <w:rPr>
      <w:rFonts w:ascii="Arial Black" w:hAnsi="Arial Black" w:cs="Arial Black"/>
      <w:b/>
      <w:spacing w:val="-10"/>
      <w:kern w:val="2"/>
    </w:rPr>
  </w:style>
  <w:style w:type="paragraph" w:styleId="TOC1">
    <w:name w:val="toc 1"/>
    <w:basedOn w:val="TOCBase"/>
    <w:pPr/>
    <w:rPr>
      <w:spacing w:val="-4"/>
    </w:rPr>
  </w:style>
  <w:style w:type="paragraph" w:styleId="TOC2">
    <w:name w:val="toc 2"/>
    <w:basedOn w:val="TOCBase"/>
    <w:pPr>
      <w:tabs>
        <w:tab w:val="clear" w:pos="6480"/>
      </w:tabs>
      <w:spacing w:lineRule="auto" w:line="240" w:before="0" w:after="0"/>
      <w:ind w:hanging="0" w:start="180" w:end="0"/>
    </w:pPr>
    <w:rPr/>
  </w:style>
  <w:style w:type="paragraph" w:styleId="TOC3">
    <w:name w:val="toc 3"/>
    <w:basedOn w:val="TOCBase"/>
    <w:pPr>
      <w:ind w:hanging="0" w:start="360" w:end="0"/>
    </w:pPr>
    <w:rPr/>
  </w:style>
  <w:style w:type="paragraph" w:styleId="TOC4">
    <w:name w:val="toc 4"/>
    <w:basedOn w:val="TOCBase"/>
    <w:pPr>
      <w:ind w:hanging="0" w:start="360" w:end="0"/>
    </w:pPr>
    <w:rPr/>
  </w:style>
  <w:style w:type="paragraph" w:styleId="TOC5">
    <w:name w:val="toc 5"/>
    <w:basedOn w:val="TOCBase"/>
    <w:pPr>
      <w:ind w:hanging="0" w:start="360" w:end="0"/>
    </w:pPr>
    <w:rPr/>
  </w:style>
  <w:style w:type="paragraph" w:styleId="hea">
    <w:name w:val="hea"/>
    <w:basedOn w:val="BodyText"/>
    <w:qFormat/>
    <w:pPr/>
    <w:rPr/>
  </w:style>
  <w:style w:type="paragraph" w:styleId="BodyText2">
    <w:name w:val="Body Text 2"/>
    <w:basedOn w:val="Normal"/>
    <w:qFormat/>
    <w:pPr>
      <w:ind w:hanging="0" w:start="0" w:end="0"/>
      <w:jc w:val="center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2002-01-29T17:59:00Z</dcterms:created>
  <dc:creator>fcohaga</dc:creator>
  <dc:description/>
  <dc:language>en-CA</dc:language>
  <cp:lastModifiedBy>bwax</cp:lastModifiedBy>
  <cp:lastPrinted>2002-01-29T15:46:00Z</cp:lastPrinted>
  <dcterms:modified xsi:type="dcterms:W3CDTF">2002-01-29T19:20:00Z</dcterms:modified>
  <cp:revision>7</cp:revision>
  <dc:subject/>
  <dc:title>Executive Summary</dc:title>
</cp:coreProperties>
</file>