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b/>
          <w:smallCaps/>
          <w:sz w:val="28"/>
        </w:rPr>
      </w:pPr>
      <w:r>
        <w:rPr>
          <w:b/>
          <w:smallCaps/>
          <w:sz w:val="28"/>
        </w:rPr>
        <w:t>Approval Process for Prepays and Embedded Financing</w:t>
      </w:r>
    </w:p>
    <w:p>
      <w:pPr>
        <w:pStyle w:val="Heading"/>
        <w:rPr>
          <w:b/>
          <w:smallCaps/>
          <w:sz w:val="28"/>
        </w:rPr>
      </w:pPr>
      <w:r>
        <w:rPr>
          <w:b/>
          <w:smallCaps/>
          <w:sz w:val="28"/>
        </w:rPr>
        <w:t>Related to Gas, Electricity, and Other Commodity Trading Activities</w:t>
      </w:r>
    </w:p>
    <w:p>
      <w:pPr>
        <w:pStyle w:val="Normal"/>
        <w:rPr>
          <w:b/>
          <w:smallCaps/>
          <w:sz w:val="28"/>
        </w:rPr>
      </w:pPr>
      <w:r>
        <w:rPr>
          <w:b/>
          <w:smallCaps/>
          <w:sz w:val="28"/>
        </w:rPr>
      </w:r>
    </w:p>
    <w:p>
      <w:pPr>
        <w:pStyle w:val="Normal"/>
        <w:rPr>
          <w:b/>
          <w:sz w:val="24"/>
        </w:rPr>
      </w:pPr>
      <w:r>
        <w:rPr>
          <w:b/>
          <w:sz w:val="24"/>
        </w:rPr>
      </w:r>
    </w:p>
    <w:p>
      <w:pPr>
        <w:pStyle w:val="BodyTextIndent"/>
        <w:ind w:start="0" w:end="0"/>
        <w:jc w:val="both"/>
        <w:rPr>
          <w:sz w:val="22"/>
        </w:rPr>
      </w:pPr>
      <w:r>
        <w:rPr>
          <w:sz w:val="22"/>
        </w:rPr>
        <w:t>All trading transactions with prepay or embedded financing features require approval through either the Standard DASH/Transaction Approval Process or, for selected transactions, through an Expedited DASH or “E-DASH” Approval Process.  The Approval Amount will be the sum of the greatest unrecovered amount advanced plus projected termination amount on any day from the approval date to the termination date of the transaction.</w:t>
      </w:r>
    </w:p>
    <w:p>
      <w:pPr>
        <w:pStyle w:val="Heading1"/>
        <w:ind w:hanging="0" w:start="0"/>
        <w:jc w:val="both"/>
        <w:rPr>
          <w:rFonts w:ascii="Times New Roman" w:hAnsi="Times New Roman" w:cs="Times New Roman"/>
          <w:sz w:val="22"/>
        </w:rPr>
      </w:pPr>
      <w:r>
        <w:rPr>
          <w:rFonts w:cs="Times New Roman" w:ascii="Times New Roman" w:hAnsi="Times New Roman"/>
          <w:sz w:val="22"/>
        </w:rPr>
        <w:t>E-DASH Process</w:t>
      </w:r>
    </w:p>
    <w:p>
      <w:pPr>
        <w:pStyle w:val="BodyTextIndent"/>
        <w:ind w:start="0" w:end="0"/>
        <w:jc w:val="both"/>
        <w:rPr>
          <w:rFonts w:ascii="Times New Roman" w:hAnsi="Times New Roman" w:cs="Times New Roman"/>
          <w:sz w:val="22"/>
        </w:rPr>
      </w:pPr>
      <w:r>
        <w:rPr>
          <w:rFonts w:cs="Times New Roman"/>
          <w:sz w:val="22"/>
        </w:rPr>
      </w:r>
    </w:p>
    <w:p>
      <w:pPr>
        <w:pStyle w:val="BodyTextIndent"/>
        <w:ind w:start="0" w:end="0"/>
        <w:jc w:val="both"/>
        <w:rPr/>
      </w:pPr>
      <w:r>
        <w:rPr>
          <w:sz w:val="22"/>
        </w:rPr>
        <w:t xml:space="preserve">Transactions meeting criteria set forth in the attached E-DASH Matrix with regard to size, duration and credit quality of counter-party and using standard documentation, as determined by RAC, for embedded financing transactions may be approved </w:t>
      </w:r>
      <w:r>
        <w:rPr>
          <w:sz w:val="22"/>
          <w:u w:val="single"/>
        </w:rPr>
        <w:t>prior</w:t>
      </w:r>
      <w:r>
        <w:rPr>
          <w:sz w:val="22"/>
        </w:rPr>
        <w:t xml:space="preserve"> to confirming a transaction with a counterparty via an “E-DASH Process.” The E-DASH requires the approval from the Business Unit CFO with respect to liquidity and RAC with respect to counter-party exposure and pricing.  The process RAC will use in determining the availability and capital price for an embedded financing transaction is as follows:</w:t>
      </w:r>
    </w:p>
    <w:p>
      <w:pPr>
        <w:pStyle w:val="Heading2"/>
        <w:ind w:hanging="0" w:start="0"/>
        <w:jc w:val="both"/>
        <w:rPr>
          <w:rFonts w:ascii="Times New Roman" w:hAnsi="Times New Roman" w:cs="Times New Roman"/>
          <w:b w:val="false"/>
          <w:i w:val="false"/>
          <w:i w:val="false"/>
          <w:sz w:val="22"/>
        </w:rPr>
      </w:pPr>
      <w:r>
        <w:rPr>
          <w:rFonts w:cs="Times New Roman" w:ascii="Times New Roman" w:hAnsi="Times New Roman"/>
          <w:sz w:val="22"/>
          <w:u w:val="single"/>
        </w:rPr>
        <w:t>Determination of Structured Liquidity Availability and Price</w:t>
      </w:r>
      <w:r>
        <w:rPr>
          <w:rFonts w:cs="Times New Roman" w:ascii="Times New Roman" w:hAnsi="Times New Roman"/>
          <w:i w:val="false"/>
          <w:sz w:val="22"/>
        </w:rPr>
        <w:t>:</w:t>
      </w:r>
      <w:r>
        <w:rPr>
          <w:rFonts w:cs="Times New Roman" w:ascii="Times New Roman" w:hAnsi="Times New Roman"/>
          <w:b w:val="false"/>
          <w:i w:val="false"/>
          <w:sz w:val="22"/>
        </w:rPr>
        <w:t xml:space="preserve">  Determination of structured liquidity availability must be obtained from the Business Unit CFO.</w:t>
      </w:r>
    </w:p>
    <w:p>
      <w:pPr>
        <w:pStyle w:val="Normal"/>
        <w:numPr>
          <w:ilvl w:val="2"/>
          <w:numId w:val="2"/>
        </w:numPr>
        <w:tabs>
          <w:tab w:val="clear" w:pos="720"/>
          <w:tab w:val="left" w:pos="1440" w:leader="none"/>
        </w:tabs>
        <w:ind w:hanging="720" w:start="1440" w:end="0"/>
        <w:jc w:val="both"/>
        <w:rPr>
          <w:sz w:val="22"/>
        </w:rPr>
      </w:pPr>
      <w:r>
        <w:rPr>
          <w:sz w:val="22"/>
        </w:rPr>
        <w:t>If structured liquidity is available, the cost of structured liquidity will be quoted by the Business Unit CFO.  Cost of structured liquidity is the price Enron would have to pay to raise a similar amount of structured funding for a similar duration.</w:t>
      </w:r>
    </w:p>
    <w:p>
      <w:pPr>
        <w:pStyle w:val="Normal"/>
        <w:numPr>
          <w:ilvl w:val="2"/>
          <w:numId w:val="2"/>
        </w:numPr>
        <w:jc w:val="both"/>
        <w:rPr>
          <w:sz w:val="22"/>
        </w:rPr>
      </w:pPr>
      <w:r>
        <w:rPr>
          <w:sz w:val="22"/>
        </w:rPr>
        <w:t xml:space="preserve">    </w:t>
      </w:r>
      <w:r>
        <w:rPr>
          <w:sz w:val="22"/>
        </w:rPr>
        <w:t>If structured liquidity is NOT available, no transaction can be executed.</w:t>
      </w:r>
    </w:p>
    <w:p>
      <w:pPr>
        <w:pStyle w:val="Heading2"/>
        <w:ind w:hanging="0" w:start="0"/>
        <w:jc w:val="both"/>
        <w:rPr>
          <w:rFonts w:ascii="Times New Roman" w:hAnsi="Times New Roman" w:cs="Times New Roman"/>
          <w:b w:val="false"/>
          <w:i w:val="false"/>
          <w:i w:val="false"/>
          <w:sz w:val="22"/>
        </w:rPr>
      </w:pPr>
      <w:r>
        <w:rPr>
          <w:rFonts w:cs="Times New Roman" w:ascii="Times New Roman" w:hAnsi="Times New Roman"/>
          <w:sz w:val="22"/>
          <w:u w:val="single"/>
        </w:rPr>
        <w:t>Determination of Credit Reserve Amount</w:t>
      </w:r>
      <w:r>
        <w:rPr>
          <w:rFonts w:cs="Times New Roman" w:ascii="Times New Roman" w:hAnsi="Times New Roman"/>
          <w:b w:val="false"/>
          <w:i w:val="false"/>
          <w:sz w:val="22"/>
        </w:rPr>
        <w:t xml:space="preserve">:  If 1.1.1 above is satisfactorily completed, a Credit Reserve Amount (CRA) will be determined by RAC-CRM.  The CRA will take into account counter-party credit quality, volatility and value of transaction profiles, and structural adequacy of documentation. </w:t>
      </w:r>
    </w:p>
    <w:p>
      <w:pPr>
        <w:pStyle w:val="Heading2"/>
        <w:ind w:hanging="0" w:start="0"/>
        <w:jc w:val="both"/>
        <w:rPr>
          <w:rFonts w:ascii="Times New Roman" w:hAnsi="Times New Roman" w:cs="Times New Roman"/>
          <w:b w:val="false"/>
          <w:i w:val="false"/>
          <w:i w:val="false"/>
          <w:sz w:val="22"/>
        </w:rPr>
      </w:pPr>
      <w:r>
        <w:rPr>
          <w:rFonts w:cs="Times New Roman" w:ascii="Times New Roman" w:hAnsi="Times New Roman"/>
          <w:sz w:val="22"/>
          <w:u w:val="single"/>
        </w:rPr>
        <w:t>Determination of Liquidity Premium</w:t>
      </w:r>
      <w:r>
        <w:rPr>
          <w:rFonts w:cs="Times New Roman" w:ascii="Times New Roman" w:hAnsi="Times New Roman"/>
          <w:b w:val="false"/>
          <w:i w:val="false"/>
          <w:sz w:val="22"/>
        </w:rPr>
        <w:t>:  Based upon the liquidity and tenor of an individual transaction, RAC-CRM will add a Syndication Premium.  The Syndication Premium will be determined by RAC-Underwriting on the basis of market conditions and will be provided to RAC-CRM.</w:t>
      </w:r>
    </w:p>
    <w:p>
      <w:pPr>
        <w:pStyle w:val="Heading2"/>
        <w:ind w:hanging="0" w:start="0"/>
        <w:jc w:val="both"/>
        <w:rPr>
          <w:rFonts w:ascii="Times New Roman" w:hAnsi="Times New Roman" w:cs="Times New Roman"/>
          <w:b w:val="false"/>
          <w:i w:val="false"/>
          <w:i w:val="false"/>
          <w:sz w:val="22"/>
        </w:rPr>
      </w:pPr>
      <w:r>
        <w:rPr>
          <w:rFonts w:cs="Times New Roman" w:ascii="Times New Roman" w:hAnsi="Times New Roman"/>
          <w:b w:val="false"/>
          <w:i w:val="false"/>
          <w:sz w:val="22"/>
        </w:rPr>
        <w:t>The IRR of the transaction, taking into consideration all cash inflows and outflows, should be compared with the sum of 1.1.1 and 1.3 above.  For economic evaluation purposes, the CRA should be considered a negative cash flow at T</w:t>
      </w:r>
      <w:r>
        <w:rPr>
          <w:rFonts w:cs="Times New Roman" w:ascii="Times New Roman" w:hAnsi="Times New Roman"/>
          <w:b w:val="false"/>
          <w:i w:val="false"/>
          <w:sz w:val="22"/>
          <w:vertAlign w:val="subscript"/>
        </w:rPr>
        <w:t>0</w:t>
      </w:r>
      <w:r>
        <w:rPr>
          <w:rFonts w:cs="Times New Roman" w:ascii="Times New Roman" w:hAnsi="Times New Roman"/>
          <w:b w:val="false"/>
          <w:i w:val="false"/>
          <w:sz w:val="22"/>
        </w:rPr>
        <w:t>.</w:t>
      </w:r>
    </w:p>
    <w:p>
      <w:pPr>
        <w:pStyle w:val="Normal"/>
        <w:numPr>
          <w:ilvl w:val="2"/>
          <w:numId w:val="4"/>
        </w:numPr>
        <w:tabs>
          <w:tab w:val="clear" w:pos="720"/>
          <w:tab w:val="left" w:pos="1440" w:leader="none"/>
        </w:tabs>
        <w:ind w:hanging="720" w:start="1440" w:end="0"/>
        <w:jc w:val="both"/>
        <w:rPr>
          <w:sz w:val="22"/>
        </w:rPr>
      </w:pPr>
      <w:r>
        <w:rPr>
          <w:sz w:val="22"/>
        </w:rPr>
        <w:t>If the IRR of the transaction exceeds the Capital Price, the transaction is approved upon signature of the Business Unit CFO and RAC-CRM or RAC-Underwriting Management.</w:t>
      </w:r>
    </w:p>
    <w:p>
      <w:pPr>
        <w:pStyle w:val="Normal"/>
        <w:numPr>
          <w:ilvl w:val="2"/>
          <w:numId w:val="4"/>
        </w:numPr>
        <w:tabs>
          <w:tab w:val="clear" w:pos="720"/>
          <w:tab w:val="left" w:pos="1440" w:leader="none"/>
        </w:tabs>
        <w:ind w:hanging="720" w:start="1440" w:end="0"/>
        <w:jc w:val="both"/>
        <w:rPr>
          <w:sz w:val="22"/>
        </w:rPr>
      </w:pPr>
      <w:r>
        <w:rPr>
          <w:sz w:val="22"/>
        </w:rPr>
        <w:t>If the IRR of the transaction does NOT exceed the Capital Price, the transaction should be rejected or re-priced.</w:t>
      </w:r>
    </w:p>
    <w:p>
      <w:pPr>
        <w:pStyle w:val="Normal"/>
        <w:jc w:val="both"/>
        <w:rPr>
          <w:sz w:val="22"/>
        </w:rPr>
      </w:pPr>
      <w:r>
        <w:rPr>
          <w:sz w:val="22"/>
        </w:rPr>
      </w:r>
    </w:p>
    <w:p>
      <w:pPr>
        <w:pStyle w:val="Normal"/>
        <w:jc w:val="both"/>
        <w:rPr>
          <w:sz w:val="22"/>
        </w:rPr>
      </w:pPr>
      <w:r>
        <w:rPr>
          <w:sz w:val="22"/>
        </w:rPr>
        <w:t>A summary of all E-DASHs approved will be provided to the respective Business Unit Managers and to Global Finance at least weekly.</w:t>
      </w:r>
    </w:p>
    <w:p>
      <w:pPr>
        <w:pStyle w:val="Heading1"/>
        <w:ind w:hanging="0" w:start="0"/>
        <w:jc w:val="both"/>
        <w:rPr>
          <w:rFonts w:ascii="Times New Roman" w:hAnsi="Times New Roman" w:cs="Times New Roman"/>
          <w:sz w:val="22"/>
        </w:rPr>
      </w:pPr>
      <w:r>
        <w:rPr>
          <w:rFonts w:cs="Times New Roman" w:ascii="Times New Roman" w:hAnsi="Times New Roman"/>
          <w:sz w:val="22"/>
        </w:rPr>
        <w:t>Standard DASH Process</w:t>
      </w:r>
    </w:p>
    <w:p>
      <w:pPr>
        <w:pStyle w:val="Normal"/>
        <w:jc w:val="both"/>
        <w:rPr>
          <w:rFonts w:ascii="Times New Roman" w:hAnsi="Times New Roman" w:cs="Times New Roman"/>
          <w:sz w:val="22"/>
        </w:rPr>
      </w:pPr>
      <w:r>
        <w:rPr>
          <w:rFonts w:cs="Times New Roman"/>
          <w:sz w:val="22"/>
        </w:rPr>
      </w:r>
    </w:p>
    <w:p>
      <w:pPr>
        <w:pStyle w:val="Normal"/>
        <w:jc w:val="both"/>
        <w:rPr/>
      </w:pPr>
      <w:r>
        <w:rPr>
          <w:sz w:val="22"/>
        </w:rPr>
        <w:t xml:space="preserve">If transaction does not meet the criteria of the E-DASH matrix or will not be documented using standard documentation for an embedded financing transaction, the Originator must prepare a standard DASH for submission to RAC-Underwriting </w:t>
      </w:r>
      <w:r>
        <w:rPr>
          <w:sz w:val="22"/>
          <w:u w:val="single"/>
        </w:rPr>
        <w:t>prior</w:t>
      </w:r>
      <w:r>
        <w:rPr>
          <w:sz w:val="22"/>
        </w:rPr>
        <w:t xml:space="preserve"> to confirming a transaction with the counter-party.</w:t>
      </w:r>
      <w:r>
        <w:br w:type="page"/>
      </w:r>
    </w:p>
    <w:p>
      <w:pPr>
        <w:pStyle w:val="Normal"/>
        <w:jc w:val="center"/>
        <w:rPr>
          <w:sz w:val="22"/>
        </w:rPr>
      </w:pPr>
      <w:r>
        <w:rPr>
          <w:sz w:val="22"/>
        </w:rPr>
        <w:t>[FORM OF E-DASH]</w:t>
      </w:r>
    </w:p>
    <w:p>
      <w:pPr>
        <w:pStyle w:val="Normal"/>
        <w:jc w:val="center"/>
        <w:rPr>
          <w:sz w:val="22"/>
        </w:rPr>
      </w:pPr>
      <w:r>
        <w:rPr>
          <w:sz w:val="22"/>
        </w:rPr>
      </w:r>
    </w:p>
    <w:p>
      <w:pPr>
        <w:pStyle w:val="Normal"/>
        <w:jc w:val="center"/>
        <w:rPr>
          <w:sz w:val="22"/>
        </w:rPr>
      </w:pPr>
      <w:r>
        <w:rPr>
          <w:sz w:val="22"/>
        </w:rPr>
      </w:r>
    </w:p>
    <w:p>
      <w:pPr>
        <w:pStyle w:val="Heading"/>
        <w:rPr>
          <w:b/>
          <w:sz w:val="32"/>
        </w:rPr>
      </w:pPr>
      <w:r>
        <w:rPr>
          <w:b/>
          <w:sz w:val="32"/>
        </w:rPr>
        <w:t>ENRON RISK ASSESSMENT AND CONTROL</w:t>
      </w:r>
    </w:p>
    <w:p>
      <w:pPr>
        <w:pStyle w:val="Normal"/>
        <w:jc w:val="center"/>
        <w:rPr>
          <w:b/>
          <w:sz w:val="32"/>
        </w:rPr>
      </w:pPr>
      <w:r>
        <w:rPr>
          <w:b/>
          <w:sz w:val="32"/>
        </w:rPr>
        <w:t xml:space="preserve"> </w:t>
      </w:r>
      <w:r>
        <w:rPr>
          <w:b/>
          <w:sz w:val="32"/>
        </w:rPr>
        <w:t>EXPEDITED DEAL APPROVAL SHEET (E-DASH)</w:t>
      </w:r>
    </w:p>
    <w:p>
      <w:pPr>
        <w:pStyle w:val="Normal"/>
        <w:jc w:val="center"/>
        <w:rPr>
          <w:b/>
          <w:sz w:val="32"/>
        </w:rPr>
      </w:pPr>
      <w:r>
        <w:rPr>
          <w:b/>
          <w:sz w:val="32"/>
        </w:rPr>
      </w:r>
    </w:p>
    <w:p>
      <w:pPr>
        <w:pStyle w:val="Normal"/>
        <w:rPr>
          <w:b/>
          <w:sz w:val="32"/>
        </w:rPr>
      </w:pPr>
      <w:r>
        <w:rPr>
          <w:b/>
          <w:sz w:val="32"/>
        </w:rPr>
      </w:r>
    </w:p>
    <w:tbl>
      <w:tblPr>
        <w:tblW w:w="9810" w:type="dxa"/>
        <w:jc w:val="start"/>
        <w:tblInd w:w="18" w:type="dxa"/>
        <w:tblLayout w:type="fixed"/>
        <w:tblCellMar>
          <w:top w:w="0" w:type="dxa"/>
          <w:start w:w="108" w:type="dxa"/>
          <w:bottom w:w="0" w:type="dxa"/>
          <w:end w:w="108" w:type="dxa"/>
        </w:tblCellMar>
      </w:tblPr>
      <w:tblGrid>
        <w:gridCol w:w="4950"/>
        <w:gridCol w:w="4860"/>
      </w:tblGrid>
      <w:tr>
        <w:trPr>
          <w:trHeight w:val="1033" w:hRule="atLeast"/>
        </w:trPr>
        <w:tc>
          <w:tcPr>
            <w:tcW w:w="4950" w:type="dxa"/>
            <w:tcBorders>
              <w:top w:val="single" w:sz="8" w:space="0" w:color="000000"/>
              <w:bottom w:val="single" w:sz="8" w:space="0" w:color="000000"/>
            </w:tcBorders>
          </w:tcPr>
          <w:p>
            <w:pPr>
              <w:pStyle w:val="Normal"/>
              <w:ind w:end="792"/>
              <w:rPr>
                <w:b/>
              </w:rPr>
            </w:pPr>
            <w:r>
              <w:rPr>
                <w:b/>
              </w:rPr>
              <w:t>DEAL NAME:</w:t>
            </w:r>
          </w:p>
          <w:p>
            <w:pPr>
              <w:pStyle w:val="Normal"/>
              <w:ind w:end="792"/>
              <w:rPr/>
            </w:pPr>
            <w:r>
              <w:rPr/>
              <w:t xml:space="preserve">Counterparty: </w:t>
            </w:r>
          </w:p>
          <w:p>
            <w:pPr>
              <w:pStyle w:val="Normal"/>
              <w:ind w:end="792"/>
              <w:rPr/>
            </w:pPr>
            <w:r>
              <w:rPr/>
              <w:t xml:space="preserve">Credit Rating:  </w:t>
            </w:r>
          </w:p>
          <w:p>
            <w:pPr>
              <w:pStyle w:val="Normal"/>
              <w:rPr/>
            </w:pPr>
            <w:r>
              <w:rPr/>
              <w:t xml:space="preserve">Business Unit: </w:t>
            </w:r>
          </w:p>
          <w:p>
            <w:pPr>
              <w:pStyle w:val="Normal"/>
              <w:rPr/>
            </w:pPr>
            <w:r>
              <w:rPr/>
              <w:t>Business Unit Originator:</w:t>
            </w:r>
          </w:p>
          <w:p>
            <w:pPr>
              <w:pStyle w:val="Header"/>
              <w:tabs>
                <w:tab w:val="left" w:pos="1530" w:leader="none"/>
                <w:tab w:val="center" w:pos="4320" w:leader="none"/>
                <w:tab w:val="right" w:pos="8640" w:leader="none"/>
              </w:tabs>
              <w:rPr/>
            </w:pPr>
            <w:r>
              <w:rPr/>
            </w:r>
          </w:p>
        </w:tc>
        <w:tc>
          <w:tcPr>
            <w:tcW w:w="4860" w:type="dxa"/>
            <w:tcBorders>
              <w:top w:val="single" w:sz="8" w:space="0" w:color="000000"/>
              <w:bottom w:val="single" w:sz="8" w:space="0" w:color="000000"/>
            </w:tcBorders>
          </w:tcPr>
          <w:p>
            <w:pPr>
              <w:pStyle w:val="Normal"/>
              <w:ind w:firstLine="90" w:start="-198" w:end="-738"/>
              <w:rPr/>
            </w:pPr>
            <w:r>
              <w:rPr/>
              <w:t xml:space="preserve">Date DASH Completed:  </w:t>
            </w:r>
          </w:p>
          <w:p>
            <w:pPr>
              <w:pStyle w:val="Normal"/>
              <w:ind w:firstLine="90" w:start="-198" w:end="-738"/>
              <w:rPr/>
            </w:pPr>
            <w:r>
              <w:rPr/>
              <w:t>Transaction Start Date:</w:t>
            </w:r>
          </w:p>
          <w:p>
            <w:pPr>
              <w:pStyle w:val="Normal"/>
              <w:ind w:firstLine="90" w:start="-198" w:end="-738"/>
              <w:rPr/>
            </w:pPr>
            <w:r>
              <w:rPr/>
              <w:t>Transaction Maturity Date:</w:t>
            </w:r>
          </w:p>
          <w:p>
            <w:pPr>
              <w:pStyle w:val="Normal"/>
              <w:ind w:firstLine="90" w:start="-198" w:end="-738"/>
              <w:rPr/>
            </w:pPr>
            <w:r>
              <w:rPr/>
              <w:t>Approval Amount:</w:t>
            </w:r>
          </w:p>
          <w:p>
            <w:pPr>
              <w:pStyle w:val="Normal"/>
              <w:ind w:firstLine="90" w:start="-198" w:end="-738"/>
              <w:rPr/>
            </w:pPr>
            <w:r>
              <w:rPr/>
            </w:r>
          </w:p>
          <w:p>
            <w:pPr>
              <w:pStyle w:val="Normal"/>
              <w:ind w:firstLine="90" w:start="-198" w:end="-738"/>
              <w:rPr/>
            </w:pPr>
            <w:r>
              <w:rPr/>
            </w:r>
          </w:p>
        </w:tc>
      </w:tr>
    </w:tbl>
    <w:p>
      <w:pPr>
        <w:pStyle w:val="Heading1"/>
        <w:numPr>
          <w:ilvl w:val="0"/>
          <w:numId w:val="3"/>
        </w:numPr>
        <w:rPr>
          <w:sz w:val="24"/>
        </w:rPr>
      </w:pPr>
      <w:r>
        <w:rPr>
          <w:sz w:val="24"/>
        </w:rPr>
        <w:t>DEAL DESCRIPTION</w:t>
      </w:r>
    </w:p>
    <w:p>
      <w:pPr>
        <w:pStyle w:val="Normal"/>
        <w:rPr/>
      </w:pPr>
      <w:r>
        <w:rPr/>
        <w:t xml:space="preserve">  </w:t>
      </w:r>
    </w:p>
    <w:p>
      <w:pPr>
        <w:pStyle w:val="Normal"/>
        <w:rPr/>
      </w:pPr>
      <w:r>
        <w:rPr/>
      </w:r>
    </w:p>
    <w:p>
      <w:pPr>
        <w:pStyle w:val="Normal"/>
        <w:rPr/>
      </w:pPr>
      <w:r>
        <w:rPr/>
      </w:r>
    </w:p>
    <w:p>
      <w:pPr>
        <w:pStyle w:val="Normal"/>
        <w:rPr/>
      </w:pPr>
      <w:r>
        <w:rPr/>
      </w:r>
    </w:p>
    <w:p>
      <w:pPr>
        <w:pStyle w:val="Heading1"/>
        <w:numPr>
          <w:ilvl w:val="0"/>
          <w:numId w:val="3"/>
        </w:numPr>
        <w:rPr>
          <w:sz w:val="24"/>
        </w:rPr>
      </w:pPr>
      <w:r>
        <w:rPr>
          <w:sz w:val="24"/>
        </w:rPr>
        <w:t>PRICING AND RETURN SUMMARY</w:t>
      </w:r>
    </w:p>
    <w:p>
      <w:pPr>
        <w:pStyle w:val="Normal"/>
        <w:rPr>
          <w:sz w:val="24"/>
        </w:rPr>
      </w:pPr>
      <w:r>
        <w:rPr>
          <w:sz w:val="24"/>
        </w:rPr>
      </w:r>
    </w:p>
    <w:p>
      <w:pPr>
        <w:pStyle w:val="Normal"/>
        <w:ind w:start="360" w:end="0"/>
        <w:rPr/>
      </w:pPr>
      <w:r>
        <w:rPr/>
        <w:t>Risk-Free Rate (LIBOR):</w:t>
        <w:tab/>
        <w:tab/>
        <w:t>X.xx%</w:t>
        <w:tab/>
        <w:t>(must be for period relevant to length of transaction)</w:t>
      </w:r>
    </w:p>
    <w:p>
      <w:pPr>
        <w:pStyle w:val="Normal"/>
        <w:ind w:start="360" w:end="0"/>
        <w:rPr/>
      </w:pPr>
      <w:r>
        <w:rPr/>
        <w:t>Cost of Structured Liquidity:</w:t>
        <w:tab/>
        <w:tab/>
        <w:t>X.xx%</w:t>
        <w:tab/>
        <w:t>(provided by Business Unit CFO)</w:t>
      </w:r>
    </w:p>
    <w:p>
      <w:pPr>
        <w:pStyle w:val="Normal"/>
        <w:ind w:start="360" w:end="0"/>
        <w:rPr/>
      </w:pPr>
      <w:r>
        <w:rPr/>
        <w:t>Syndication Premium:</w:t>
        <w:tab/>
        <w:tab/>
        <w:tab/>
        <w:t>X.xx%</w:t>
        <w:tab/>
        <w:t>(provided by RAC-Underwriting)</w:t>
      </w:r>
    </w:p>
    <w:p>
      <w:pPr>
        <w:pStyle w:val="Normal"/>
        <w:ind w:start="360" w:end="0"/>
        <w:rPr/>
      </w:pPr>
      <w:r>
        <w:rPr/>
        <w:t>Credit Reserve Amount:</w:t>
        <w:tab/>
        <w:tab/>
        <w:t>$XXX</w:t>
        <w:tab/>
        <w:t>(provided by RAC-Credit Risk Management)</w:t>
      </w:r>
    </w:p>
    <w:p>
      <w:pPr>
        <w:pStyle w:val="Normal"/>
        <w:ind w:start="360" w:end="0"/>
        <w:rPr/>
      </w:pPr>
      <w:r>
        <w:rPr/>
      </w:r>
    </w:p>
    <w:p>
      <w:pPr>
        <w:pStyle w:val="Normal"/>
        <w:ind w:start="360" w:end="0"/>
        <w:rPr/>
      </w:pPr>
      <w:r>
        <w:rPr/>
        <w:t>Implied Capital Price:</w:t>
        <w:tab/>
        <w:tab/>
        <w:tab/>
        <w:t>X.xx%</w:t>
        <w:tab/>
        <w:t>(calculated by RAC)</w:t>
      </w:r>
    </w:p>
    <w:p>
      <w:pPr>
        <w:pStyle w:val="Normal"/>
        <w:ind w:start="360" w:end="0"/>
        <w:rPr/>
      </w:pPr>
      <w:r>
        <w:rPr/>
        <w:t>Transaction IRR:</w:t>
        <w:tab/>
        <w:tab/>
        <w:tab/>
        <w:t>XX.x%</w:t>
        <w:tab/>
        <w:t>(calculated by RAC)</w:t>
      </w:r>
    </w:p>
    <w:p>
      <w:pPr>
        <w:pStyle w:val="Normal"/>
        <w:rPr/>
      </w:pPr>
      <w:r>
        <w:rPr/>
      </w:r>
    </w:p>
    <w:p>
      <w:pPr>
        <w:pStyle w:val="Normal"/>
        <w:rPr/>
      </w:pPr>
      <w:r>
        <w:rPr/>
      </w:r>
    </w:p>
    <w:tbl>
      <w:tblPr>
        <w:tblW w:w="10368" w:type="dxa"/>
        <w:jc w:val="start"/>
        <w:tblInd w:w="18" w:type="dxa"/>
        <w:tblLayout w:type="fixed"/>
        <w:tblCellMar>
          <w:top w:w="0" w:type="dxa"/>
          <w:start w:w="108" w:type="dxa"/>
          <w:bottom w:w="0" w:type="dxa"/>
          <w:end w:w="108" w:type="dxa"/>
        </w:tblCellMar>
      </w:tblPr>
      <w:tblGrid>
        <w:gridCol w:w="2448"/>
        <w:gridCol w:w="360"/>
        <w:gridCol w:w="2932"/>
        <w:gridCol w:w="354"/>
        <w:gridCol w:w="2924"/>
        <w:gridCol w:w="293"/>
        <w:gridCol w:w="1057"/>
      </w:tblGrid>
      <w:tr>
        <w:trPr>
          <w:trHeight w:val="405" w:hRule="atLeast"/>
        </w:trPr>
        <w:tc>
          <w:tcPr>
            <w:tcW w:w="2448" w:type="dxa"/>
            <w:tcBorders>
              <w:top w:val="single" w:sz="4" w:space="0" w:color="000000"/>
            </w:tcBorders>
            <w:vAlign w:val="bottom"/>
          </w:tcPr>
          <w:p>
            <w:pPr>
              <w:pStyle w:val="Heading1"/>
              <w:numPr>
                <w:ilvl w:val="0"/>
                <w:numId w:val="3"/>
              </w:numPr>
              <w:spacing w:before="240" w:after="60"/>
              <w:rPr>
                <w:sz w:val="24"/>
              </w:rPr>
            </w:pPr>
            <w:r>
              <w:rPr>
                <w:sz w:val="24"/>
              </w:rPr>
              <w:t>APPROVALS</w:t>
            </w:r>
          </w:p>
          <w:p>
            <w:pPr>
              <w:pStyle w:val="Normal"/>
              <w:rPr>
                <w:sz w:val="24"/>
              </w:rPr>
            </w:pPr>
            <w:r>
              <w:rPr>
                <w:sz w:val="24"/>
              </w:rPr>
            </w:r>
          </w:p>
        </w:tc>
        <w:tc>
          <w:tcPr>
            <w:tcW w:w="360" w:type="dxa"/>
            <w:tcBorders>
              <w:top w:val="single" w:sz="4" w:space="0" w:color="000000"/>
            </w:tcBorders>
            <w:vAlign w:val="bottom"/>
          </w:tcPr>
          <w:p>
            <w:pPr>
              <w:pStyle w:val="Normal"/>
              <w:keepNext w:val="true"/>
              <w:snapToGrid w:val="false"/>
              <w:rPr>
                <w:b/>
              </w:rPr>
            </w:pPr>
            <w:r>
              <w:rPr>
                <w:b/>
              </w:rPr>
            </w:r>
          </w:p>
        </w:tc>
        <w:tc>
          <w:tcPr>
            <w:tcW w:w="2932" w:type="dxa"/>
            <w:tcBorders>
              <w:top w:val="single" w:sz="4" w:space="0" w:color="000000"/>
            </w:tcBorders>
            <w:vAlign w:val="bottom"/>
          </w:tcPr>
          <w:p>
            <w:pPr>
              <w:pStyle w:val="Normal"/>
              <w:keepNext w:val="true"/>
              <w:jc w:val="center"/>
              <w:rPr>
                <w:b/>
              </w:rPr>
            </w:pPr>
            <w:r>
              <w:rPr>
                <w:b/>
              </w:rPr>
              <w:t>Name</w:t>
            </w:r>
          </w:p>
        </w:tc>
        <w:tc>
          <w:tcPr>
            <w:tcW w:w="354" w:type="dxa"/>
            <w:tcBorders>
              <w:top w:val="single" w:sz="4" w:space="0" w:color="000000"/>
            </w:tcBorders>
            <w:vAlign w:val="bottom"/>
          </w:tcPr>
          <w:p>
            <w:pPr>
              <w:pStyle w:val="Normal"/>
              <w:keepNext w:val="true"/>
              <w:snapToGrid w:val="false"/>
              <w:jc w:val="center"/>
              <w:rPr>
                <w:b/>
              </w:rPr>
            </w:pPr>
            <w:r>
              <w:rPr>
                <w:b/>
              </w:rPr>
            </w:r>
          </w:p>
        </w:tc>
        <w:tc>
          <w:tcPr>
            <w:tcW w:w="2924" w:type="dxa"/>
            <w:tcBorders>
              <w:top w:val="single" w:sz="4" w:space="0" w:color="000000"/>
            </w:tcBorders>
            <w:vAlign w:val="bottom"/>
          </w:tcPr>
          <w:p>
            <w:pPr>
              <w:pStyle w:val="Normal"/>
              <w:keepNext w:val="true"/>
              <w:jc w:val="center"/>
              <w:rPr>
                <w:b/>
              </w:rPr>
            </w:pPr>
            <w:r>
              <w:rPr>
                <w:b/>
              </w:rPr>
              <w:t>Signature</w:t>
            </w:r>
          </w:p>
        </w:tc>
        <w:tc>
          <w:tcPr>
            <w:tcW w:w="293" w:type="dxa"/>
            <w:tcBorders>
              <w:top w:val="single" w:sz="4" w:space="0" w:color="000000"/>
            </w:tcBorders>
            <w:vAlign w:val="bottom"/>
          </w:tcPr>
          <w:p>
            <w:pPr>
              <w:pStyle w:val="Normal"/>
              <w:keepNext w:val="true"/>
              <w:snapToGrid w:val="false"/>
              <w:jc w:val="center"/>
              <w:rPr>
                <w:b/>
              </w:rPr>
            </w:pPr>
            <w:r>
              <w:rPr>
                <w:b/>
              </w:rPr>
            </w:r>
          </w:p>
        </w:tc>
        <w:tc>
          <w:tcPr>
            <w:tcW w:w="1057" w:type="dxa"/>
            <w:tcBorders>
              <w:top w:val="single" w:sz="4" w:space="0" w:color="000000"/>
            </w:tcBorders>
            <w:vAlign w:val="bottom"/>
          </w:tcPr>
          <w:p>
            <w:pPr>
              <w:pStyle w:val="Normal"/>
              <w:keepNext w:val="true"/>
              <w:jc w:val="center"/>
              <w:rPr>
                <w:b/>
              </w:rPr>
            </w:pPr>
            <w:r>
              <w:rPr>
                <w:b/>
              </w:rPr>
              <w:t>Date</w:t>
            </w:r>
          </w:p>
        </w:tc>
      </w:tr>
      <w:tr>
        <w:trPr>
          <w:trHeight w:val="297" w:hRule="atLeast"/>
        </w:trPr>
        <w:tc>
          <w:tcPr>
            <w:tcW w:w="2448" w:type="dxa"/>
            <w:tcBorders/>
          </w:tcPr>
          <w:p>
            <w:pPr>
              <w:pStyle w:val="Normal"/>
              <w:spacing w:before="120" w:after="0"/>
              <w:rPr/>
            </w:pPr>
            <w:r>
              <w:rPr/>
              <w:t>Originator</w:t>
            </w:r>
          </w:p>
        </w:tc>
        <w:tc>
          <w:tcPr>
            <w:tcW w:w="360" w:type="dxa"/>
            <w:tcBorders/>
          </w:tcPr>
          <w:p>
            <w:pPr>
              <w:pStyle w:val="Normal"/>
              <w:snapToGrid w:val="false"/>
              <w:spacing w:before="120" w:after="0"/>
              <w:rPr/>
            </w:pPr>
            <w:r>
              <w:rPr/>
            </w:r>
          </w:p>
        </w:tc>
        <w:tc>
          <w:tcPr>
            <w:tcW w:w="2932" w:type="dxa"/>
            <w:tcBorders>
              <w:bottom w:val="single" w:sz="6" w:space="0" w:color="000000"/>
            </w:tcBorders>
          </w:tcPr>
          <w:p>
            <w:pPr>
              <w:pStyle w:val="Normal"/>
              <w:snapToGrid w:val="false"/>
              <w:spacing w:before="120" w:after="0"/>
              <w:rPr/>
            </w:pPr>
            <w:r>
              <w:rPr/>
            </w:r>
          </w:p>
        </w:tc>
        <w:tc>
          <w:tcPr>
            <w:tcW w:w="354" w:type="dxa"/>
            <w:tcBorders/>
          </w:tcPr>
          <w:p>
            <w:pPr>
              <w:pStyle w:val="Normal"/>
              <w:snapToGrid w:val="false"/>
              <w:spacing w:before="120" w:after="0"/>
              <w:rPr/>
            </w:pPr>
            <w:r>
              <w:rPr/>
            </w:r>
          </w:p>
        </w:tc>
        <w:tc>
          <w:tcPr>
            <w:tcW w:w="2924" w:type="dxa"/>
            <w:tcBorders>
              <w:bottom w:val="single" w:sz="6" w:space="0" w:color="000000"/>
            </w:tcBorders>
          </w:tcPr>
          <w:p>
            <w:pPr>
              <w:pStyle w:val="Normal"/>
              <w:snapToGrid w:val="false"/>
              <w:spacing w:before="120" w:after="0"/>
              <w:rPr/>
            </w:pPr>
            <w:r>
              <w:rPr/>
            </w:r>
          </w:p>
        </w:tc>
        <w:tc>
          <w:tcPr>
            <w:tcW w:w="293" w:type="dxa"/>
            <w:tcBorders/>
          </w:tcPr>
          <w:p>
            <w:pPr>
              <w:pStyle w:val="Normal"/>
              <w:snapToGrid w:val="false"/>
              <w:spacing w:before="120" w:after="0"/>
              <w:rPr/>
            </w:pPr>
            <w:r>
              <w:rPr/>
            </w:r>
          </w:p>
        </w:tc>
        <w:tc>
          <w:tcPr>
            <w:tcW w:w="1057" w:type="dxa"/>
            <w:tcBorders>
              <w:bottom w:val="single" w:sz="6" w:space="0" w:color="000000"/>
            </w:tcBorders>
          </w:tcPr>
          <w:p>
            <w:pPr>
              <w:pStyle w:val="Normal"/>
              <w:snapToGrid w:val="false"/>
              <w:spacing w:before="120" w:after="0"/>
              <w:rPr/>
            </w:pPr>
            <w:r>
              <w:rPr/>
            </w:r>
          </w:p>
        </w:tc>
      </w:tr>
      <w:tr>
        <w:trPr/>
        <w:tc>
          <w:tcPr>
            <w:tcW w:w="2448" w:type="dxa"/>
            <w:tcBorders/>
          </w:tcPr>
          <w:p>
            <w:pPr>
              <w:pStyle w:val="Normal"/>
              <w:spacing w:before="120" w:after="0"/>
              <w:rPr/>
            </w:pPr>
            <w:r>
              <w:rPr/>
              <w:t>RAC</w:t>
            </w:r>
          </w:p>
        </w:tc>
        <w:tc>
          <w:tcPr>
            <w:tcW w:w="360" w:type="dxa"/>
            <w:tcBorders/>
          </w:tcPr>
          <w:p>
            <w:pPr>
              <w:pStyle w:val="Normal"/>
              <w:snapToGrid w:val="false"/>
              <w:spacing w:before="120" w:after="0"/>
              <w:rPr/>
            </w:pPr>
            <w:r>
              <w:rPr/>
            </w:r>
          </w:p>
        </w:tc>
        <w:tc>
          <w:tcPr>
            <w:tcW w:w="2932" w:type="dxa"/>
            <w:tcBorders>
              <w:top w:val="single" w:sz="6" w:space="0" w:color="000000"/>
              <w:bottom w:val="single" w:sz="6" w:space="0" w:color="000000"/>
            </w:tcBorders>
          </w:tcPr>
          <w:p>
            <w:pPr>
              <w:pStyle w:val="Normal"/>
              <w:spacing w:before="120" w:after="0"/>
              <w:rPr/>
            </w:pPr>
            <w:r>
              <w:rPr/>
              <w:t>Dave Gorte/Bill Bradford</w:t>
            </w:r>
          </w:p>
        </w:tc>
        <w:tc>
          <w:tcPr>
            <w:tcW w:w="354" w:type="dxa"/>
            <w:tcBorders/>
          </w:tcPr>
          <w:p>
            <w:pPr>
              <w:pStyle w:val="Normal"/>
              <w:snapToGrid w:val="false"/>
              <w:spacing w:before="120" w:after="0"/>
              <w:rPr/>
            </w:pPr>
            <w:r>
              <w:rPr/>
            </w:r>
          </w:p>
        </w:tc>
        <w:tc>
          <w:tcPr>
            <w:tcW w:w="2924" w:type="dxa"/>
            <w:tcBorders>
              <w:top w:val="single" w:sz="6" w:space="0" w:color="000000"/>
              <w:bottom w:val="single" w:sz="6" w:space="0" w:color="000000"/>
            </w:tcBorders>
          </w:tcPr>
          <w:p>
            <w:pPr>
              <w:pStyle w:val="Normal"/>
              <w:snapToGrid w:val="false"/>
              <w:spacing w:before="120" w:after="0"/>
              <w:rPr/>
            </w:pPr>
            <w:r>
              <w:rPr/>
            </w:r>
          </w:p>
        </w:tc>
        <w:tc>
          <w:tcPr>
            <w:tcW w:w="293" w:type="dxa"/>
            <w:tcBorders/>
          </w:tcPr>
          <w:p>
            <w:pPr>
              <w:pStyle w:val="Normal"/>
              <w:snapToGrid w:val="false"/>
              <w:spacing w:before="120" w:after="0"/>
              <w:rPr/>
            </w:pPr>
            <w:r>
              <w:rPr/>
            </w:r>
          </w:p>
        </w:tc>
        <w:tc>
          <w:tcPr>
            <w:tcW w:w="1057" w:type="dxa"/>
            <w:tcBorders>
              <w:top w:val="single" w:sz="6" w:space="0" w:color="000000"/>
            </w:tcBorders>
          </w:tcPr>
          <w:p>
            <w:pPr>
              <w:pStyle w:val="Normal"/>
              <w:snapToGrid w:val="false"/>
              <w:spacing w:before="120" w:after="0"/>
              <w:rPr/>
            </w:pPr>
            <w:r>
              <w:rPr/>
            </w:r>
          </w:p>
        </w:tc>
      </w:tr>
      <w:tr>
        <w:trPr/>
        <w:tc>
          <w:tcPr>
            <w:tcW w:w="2448" w:type="dxa"/>
            <w:tcBorders/>
          </w:tcPr>
          <w:p>
            <w:pPr>
              <w:pStyle w:val="Normal"/>
              <w:spacing w:before="120" w:after="0"/>
              <w:rPr/>
            </w:pPr>
            <w:r>
              <w:rPr/>
              <w:t>Business Unit CFO</w:t>
            </w:r>
          </w:p>
        </w:tc>
        <w:tc>
          <w:tcPr>
            <w:tcW w:w="360" w:type="dxa"/>
            <w:tcBorders/>
          </w:tcPr>
          <w:p>
            <w:pPr>
              <w:pStyle w:val="Normal"/>
              <w:snapToGrid w:val="false"/>
              <w:spacing w:before="120" w:after="0"/>
              <w:rPr/>
            </w:pPr>
            <w:r>
              <w:rPr/>
            </w:r>
          </w:p>
        </w:tc>
        <w:tc>
          <w:tcPr>
            <w:tcW w:w="2932" w:type="dxa"/>
            <w:tcBorders>
              <w:top w:val="single" w:sz="6" w:space="0" w:color="000000"/>
              <w:bottom w:val="single" w:sz="6" w:space="0" w:color="000000"/>
            </w:tcBorders>
          </w:tcPr>
          <w:p>
            <w:pPr>
              <w:pStyle w:val="Normal"/>
              <w:snapToGrid w:val="false"/>
              <w:spacing w:before="120" w:after="0"/>
              <w:rPr/>
            </w:pPr>
            <w:r>
              <w:rPr/>
            </w:r>
          </w:p>
        </w:tc>
        <w:tc>
          <w:tcPr>
            <w:tcW w:w="354" w:type="dxa"/>
            <w:tcBorders/>
          </w:tcPr>
          <w:p>
            <w:pPr>
              <w:pStyle w:val="Normal"/>
              <w:snapToGrid w:val="false"/>
              <w:spacing w:before="120" w:after="0"/>
              <w:rPr/>
            </w:pPr>
            <w:r>
              <w:rPr/>
            </w:r>
          </w:p>
        </w:tc>
        <w:tc>
          <w:tcPr>
            <w:tcW w:w="2924" w:type="dxa"/>
            <w:tcBorders>
              <w:top w:val="single" w:sz="6" w:space="0" w:color="000000"/>
              <w:bottom w:val="single" w:sz="6" w:space="0" w:color="000000"/>
            </w:tcBorders>
          </w:tcPr>
          <w:p>
            <w:pPr>
              <w:pStyle w:val="Normal"/>
              <w:snapToGrid w:val="false"/>
              <w:spacing w:before="120" w:after="0"/>
              <w:rPr/>
            </w:pPr>
            <w:r>
              <w:rPr/>
            </w:r>
          </w:p>
        </w:tc>
        <w:tc>
          <w:tcPr>
            <w:tcW w:w="293" w:type="dxa"/>
            <w:tcBorders/>
          </w:tcPr>
          <w:p>
            <w:pPr>
              <w:pStyle w:val="Normal"/>
              <w:snapToGrid w:val="false"/>
              <w:spacing w:before="120" w:after="0"/>
              <w:rPr/>
            </w:pPr>
            <w:r>
              <w:rPr/>
            </w:r>
          </w:p>
        </w:tc>
        <w:tc>
          <w:tcPr>
            <w:tcW w:w="1057" w:type="dxa"/>
            <w:tcBorders>
              <w:top w:val="single" w:sz="6" w:space="0" w:color="000000"/>
              <w:bottom w:val="single" w:sz="4" w:space="0" w:color="000000"/>
            </w:tcBorders>
          </w:tcPr>
          <w:p>
            <w:pPr>
              <w:pStyle w:val="Normal"/>
              <w:snapToGrid w:val="false"/>
              <w:spacing w:before="120" w:after="0"/>
              <w:rPr/>
            </w:pPr>
            <w:r>
              <w:rPr/>
            </w:r>
          </w:p>
        </w:tc>
      </w:tr>
      <w:tr>
        <w:trPr/>
        <w:tc>
          <w:tcPr>
            <w:tcW w:w="2448" w:type="dxa"/>
            <w:tcBorders/>
          </w:tcPr>
          <w:p>
            <w:pPr>
              <w:pStyle w:val="Normal"/>
              <w:snapToGrid w:val="false"/>
              <w:spacing w:before="120" w:after="0"/>
              <w:rPr/>
            </w:pPr>
            <w:r>
              <w:rPr/>
            </w:r>
          </w:p>
        </w:tc>
        <w:tc>
          <w:tcPr>
            <w:tcW w:w="360" w:type="dxa"/>
            <w:tcBorders/>
          </w:tcPr>
          <w:p>
            <w:pPr>
              <w:pStyle w:val="Normal"/>
              <w:snapToGrid w:val="false"/>
              <w:spacing w:before="120" w:after="0"/>
              <w:rPr/>
            </w:pPr>
            <w:r>
              <w:rPr/>
            </w:r>
          </w:p>
        </w:tc>
        <w:tc>
          <w:tcPr>
            <w:tcW w:w="2932" w:type="dxa"/>
            <w:tcBorders/>
          </w:tcPr>
          <w:p>
            <w:pPr>
              <w:pStyle w:val="Normal"/>
              <w:snapToGrid w:val="false"/>
              <w:spacing w:before="120" w:after="0"/>
              <w:rPr/>
            </w:pPr>
            <w:r>
              <w:rPr/>
            </w:r>
          </w:p>
        </w:tc>
        <w:tc>
          <w:tcPr>
            <w:tcW w:w="354" w:type="dxa"/>
            <w:tcBorders/>
          </w:tcPr>
          <w:p>
            <w:pPr>
              <w:pStyle w:val="Normal"/>
              <w:snapToGrid w:val="false"/>
              <w:spacing w:before="120" w:after="0"/>
              <w:rPr/>
            </w:pPr>
            <w:r>
              <w:rPr/>
            </w:r>
          </w:p>
        </w:tc>
        <w:tc>
          <w:tcPr>
            <w:tcW w:w="2924" w:type="dxa"/>
            <w:tcBorders/>
          </w:tcPr>
          <w:p>
            <w:pPr>
              <w:pStyle w:val="Normal"/>
              <w:snapToGrid w:val="false"/>
              <w:spacing w:before="120" w:after="0"/>
              <w:rPr/>
            </w:pPr>
            <w:r>
              <w:rPr/>
            </w:r>
          </w:p>
        </w:tc>
        <w:tc>
          <w:tcPr>
            <w:tcW w:w="293" w:type="dxa"/>
            <w:tcBorders/>
          </w:tcPr>
          <w:p>
            <w:pPr>
              <w:pStyle w:val="Normal"/>
              <w:snapToGrid w:val="false"/>
              <w:spacing w:before="120" w:after="0"/>
              <w:rPr/>
            </w:pPr>
            <w:r>
              <w:rPr/>
            </w:r>
          </w:p>
        </w:tc>
        <w:tc>
          <w:tcPr>
            <w:tcW w:w="1057" w:type="dxa"/>
            <w:tcBorders/>
          </w:tcPr>
          <w:p>
            <w:pPr>
              <w:pStyle w:val="Normal"/>
              <w:snapToGrid w:val="false"/>
              <w:spacing w:before="120" w:after="0"/>
              <w:rPr/>
            </w:pPr>
            <w:r>
              <w:rPr/>
            </w:r>
          </w:p>
        </w:tc>
      </w:tr>
      <w:tr>
        <w:trPr/>
        <w:tc>
          <w:tcPr>
            <w:tcW w:w="2448" w:type="dxa"/>
            <w:tcBorders/>
          </w:tcPr>
          <w:p>
            <w:pPr>
              <w:pStyle w:val="Normal"/>
              <w:snapToGrid w:val="false"/>
              <w:spacing w:before="120" w:after="0"/>
              <w:rPr/>
            </w:pPr>
            <w:r>
              <w:rPr/>
            </w:r>
          </w:p>
        </w:tc>
        <w:tc>
          <w:tcPr>
            <w:tcW w:w="360" w:type="dxa"/>
            <w:tcBorders/>
          </w:tcPr>
          <w:p>
            <w:pPr>
              <w:pStyle w:val="Normal"/>
              <w:snapToGrid w:val="false"/>
              <w:spacing w:before="120" w:after="0"/>
              <w:rPr/>
            </w:pPr>
            <w:r>
              <w:rPr/>
            </w:r>
          </w:p>
        </w:tc>
        <w:tc>
          <w:tcPr>
            <w:tcW w:w="2932" w:type="dxa"/>
            <w:tcBorders/>
          </w:tcPr>
          <w:p>
            <w:pPr>
              <w:pStyle w:val="Normal"/>
              <w:snapToGrid w:val="false"/>
              <w:spacing w:before="120" w:after="0"/>
              <w:rPr/>
            </w:pPr>
            <w:r>
              <w:rPr/>
            </w:r>
          </w:p>
        </w:tc>
        <w:tc>
          <w:tcPr>
            <w:tcW w:w="354" w:type="dxa"/>
            <w:tcBorders/>
          </w:tcPr>
          <w:p>
            <w:pPr>
              <w:pStyle w:val="Normal"/>
              <w:snapToGrid w:val="false"/>
              <w:spacing w:before="120" w:after="0"/>
              <w:rPr/>
            </w:pPr>
            <w:r>
              <w:rPr/>
            </w:r>
          </w:p>
        </w:tc>
        <w:tc>
          <w:tcPr>
            <w:tcW w:w="2924" w:type="dxa"/>
            <w:tcBorders/>
          </w:tcPr>
          <w:p>
            <w:pPr>
              <w:pStyle w:val="Normal"/>
              <w:snapToGrid w:val="false"/>
              <w:spacing w:before="120" w:after="0"/>
              <w:rPr/>
            </w:pPr>
            <w:r>
              <w:rPr/>
            </w:r>
          </w:p>
        </w:tc>
        <w:tc>
          <w:tcPr>
            <w:tcW w:w="293" w:type="dxa"/>
            <w:tcBorders/>
          </w:tcPr>
          <w:p>
            <w:pPr>
              <w:pStyle w:val="Normal"/>
              <w:snapToGrid w:val="false"/>
              <w:spacing w:before="120" w:after="0"/>
              <w:rPr/>
            </w:pPr>
            <w:r>
              <w:rPr/>
            </w:r>
          </w:p>
        </w:tc>
        <w:tc>
          <w:tcPr>
            <w:tcW w:w="1057" w:type="dxa"/>
            <w:tcBorders/>
          </w:tcPr>
          <w:p>
            <w:pPr>
              <w:pStyle w:val="Normal"/>
              <w:snapToGrid w:val="false"/>
              <w:spacing w:before="120" w:after="0"/>
              <w:rPr/>
            </w:pPr>
            <w:r>
              <w:rPr/>
            </w:r>
          </w:p>
        </w:tc>
      </w:tr>
    </w:tbl>
    <w:p>
      <w:pPr>
        <w:pStyle w:val="Normal"/>
        <w:rPr>
          <w:b/>
        </w:rPr>
      </w:pPr>
      <w:r>
        <w:rPr>
          <w:b/>
        </w:rPr>
      </w:r>
    </w:p>
    <w:p>
      <w:pPr>
        <w:pStyle w:val="Normal"/>
        <w:rPr>
          <w:b/>
          <w:sz w:val="22"/>
        </w:rPr>
      </w:pPr>
      <w:r>
        <w:rPr>
          <w:b/>
          <w:sz w:val="22"/>
        </w:rPr>
      </w:r>
    </w:p>
    <w:p>
      <w:pPr>
        <w:pStyle w:val="Normal"/>
        <w:rPr>
          <w:sz w:val="22"/>
        </w:rPr>
      </w:pPr>
      <w:r>
        <w:rPr>
          <w:sz w:val="22"/>
        </w:rPr>
      </w:r>
    </w:p>
    <w:p>
      <w:pPr>
        <w:pStyle w:val="Normal"/>
        <w:rPr>
          <w:sz w:val="22"/>
        </w:rPr>
      </w:pPr>
      <w:r>
        <w:rPr>
          <w:sz w:val="28"/>
        </w:rPr>
        <w:t>PLEASE ATTACH CONFIRMATION</w:t>
      </w:r>
      <w:r>
        <w:br w:type="page"/>
      </w:r>
    </w:p>
    <w:p>
      <w:pPr>
        <w:pStyle w:val="Normal"/>
        <w:jc w:val="center"/>
        <w:rPr>
          <w:sz w:val="28"/>
        </w:rPr>
      </w:pPr>
      <w:r>
        <w:rPr>
          <w:sz w:val="28"/>
        </w:rPr>
      </w:r>
    </w:p>
    <w:p>
      <w:pPr>
        <w:pStyle w:val="Normal"/>
        <w:jc w:val="center"/>
        <w:rPr>
          <w:sz w:val="28"/>
        </w:rPr>
      </w:pPr>
      <w:r>
        <w:rPr>
          <w:sz w:val="28"/>
        </w:rPr>
      </w:r>
    </w:p>
    <w:p>
      <w:pPr>
        <w:pStyle w:val="Normal"/>
        <w:jc w:val="center"/>
        <w:rPr>
          <w:sz w:val="28"/>
        </w:rPr>
      </w:pPr>
      <w:r>
        <w:rPr>
          <w:sz w:val="28"/>
        </w:rPr>
      </w:r>
    </w:p>
    <w:tbl>
      <w:tblPr>
        <w:tblW w:w="9886" w:type="dxa"/>
        <w:jc w:val="start"/>
        <w:tblInd w:w="0" w:type="dxa"/>
        <w:tblLayout w:type="fixed"/>
        <w:tblCellMar>
          <w:top w:w="0" w:type="dxa"/>
          <w:start w:w="30" w:type="dxa"/>
          <w:bottom w:w="0" w:type="dxa"/>
          <w:end w:w="30" w:type="dxa"/>
        </w:tblCellMar>
      </w:tblPr>
      <w:tblGrid>
        <w:gridCol w:w="2225"/>
        <w:gridCol w:w="1277"/>
        <w:gridCol w:w="1276"/>
        <w:gridCol w:w="1277"/>
        <w:gridCol w:w="1277"/>
        <w:gridCol w:w="1277"/>
        <w:gridCol w:w="1277"/>
      </w:tblGrid>
      <w:tr>
        <w:trPr>
          <w:trHeight w:val="475" w:hRule="atLeast"/>
        </w:trPr>
        <w:tc>
          <w:tcPr>
            <w:tcW w:w="9886" w:type="dxa"/>
            <w:gridSpan w:val="7"/>
            <w:tcBorders>
              <w:top w:val="single" w:sz="12" w:space="0" w:color="000000"/>
              <w:start w:val="single" w:sz="12" w:space="0" w:color="000000"/>
              <w:bottom w:val="single" w:sz="12" w:space="0" w:color="000000"/>
              <w:end w:val="single" w:sz="12" w:space="0" w:color="000000"/>
            </w:tcBorders>
            <w:shd w:fill="0000FF" w:val="clear"/>
          </w:tcPr>
          <w:p>
            <w:pPr>
              <w:pStyle w:val="Normal"/>
              <w:jc w:val="center"/>
              <w:rPr>
                <w:rFonts w:ascii="Arial" w:hAnsi="Arial" w:cs="Arial"/>
                <w:b/>
                <w:color w:val="FFFFFF"/>
                <w:sz w:val="28"/>
                <w:lang w:eastAsia="en-US"/>
              </w:rPr>
            </w:pPr>
            <w:r>
              <w:rPr>
                <w:rFonts w:cs="Arial" w:ascii="Arial" w:hAnsi="Arial"/>
                <w:b/>
                <w:color w:val="FFFFFF"/>
                <w:sz w:val="28"/>
                <w:lang w:eastAsia="en-US"/>
              </w:rPr>
              <w:t>E-DASH Matrix</w:t>
            </w:r>
          </w:p>
        </w:tc>
      </w:tr>
      <w:tr>
        <w:trPr>
          <w:trHeight w:val="353" w:hRule="atLeast"/>
        </w:trPr>
        <w:tc>
          <w:tcPr>
            <w:tcW w:w="2225" w:type="dxa"/>
            <w:tcBorders>
              <w:top w:val="single" w:sz="12" w:space="0" w:color="000000"/>
              <w:start w:val="single" w:sz="12" w:space="0" w:color="000000"/>
              <w:bottom w:val="single" w:sz="2" w:space="0" w:color="000000"/>
              <w:end w:val="single" w:sz="12" w:space="0" w:color="000000"/>
            </w:tcBorders>
            <w:shd w:fill="0000FF" w:val="clear"/>
          </w:tcPr>
          <w:p>
            <w:pPr>
              <w:pStyle w:val="Normal"/>
              <w:snapToGrid w:val="false"/>
              <w:jc w:val="center"/>
              <w:rPr>
                <w:rFonts w:ascii="Arial" w:hAnsi="Arial" w:cs="Arial"/>
                <w:b/>
                <w:color w:val="FFFFFF"/>
                <w:sz w:val="24"/>
                <w:lang w:eastAsia="en-US"/>
              </w:rPr>
            </w:pPr>
            <w:r>
              <w:rPr>
                <w:rFonts w:cs="Arial" w:ascii="Arial" w:hAnsi="Arial"/>
                <w:b/>
                <w:color w:val="FFFFFF"/>
                <w:sz w:val="24"/>
                <w:lang w:eastAsia="en-US"/>
              </w:rPr>
            </w:r>
          </w:p>
        </w:tc>
        <w:tc>
          <w:tcPr>
            <w:tcW w:w="7661" w:type="dxa"/>
            <w:gridSpan w:val="6"/>
            <w:tcBorders>
              <w:top w:val="single" w:sz="12" w:space="0" w:color="000000"/>
              <w:start w:val="single" w:sz="12" w:space="0" w:color="000000"/>
              <w:bottom w:val="single" w:sz="2" w:space="0" w:color="000000"/>
            </w:tcBorders>
            <w:shd w:fill="0000FF" w:val="clear"/>
          </w:tcPr>
          <w:p>
            <w:pPr>
              <w:pStyle w:val="Normal"/>
              <w:jc w:val="center"/>
              <w:rPr>
                <w:rFonts w:ascii="Arial" w:hAnsi="Arial" w:cs="Arial"/>
                <w:b/>
                <w:color w:val="FFFFFF"/>
                <w:sz w:val="24"/>
                <w:lang w:eastAsia="en-US"/>
              </w:rPr>
            </w:pPr>
            <w:r>
              <w:rPr>
                <w:rFonts w:cs="Arial" w:ascii="Arial" w:hAnsi="Arial"/>
                <w:b/>
                <w:color w:val="FFFFFF"/>
                <w:sz w:val="24"/>
                <w:lang w:eastAsia="en-US"/>
              </w:rPr>
              <w:t>Approval Amount and Maturity</w:t>
            </w:r>
          </w:p>
        </w:tc>
        <w:tc>
          <w:tcPr>
            <w:tcW w:w="0" w:type="dxa"/>
            <w:vMerge w:val="continue"/>
            <w:tcBorders>
              <w:top w:val="single" w:sz="12" w:space="0" w:color="000000"/>
              <w:bottom w:val="single" w:sz="6" w:space="0" w:color="000000"/>
            </w:tcBorders>
            <w:shd w:fill="0000FF" w:val="clear"/>
          </w:tcPr>
          <w:p>
            <w:pPr>
              <w:pStyle w:val="Normal"/>
              <w:snapToGrid w:val="false"/>
              <w:jc w:val="center"/>
              <w:rPr>
                <w:rFonts w:ascii="Arial" w:hAnsi="Arial" w:cs="Arial"/>
                <w:b/>
                <w:color w:val="FFFFFF"/>
                <w:sz w:val="24"/>
                <w:lang w:eastAsia="en-US"/>
              </w:rPr>
            </w:pPr>
            <w:r>
              <w:rPr>
                <w:rFonts w:cs="Arial" w:ascii="Arial" w:hAnsi="Arial"/>
                <w:b/>
                <w:color w:val="FFFFFF"/>
                <w:sz w:val="24"/>
                <w:lang w:eastAsia="en-US"/>
              </w:rPr>
            </w:r>
          </w:p>
        </w:tc>
        <w:tc>
          <w:tcPr>
            <w:tcW w:w="0" w:type="dxa"/>
            <w:vMerge w:val="continue"/>
            <w:tcBorders>
              <w:top w:val="single" w:sz="12" w:space="0" w:color="000000"/>
              <w:bottom w:val="single" w:sz="6" w:space="0" w:color="000000"/>
            </w:tcBorders>
            <w:shd w:fill="0000FF" w:val="clear"/>
          </w:tcPr>
          <w:p>
            <w:pPr>
              <w:pStyle w:val="Normal"/>
              <w:snapToGrid w:val="false"/>
              <w:jc w:val="center"/>
              <w:rPr>
                <w:rFonts w:ascii="Arial" w:hAnsi="Arial" w:cs="Arial"/>
                <w:b/>
                <w:color w:val="FFFFFF"/>
                <w:sz w:val="24"/>
                <w:lang w:eastAsia="en-US"/>
              </w:rPr>
            </w:pPr>
            <w:r>
              <w:rPr>
                <w:rFonts w:cs="Arial" w:ascii="Arial" w:hAnsi="Arial"/>
                <w:b/>
                <w:color w:val="FFFFFF"/>
                <w:sz w:val="24"/>
                <w:lang w:eastAsia="en-US"/>
              </w:rPr>
            </w:r>
          </w:p>
        </w:tc>
        <w:tc>
          <w:tcPr>
            <w:tcW w:w="0" w:type="dxa"/>
            <w:vMerge w:val="continue"/>
            <w:tcBorders>
              <w:top w:val="single" w:sz="12" w:space="0" w:color="000000"/>
              <w:bottom w:val="single" w:sz="6" w:space="0" w:color="000000"/>
            </w:tcBorders>
            <w:shd w:fill="0000FF" w:val="clear"/>
          </w:tcPr>
          <w:p>
            <w:pPr>
              <w:pStyle w:val="Normal"/>
              <w:snapToGrid w:val="false"/>
              <w:jc w:val="center"/>
              <w:rPr>
                <w:rFonts w:ascii="Arial" w:hAnsi="Arial" w:cs="Arial"/>
                <w:b/>
                <w:color w:val="FFFFFF"/>
                <w:sz w:val="24"/>
                <w:lang w:eastAsia="en-US"/>
              </w:rPr>
            </w:pPr>
            <w:r>
              <w:rPr>
                <w:rFonts w:cs="Arial" w:ascii="Arial" w:hAnsi="Arial"/>
                <w:b/>
                <w:color w:val="FFFFFF"/>
                <w:sz w:val="24"/>
                <w:lang w:eastAsia="en-US"/>
              </w:rPr>
            </w:r>
          </w:p>
        </w:tc>
        <w:tc>
          <w:tcPr>
            <w:tcW w:w="0" w:type="dxa"/>
            <w:vMerge w:val="continue"/>
            <w:tcBorders>
              <w:top w:val="single" w:sz="12" w:space="0" w:color="000000"/>
              <w:bottom w:val="single" w:sz="2" w:space="0" w:color="000000"/>
            </w:tcBorders>
            <w:shd w:fill="0000FF" w:val="clear"/>
          </w:tcPr>
          <w:p>
            <w:pPr>
              <w:pStyle w:val="Normal"/>
              <w:snapToGrid w:val="false"/>
              <w:jc w:val="center"/>
              <w:rPr>
                <w:rFonts w:ascii="Arial" w:hAnsi="Arial" w:cs="Arial"/>
                <w:b/>
                <w:color w:val="FFFFFF"/>
                <w:sz w:val="24"/>
                <w:lang w:eastAsia="en-US"/>
              </w:rPr>
            </w:pPr>
            <w:r>
              <w:rPr>
                <w:rFonts w:cs="Arial" w:ascii="Arial" w:hAnsi="Arial"/>
                <w:b/>
                <w:color w:val="FFFFFF"/>
                <w:sz w:val="24"/>
                <w:lang w:eastAsia="en-US"/>
              </w:rPr>
            </w:r>
          </w:p>
        </w:tc>
        <w:tc>
          <w:tcPr>
            <w:tcW w:w="0" w:type="dxa"/>
            <w:vMerge w:val="continue"/>
            <w:tcBorders>
              <w:top w:val="single" w:sz="12" w:space="0" w:color="000000"/>
              <w:bottom w:val="single" w:sz="2" w:space="0" w:color="000000"/>
              <w:end w:val="single" w:sz="12" w:space="0" w:color="000000"/>
            </w:tcBorders>
            <w:shd w:fill="0000FF" w:val="clear"/>
          </w:tcPr>
          <w:p>
            <w:pPr>
              <w:pStyle w:val="Normal"/>
              <w:snapToGrid w:val="false"/>
              <w:jc w:val="center"/>
              <w:rPr>
                <w:rFonts w:ascii="Arial" w:hAnsi="Arial" w:cs="Arial"/>
                <w:b/>
                <w:color w:val="FFFFFF"/>
                <w:sz w:val="24"/>
                <w:lang w:eastAsia="en-US"/>
              </w:rPr>
            </w:pPr>
            <w:r>
              <w:rPr>
                <w:rFonts w:cs="Arial" w:ascii="Arial" w:hAnsi="Arial"/>
                <w:b/>
                <w:color w:val="FFFFFF"/>
                <w:sz w:val="24"/>
                <w:lang w:eastAsia="en-US"/>
              </w:rPr>
            </w:r>
          </w:p>
        </w:tc>
      </w:tr>
      <w:tr>
        <w:trPr>
          <w:trHeight w:val="353" w:hRule="atLeast"/>
        </w:trPr>
        <w:tc>
          <w:tcPr>
            <w:tcW w:w="2225" w:type="dxa"/>
            <w:tcBorders>
              <w:top w:val="single" w:sz="2" w:space="0" w:color="000000"/>
              <w:start w:val="single" w:sz="12" w:space="0" w:color="000000"/>
              <w:bottom w:val="single" w:sz="2" w:space="0" w:color="000000"/>
              <w:end w:val="single" w:sz="12" w:space="0" w:color="000000"/>
            </w:tcBorders>
            <w:shd w:fill="0000FF" w:val="clear"/>
          </w:tcPr>
          <w:p>
            <w:pPr>
              <w:pStyle w:val="Normal"/>
              <w:snapToGrid w:val="false"/>
              <w:jc w:val="end"/>
              <w:rPr>
                <w:rFonts w:ascii="Arial" w:hAnsi="Arial" w:cs="Arial"/>
                <w:b/>
                <w:color w:val="000000"/>
                <w:sz w:val="24"/>
                <w:lang w:eastAsia="en-US"/>
              </w:rPr>
            </w:pPr>
            <w:r>
              <w:rPr>
                <w:rFonts w:cs="Arial" w:ascii="Arial" w:hAnsi="Arial"/>
                <w:b/>
                <w:color w:val="000000"/>
                <w:sz w:val="24"/>
                <w:lang w:eastAsia="en-US"/>
              </w:rPr>
            </w:r>
          </w:p>
        </w:tc>
        <w:tc>
          <w:tcPr>
            <w:tcW w:w="1277" w:type="dxa"/>
            <w:tcBorders>
              <w:top w:val="single" w:sz="2" w:space="0" w:color="000000"/>
              <w:start w:val="single" w:sz="12" w:space="0" w:color="000000"/>
              <w:bottom w:val="single" w:sz="2" w:space="0" w:color="000000"/>
              <w:end w:val="single" w:sz="6" w:space="0" w:color="000000"/>
            </w:tcBorders>
          </w:tcPr>
          <w:p>
            <w:pPr>
              <w:pStyle w:val="Normal"/>
              <w:jc w:val="center"/>
              <w:rPr>
                <w:rFonts w:ascii="Arial" w:hAnsi="Arial" w:cs="Arial"/>
                <w:color w:val="000000"/>
                <w:lang w:eastAsia="en-US"/>
              </w:rPr>
            </w:pPr>
            <w:r>
              <w:rPr>
                <w:rFonts w:eastAsia="Arial" w:cs="Arial" w:ascii="Arial" w:hAnsi="Arial"/>
                <w:color w:val="000000"/>
                <w:lang w:eastAsia="en-US"/>
              </w:rPr>
              <w:t xml:space="preserve"> </w:t>
            </w:r>
            <w:r>
              <w:rPr>
                <w:rFonts w:cs="Arial" w:ascii="Arial" w:hAnsi="Arial"/>
                <w:color w:val="000000"/>
                <w:lang w:eastAsia="en-US"/>
              </w:rPr>
              <w:t>&lt;= $5.0MM</w:t>
            </w:r>
          </w:p>
        </w:tc>
        <w:tc>
          <w:tcPr>
            <w:tcW w:w="1276" w:type="dxa"/>
            <w:tcBorders>
              <w:top w:val="single" w:sz="6" w:space="0" w:color="000000"/>
              <w:start w:val="single" w:sz="6" w:space="0" w:color="000000"/>
              <w:bottom w:val="single" w:sz="2"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&lt;= $10.0MM</w:t>
            </w:r>
          </w:p>
        </w:tc>
        <w:tc>
          <w:tcPr>
            <w:tcW w:w="1277" w:type="dxa"/>
            <w:tcBorders>
              <w:top w:val="single" w:sz="6" w:space="0" w:color="000000"/>
              <w:start w:val="single" w:sz="6" w:space="0" w:color="000000"/>
              <w:bottom w:val="single" w:sz="2"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&lt;= $15.0MM</w:t>
            </w:r>
          </w:p>
        </w:tc>
        <w:tc>
          <w:tcPr>
            <w:tcW w:w="1277" w:type="dxa"/>
            <w:tcBorders>
              <w:top w:val="single" w:sz="6" w:space="0" w:color="000000"/>
              <w:start w:val="single" w:sz="6" w:space="0" w:color="000000"/>
              <w:bottom w:val="single" w:sz="2"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&lt;= $20.0MM</w:t>
            </w:r>
          </w:p>
        </w:tc>
        <w:tc>
          <w:tcPr>
            <w:tcW w:w="1277" w:type="dxa"/>
            <w:tcBorders>
              <w:top w:val="single" w:sz="2" w:space="0" w:color="000000"/>
              <w:start w:val="single" w:sz="6" w:space="0" w:color="000000"/>
              <w:bottom w:val="single" w:sz="2"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&lt;= $25.0MM</w:t>
            </w:r>
          </w:p>
        </w:tc>
        <w:tc>
          <w:tcPr>
            <w:tcW w:w="1277" w:type="dxa"/>
            <w:tcBorders>
              <w:top w:val="single" w:sz="2" w:space="0" w:color="000000"/>
              <w:start w:val="single" w:sz="6" w:space="0" w:color="000000"/>
              <w:bottom w:val="single" w:sz="2" w:space="0" w:color="000000"/>
              <w:end w:val="single" w:sz="12" w:space="0" w:color="000000"/>
            </w:tcBorders>
          </w:tcPr>
          <w:p>
            <w:pPr>
              <w:pStyle w:val="Normal"/>
              <w:jc w:val="center"/>
              <w:rPr>
                <w:rFonts w:ascii="Arial" w:hAnsi="Arial" w:cs="Arial"/>
                <w:color w:val="000000"/>
                <w:lang w:eastAsia="en-US"/>
              </w:rPr>
            </w:pPr>
            <w:r>
              <w:rPr>
                <w:rFonts w:cs="Arial" w:ascii="Arial" w:hAnsi="Arial"/>
                <w:color w:val="000000"/>
                <w:lang w:eastAsia="en-US"/>
              </w:rPr>
              <w:t>&gt;$25.0MM</w:t>
            </w:r>
          </w:p>
        </w:tc>
      </w:tr>
      <w:tr>
        <w:trPr>
          <w:trHeight w:val="353" w:hRule="atLeast"/>
        </w:trPr>
        <w:tc>
          <w:tcPr>
            <w:tcW w:w="2225" w:type="dxa"/>
            <w:tcBorders>
              <w:top w:val="single" w:sz="2" w:space="0" w:color="000000"/>
              <w:start w:val="single" w:sz="12" w:space="0" w:color="000000"/>
              <w:bottom w:val="single" w:sz="2" w:space="0" w:color="000000"/>
              <w:end w:val="single" w:sz="12" w:space="0" w:color="000000"/>
            </w:tcBorders>
            <w:shd w:fill="0000FF" w:val="clear"/>
          </w:tcPr>
          <w:p>
            <w:pPr>
              <w:pStyle w:val="Normal"/>
              <w:jc w:val="center"/>
              <w:rPr>
                <w:rFonts w:ascii="Arial" w:hAnsi="Arial" w:cs="Arial"/>
                <w:b/>
                <w:color w:val="FFFFFF"/>
                <w:sz w:val="24"/>
                <w:lang w:eastAsia="en-US"/>
              </w:rPr>
            </w:pPr>
            <w:r>
              <w:rPr>
                <w:rFonts w:cs="Arial" w:ascii="Arial" w:hAnsi="Arial"/>
                <w:b/>
                <w:color w:val="FFFFFF"/>
                <w:sz w:val="24"/>
                <w:lang w:eastAsia="en-US"/>
              </w:rPr>
              <w:t>Rating*</w:t>
            </w:r>
          </w:p>
        </w:tc>
        <w:tc>
          <w:tcPr>
            <w:tcW w:w="1277" w:type="dxa"/>
            <w:tcBorders>
              <w:top w:val="single" w:sz="2" w:space="0" w:color="000000"/>
              <w:start w:val="single" w:sz="12" w:space="0" w:color="000000"/>
              <w:bottom w:val="single" w:sz="2" w:space="0" w:color="000000"/>
              <w:end w:val="single" w:sz="6" w:space="0" w:color="000000"/>
            </w:tcBorders>
          </w:tcPr>
          <w:p>
            <w:pPr>
              <w:pStyle w:val="Normal"/>
              <w:snapToGrid w:val="false"/>
              <w:jc w:val="center"/>
              <w:rPr>
                <w:rFonts w:ascii="Arial" w:hAnsi="Arial" w:cs="Arial"/>
                <w:b/>
                <w:color w:val="000000"/>
                <w:sz w:val="24"/>
                <w:lang w:eastAsia="en-US"/>
              </w:rPr>
            </w:pPr>
            <w:r>
              <w:rPr>
                <w:rFonts w:cs="Arial" w:ascii="Arial" w:hAnsi="Arial"/>
                <w:b/>
                <w:color w:val="000000"/>
                <w:sz w:val="24"/>
                <w:lang w:eastAsia="en-US"/>
              </w:rPr>
            </w:r>
          </w:p>
        </w:tc>
        <w:tc>
          <w:tcPr>
            <w:tcW w:w="1276" w:type="dxa"/>
            <w:tcBorders>
              <w:top w:val="single" w:sz="2" w:space="0" w:color="000000"/>
              <w:start w:val="single" w:sz="6" w:space="0" w:color="000000"/>
              <w:bottom w:val="single" w:sz="2" w:space="0" w:color="000000"/>
              <w:end w:val="single" w:sz="6"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277" w:type="dxa"/>
            <w:tcBorders>
              <w:top w:val="single" w:sz="2" w:space="0" w:color="000000"/>
              <w:start w:val="single" w:sz="6" w:space="0" w:color="000000"/>
              <w:bottom w:val="single" w:sz="2" w:space="0" w:color="000000"/>
              <w:end w:val="single" w:sz="6"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277" w:type="dxa"/>
            <w:tcBorders>
              <w:top w:val="single" w:sz="2" w:space="0" w:color="000000"/>
              <w:start w:val="single" w:sz="6" w:space="0" w:color="000000"/>
              <w:bottom w:val="single" w:sz="2" w:space="0" w:color="000000"/>
              <w:end w:val="single" w:sz="6"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277" w:type="dxa"/>
            <w:tcBorders>
              <w:top w:val="single" w:sz="2" w:space="0" w:color="000000"/>
              <w:start w:val="single" w:sz="6" w:space="0" w:color="000000"/>
              <w:bottom w:val="single" w:sz="2" w:space="0" w:color="000000"/>
              <w:end w:val="single" w:sz="6"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277" w:type="dxa"/>
            <w:tcBorders>
              <w:top w:val="single" w:sz="2" w:space="0" w:color="000000"/>
              <w:start w:val="single" w:sz="6" w:space="0" w:color="000000"/>
              <w:bottom w:val="single" w:sz="2" w:space="0" w:color="000000"/>
              <w:end w:val="single" w:sz="12"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r>
      <w:tr>
        <w:trPr>
          <w:trHeight w:val="353" w:hRule="atLeast"/>
        </w:trPr>
        <w:tc>
          <w:tcPr>
            <w:tcW w:w="2225" w:type="dxa"/>
            <w:tcBorders>
              <w:top w:val="single" w:sz="2" w:space="0" w:color="000000"/>
              <w:start w:val="single" w:sz="12" w:space="0" w:color="000000"/>
              <w:bottom w:val="single" w:sz="2" w:space="0" w:color="000000"/>
              <w:end w:val="single" w:sz="12" w:space="0" w:color="000000"/>
            </w:tcBorders>
          </w:tcPr>
          <w:p>
            <w:pPr>
              <w:pStyle w:val="Normal"/>
              <w:jc w:val="center"/>
              <w:rPr>
                <w:rFonts w:ascii="Arial" w:hAnsi="Arial" w:cs="Arial"/>
                <w:color w:val="000000"/>
                <w:lang w:eastAsia="en-US"/>
              </w:rPr>
            </w:pPr>
            <w:r>
              <w:rPr>
                <w:rFonts w:cs="Arial" w:ascii="Arial" w:hAnsi="Arial"/>
                <w:color w:val="000000"/>
                <w:lang w:eastAsia="en-US"/>
              </w:rPr>
              <w:t>AAA-/Aaa3 or higher</w:t>
            </w:r>
          </w:p>
        </w:tc>
        <w:tc>
          <w:tcPr>
            <w:tcW w:w="1277" w:type="dxa"/>
            <w:tcBorders>
              <w:top w:val="single" w:sz="2" w:space="0" w:color="000000"/>
              <w:start w:val="single" w:sz="12" w:space="0" w:color="000000"/>
              <w:bottom w:val="single" w:sz="2" w:space="0" w:color="000000"/>
              <w:end w:val="single" w:sz="6" w:space="0" w:color="000000"/>
            </w:tcBorders>
          </w:tcPr>
          <w:p>
            <w:pPr>
              <w:pStyle w:val="Normal"/>
              <w:jc w:val="center"/>
              <w:rPr>
                <w:rFonts w:ascii="Arial" w:hAnsi="Arial" w:cs="Arial"/>
                <w:color w:val="000000"/>
                <w:lang w:eastAsia="en-US"/>
              </w:rPr>
            </w:pPr>
            <w:r>
              <w:rPr>
                <w:rFonts w:eastAsia="Arial" w:cs="Arial" w:ascii="Arial" w:hAnsi="Arial"/>
                <w:color w:val="000000"/>
                <w:lang w:eastAsia="en-US"/>
              </w:rPr>
              <w:t xml:space="preserve"> </w:t>
            </w:r>
            <w:r>
              <w:rPr>
                <w:rFonts w:cs="Arial" w:ascii="Arial" w:hAnsi="Arial"/>
                <w:color w:val="000000"/>
                <w:lang w:eastAsia="en-US"/>
              </w:rPr>
              <w:t>&lt;= 7 years</w:t>
            </w:r>
          </w:p>
        </w:tc>
        <w:tc>
          <w:tcPr>
            <w:tcW w:w="1276" w:type="dxa"/>
            <w:tcBorders>
              <w:top w:val="single" w:sz="2" w:space="0" w:color="000000"/>
              <w:start w:val="single" w:sz="6" w:space="0" w:color="000000"/>
              <w:bottom w:val="single" w:sz="2"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&lt;= 7 years</w:t>
            </w:r>
          </w:p>
        </w:tc>
        <w:tc>
          <w:tcPr>
            <w:tcW w:w="1277" w:type="dxa"/>
            <w:tcBorders>
              <w:top w:val="single" w:sz="2" w:space="0" w:color="000000"/>
              <w:start w:val="single" w:sz="6" w:space="0" w:color="000000"/>
              <w:bottom w:val="single" w:sz="2"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&lt;= 5 years</w:t>
            </w:r>
          </w:p>
        </w:tc>
        <w:tc>
          <w:tcPr>
            <w:tcW w:w="1277" w:type="dxa"/>
            <w:tcBorders>
              <w:top w:val="single" w:sz="2" w:space="0" w:color="000000"/>
              <w:start w:val="single" w:sz="6" w:space="0" w:color="000000"/>
              <w:bottom w:val="single" w:sz="2"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&lt;= 5 years</w:t>
            </w:r>
          </w:p>
        </w:tc>
        <w:tc>
          <w:tcPr>
            <w:tcW w:w="1277" w:type="dxa"/>
            <w:tcBorders>
              <w:top w:val="single" w:sz="2" w:space="0" w:color="000000"/>
              <w:start w:val="single" w:sz="6" w:space="0" w:color="000000"/>
              <w:bottom w:val="single" w:sz="2"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&lt;= 5 years</w:t>
            </w:r>
          </w:p>
        </w:tc>
        <w:tc>
          <w:tcPr>
            <w:tcW w:w="1277" w:type="dxa"/>
            <w:tcBorders>
              <w:top w:val="single" w:sz="2" w:space="0" w:color="000000"/>
              <w:start w:val="single" w:sz="6" w:space="0" w:color="000000"/>
              <w:bottom w:val="single" w:sz="2" w:space="0" w:color="000000"/>
              <w:end w:val="single" w:sz="12" w:space="0" w:color="000000"/>
            </w:tcBorders>
          </w:tcPr>
          <w:p>
            <w:pPr>
              <w:pStyle w:val="Normal"/>
              <w:jc w:val="center"/>
              <w:rPr>
                <w:rFonts w:ascii="Arial" w:hAnsi="Arial" w:cs="Arial"/>
                <w:color w:val="000000"/>
                <w:lang w:eastAsia="en-US"/>
              </w:rPr>
            </w:pPr>
            <w:r>
              <w:rPr>
                <w:rFonts w:cs="Arial" w:ascii="Arial" w:hAnsi="Arial"/>
                <w:color w:val="000000"/>
                <w:lang w:eastAsia="en-US"/>
              </w:rPr>
              <w:t>DASH</w:t>
            </w:r>
          </w:p>
        </w:tc>
      </w:tr>
      <w:tr>
        <w:trPr>
          <w:trHeight w:val="353" w:hRule="atLeast"/>
        </w:trPr>
        <w:tc>
          <w:tcPr>
            <w:tcW w:w="2225" w:type="dxa"/>
            <w:tcBorders>
              <w:top w:val="single" w:sz="2" w:space="0" w:color="000000"/>
              <w:start w:val="single" w:sz="12" w:space="0" w:color="000000"/>
              <w:bottom w:val="single" w:sz="2" w:space="0" w:color="000000"/>
              <w:end w:val="single" w:sz="12" w:space="0" w:color="000000"/>
            </w:tcBorders>
          </w:tcPr>
          <w:p>
            <w:pPr>
              <w:pStyle w:val="Normal"/>
              <w:jc w:val="center"/>
              <w:rPr>
                <w:rFonts w:ascii="Arial" w:hAnsi="Arial" w:cs="Arial"/>
                <w:color w:val="000000"/>
                <w:lang w:eastAsia="en-US"/>
              </w:rPr>
            </w:pPr>
            <w:r>
              <w:rPr>
                <w:rFonts w:cs="Arial" w:ascii="Arial" w:hAnsi="Arial"/>
                <w:color w:val="000000"/>
                <w:lang w:eastAsia="en-US"/>
              </w:rPr>
              <w:t>AA-/Aa3 or higher</w:t>
            </w:r>
          </w:p>
        </w:tc>
        <w:tc>
          <w:tcPr>
            <w:tcW w:w="1277" w:type="dxa"/>
            <w:tcBorders>
              <w:top w:val="single" w:sz="2" w:space="0" w:color="000000"/>
              <w:start w:val="single" w:sz="12" w:space="0" w:color="000000"/>
              <w:bottom w:val="single" w:sz="2"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&lt;= 6 years</w:t>
            </w:r>
          </w:p>
        </w:tc>
        <w:tc>
          <w:tcPr>
            <w:tcW w:w="1276" w:type="dxa"/>
            <w:tcBorders>
              <w:top w:val="single" w:sz="2" w:space="0" w:color="000000"/>
              <w:start w:val="single" w:sz="6" w:space="0" w:color="000000"/>
              <w:bottom w:val="single" w:sz="2"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&lt;= 5 years</w:t>
            </w:r>
          </w:p>
        </w:tc>
        <w:tc>
          <w:tcPr>
            <w:tcW w:w="1277" w:type="dxa"/>
            <w:tcBorders>
              <w:top w:val="single" w:sz="2" w:space="0" w:color="000000"/>
              <w:start w:val="single" w:sz="6" w:space="0" w:color="000000"/>
              <w:bottom w:val="single" w:sz="2"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&lt;= 4 years</w:t>
            </w:r>
          </w:p>
        </w:tc>
        <w:tc>
          <w:tcPr>
            <w:tcW w:w="1277" w:type="dxa"/>
            <w:tcBorders>
              <w:top w:val="single" w:sz="2" w:space="0" w:color="000000"/>
              <w:start w:val="single" w:sz="6" w:space="0" w:color="000000"/>
              <w:bottom w:val="single" w:sz="2"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&lt;= 3 years</w:t>
            </w:r>
          </w:p>
        </w:tc>
        <w:tc>
          <w:tcPr>
            <w:tcW w:w="1277" w:type="dxa"/>
            <w:tcBorders>
              <w:top w:val="single" w:sz="2" w:space="0" w:color="000000"/>
              <w:start w:val="single" w:sz="6" w:space="0" w:color="000000"/>
              <w:bottom w:val="single" w:sz="2"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DASH</w:t>
            </w:r>
          </w:p>
        </w:tc>
        <w:tc>
          <w:tcPr>
            <w:tcW w:w="1277" w:type="dxa"/>
            <w:tcBorders>
              <w:top w:val="single" w:sz="2" w:space="0" w:color="000000"/>
              <w:start w:val="single" w:sz="6" w:space="0" w:color="000000"/>
              <w:bottom w:val="single" w:sz="2" w:space="0" w:color="000000"/>
              <w:end w:val="single" w:sz="12" w:space="0" w:color="000000"/>
            </w:tcBorders>
          </w:tcPr>
          <w:p>
            <w:pPr>
              <w:pStyle w:val="Normal"/>
              <w:jc w:val="center"/>
              <w:rPr>
                <w:rFonts w:ascii="Arial" w:hAnsi="Arial" w:cs="Arial"/>
                <w:color w:val="000000"/>
                <w:lang w:eastAsia="en-US"/>
              </w:rPr>
            </w:pPr>
            <w:r>
              <w:rPr>
                <w:rFonts w:cs="Arial" w:ascii="Arial" w:hAnsi="Arial"/>
                <w:color w:val="000000"/>
                <w:lang w:eastAsia="en-US"/>
              </w:rPr>
              <w:t>DASH</w:t>
            </w:r>
          </w:p>
        </w:tc>
      </w:tr>
      <w:tr>
        <w:trPr>
          <w:trHeight w:val="353" w:hRule="atLeast"/>
        </w:trPr>
        <w:tc>
          <w:tcPr>
            <w:tcW w:w="2225" w:type="dxa"/>
            <w:tcBorders>
              <w:top w:val="single" w:sz="2" w:space="0" w:color="000000"/>
              <w:start w:val="single" w:sz="12" w:space="0" w:color="000000"/>
              <w:bottom w:val="single" w:sz="2" w:space="0" w:color="000000"/>
              <w:end w:val="single" w:sz="12" w:space="0" w:color="000000"/>
            </w:tcBorders>
          </w:tcPr>
          <w:p>
            <w:pPr>
              <w:pStyle w:val="Normal"/>
              <w:jc w:val="center"/>
              <w:rPr>
                <w:rFonts w:ascii="Arial" w:hAnsi="Arial" w:cs="Arial"/>
                <w:color w:val="000000"/>
                <w:lang w:eastAsia="en-US"/>
              </w:rPr>
            </w:pPr>
            <w:r>
              <w:rPr>
                <w:rFonts w:cs="Arial" w:ascii="Arial" w:hAnsi="Arial"/>
                <w:color w:val="000000"/>
                <w:lang w:eastAsia="en-US"/>
              </w:rPr>
              <w:t>A-/A3 or higher</w:t>
            </w:r>
          </w:p>
        </w:tc>
        <w:tc>
          <w:tcPr>
            <w:tcW w:w="1277" w:type="dxa"/>
            <w:tcBorders>
              <w:top w:val="single" w:sz="2" w:space="0" w:color="000000"/>
              <w:start w:val="single" w:sz="12" w:space="0" w:color="000000"/>
              <w:bottom w:val="single" w:sz="2"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&lt;= 5 years</w:t>
            </w:r>
          </w:p>
        </w:tc>
        <w:tc>
          <w:tcPr>
            <w:tcW w:w="1276" w:type="dxa"/>
            <w:tcBorders>
              <w:top w:val="single" w:sz="2" w:space="0" w:color="000000"/>
              <w:start w:val="single" w:sz="6" w:space="0" w:color="000000"/>
              <w:bottom w:val="single" w:sz="2"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&lt;= 3 years</w:t>
            </w:r>
          </w:p>
        </w:tc>
        <w:tc>
          <w:tcPr>
            <w:tcW w:w="1277" w:type="dxa"/>
            <w:tcBorders>
              <w:top w:val="single" w:sz="2" w:space="0" w:color="000000"/>
              <w:start w:val="single" w:sz="6" w:space="0" w:color="000000"/>
              <w:bottom w:val="single" w:sz="2"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&lt;= 2 years</w:t>
            </w:r>
          </w:p>
        </w:tc>
        <w:tc>
          <w:tcPr>
            <w:tcW w:w="1277" w:type="dxa"/>
            <w:tcBorders>
              <w:top w:val="single" w:sz="2" w:space="0" w:color="000000"/>
              <w:start w:val="single" w:sz="6" w:space="0" w:color="000000"/>
              <w:bottom w:val="single" w:sz="2"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DASH</w:t>
            </w:r>
          </w:p>
        </w:tc>
        <w:tc>
          <w:tcPr>
            <w:tcW w:w="1277" w:type="dxa"/>
            <w:tcBorders>
              <w:top w:val="single" w:sz="2" w:space="0" w:color="000000"/>
              <w:start w:val="single" w:sz="6" w:space="0" w:color="000000"/>
              <w:bottom w:val="single" w:sz="2"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DASH</w:t>
            </w:r>
          </w:p>
        </w:tc>
        <w:tc>
          <w:tcPr>
            <w:tcW w:w="1277" w:type="dxa"/>
            <w:tcBorders>
              <w:top w:val="single" w:sz="2" w:space="0" w:color="000000"/>
              <w:start w:val="single" w:sz="6" w:space="0" w:color="000000"/>
              <w:bottom w:val="single" w:sz="2" w:space="0" w:color="000000"/>
              <w:end w:val="single" w:sz="12" w:space="0" w:color="000000"/>
            </w:tcBorders>
          </w:tcPr>
          <w:p>
            <w:pPr>
              <w:pStyle w:val="Normal"/>
              <w:jc w:val="center"/>
              <w:rPr>
                <w:rFonts w:ascii="Arial" w:hAnsi="Arial" w:cs="Arial"/>
                <w:color w:val="000000"/>
                <w:lang w:eastAsia="en-US"/>
              </w:rPr>
            </w:pPr>
            <w:r>
              <w:rPr>
                <w:rFonts w:cs="Arial" w:ascii="Arial" w:hAnsi="Arial"/>
                <w:color w:val="000000"/>
                <w:lang w:eastAsia="en-US"/>
              </w:rPr>
              <w:t>DASH</w:t>
            </w:r>
          </w:p>
        </w:tc>
      </w:tr>
      <w:tr>
        <w:trPr>
          <w:trHeight w:val="353" w:hRule="atLeast"/>
        </w:trPr>
        <w:tc>
          <w:tcPr>
            <w:tcW w:w="2225" w:type="dxa"/>
            <w:tcBorders>
              <w:top w:val="single" w:sz="2" w:space="0" w:color="000000"/>
              <w:start w:val="single" w:sz="12" w:space="0" w:color="000000"/>
              <w:bottom w:val="single" w:sz="2" w:space="0" w:color="000000"/>
              <w:end w:val="single" w:sz="12" w:space="0" w:color="000000"/>
            </w:tcBorders>
          </w:tcPr>
          <w:p>
            <w:pPr>
              <w:pStyle w:val="Normal"/>
              <w:jc w:val="center"/>
              <w:rPr>
                <w:rFonts w:ascii="Arial" w:hAnsi="Arial" w:cs="Arial"/>
                <w:color w:val="000000"/>
                <w:lang w:eastAsia="en-US"/>
              </w:rPr>
            </w:pPr>
            <w:r>
              <w:rPr>
                <w:rFonts w:cs="Arial" w:ascii="Arial" w:hAnsi="Arial"/>
                <w:color w:val="000000"/>
                <w:lang w:eastAsia="en-US"/>
              </w:rPr>
              <w:t>BBB+/Baa1 or higher</w:t>
            </w:r>
          </w:p>
        </w:tc>
        <w:tc>
          <w:tcPr>
            <w:tcW w:w="1277" w:type="dxa"/>
            <w:tcBorders>
              <w:top w:val="single" w:sz="2" w:space="0" w:color="000000"/>
              <w:start w:val="single" w:sz="12" w:space="0" w:color="000000"/>
              <w:bottom w:val="single" w:sz="2"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&lt;= 4 years</w:t>
            </w:r>
          </w:p>
        </w:tc>
        <w:tc>
          <w:tcPr>
            <w:tcW w:w="1276" w:type="dxa"/>
            <w:tcBorders>
              <w:top w:val="single" w:sz="2" w:space="0" w:color="000000"/>
              <w:start w:val="single" w:sz="6" w:space="0" w:color="000000"/>
              <w:bottom w:val="single" w:sz="2"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&lt;= 2 years</w:t>
            </w:r>
          </w:p>
        </w:tc>
        <w:tc>
          <w:tcPr>
            <w:tcW w:w="1277" w:type="dxa"/>
            <w:tcBorders>
              <w:top w:val="single" w:sz="2" w:space="0" w:color="000000"/>
              <w:start w:val="single" w:sz="6" w:space="0" w:color="000000"/>
              <w:bottom w:val="single" w:sz="2"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DASH</w:t>
            </w:r>
          </w:p>
        </w:tc>
        <w:tc>
          <w:tcPr>
            <w:tcW w:w="1277" w:type="dxa"/>
            <w:tcBorders>
              <w:top w:val="single" w:sz="2" w:space="0" w:color="000000"/>
              <w:start w:val="single" w:sz="6" w:space="0" w:color="000000"/>
              <w:bottom w:val="single" w:sz="2"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DASH</w:t>
            </w:r>
          </w:p>
        </w:tc>
        <w:tc>
          <w:tcPr>
            <w:tcW w:w="1277" w:type="dxa"/>
            <w:tcBorders>
              <w:top w:val="single" w:sz="2" w:space="0" w:color="000000"/>
              <w:start w:val="single" w:sz="6" w:space="0" w:color="000000"/>
              <w:bottom w:val="single" w:sz="2"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DASH</w:t>
            </w:r>
          </w:p>
        </w:tc>
        <w:tc>
          <w:tcPr>
            <w:tcW w:w="1277" w:type="dxa"/>
            <w:tcBorders>
              <w:top w:val="single" w:sz="2" w:space="0" w:color="000000"/>
              <w:start w:val="single" w:sz="6" w:space="0" w:color="000000"/>
              <w:bottom w:val="single" w:sz="2" w:space="0" w:color="000000"/>
              <w:end w:val="single" w:sz="12" w:space="0" w:color="000000"/>
            </w:tcBorders>
          </w:tcPr>
          <w:p>
            <w:pPr>
              <w:pStyle w:val="Normal"/>
              <w:jc w:val="center"/>
              <w:rPr>
                <w:rFonts w:ascii="Arial" w:hAnsi="Arial" w:cs="Arial"/>
                <w:color w:val="000000"/>
                <w:lang w:eastAsia="en-US"/>
              </w:rPr>
            </w:pPr>
            <w:r>
              <w:rPr>
                <w:rFonts w:cs="Arial" w:ascii="Arial" w:hAnsi="Arial"/>
                <w:color w:val="000000"/>
                <w:lang w:eastAsia="en-US"/>
              </w:rPr>
              <w:t>DASH</w:t>
            </w:r>
          </w:p>
        </w:tc>
      </w:tr>
      <w:tr>
        <w:trPr>
          <w:trHeight w:val="353" w:hRule="atLeast"/>
        </w:trPr>
        <w:tc>
          <w:tcPr>
            <w:tcW w:w="2225" w:type="dxa"/>
            <w:tcBorders>
              <w:top w:val="single" w:sz="2" w:space="0" w:color="000000"/>
              <w:start w:val="single" w:sz="12" w:space="0" w:color="000000"/>
              <w:bottom w:val="single" w:sz="2" w:space="0" w:color="000000"/>
              <w:end w:val="single" w:sz="12" w:space="0" w:color="000000"/>
            </w:tcBorders>
          </w:tcPr>
          <w:p>
            <w:pPr>
              <w:pStyle w:val="Normal"/>
              <w:jc w:val="center"/>
              <w:rPr>
                <w:rFonts w:ascii="Arial" w:hAnsi="Arial" w:cs="Arial"/>
                <w:color w:val="000000"/>
                <w:lang w:eastAsia="en-US"/>
              </w:rPr>
            </w:pPr>
            <w:r>
              <w:rPr>
                <w:rFonts w:cs="Arial" w:ascii="Arial" w:hAnsi="Arial"/>
                <w:color w:val="000000"/>
                <w:lang w:eastAsia="en-US"/>
              </w:rPr>
              <w:t>BBB/Baa2 or higher</w:t>
            </w:r>
          </w:p>
        </w:tc>
        <w:tc>
          <w:tcPr>
            <w:tcW w:w="1277" w:type="dxa"/>
            <w:tcBorders>
              <w:top w:val="single" w:sz="2" w:space="0" w:color="000000"/>
              <w:start w:val="single" w:sz="12" w:space="0" w:color="000000"/>
              <w:bottom w:val="single" w:sz="2"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&lt;= 3 years</w:t>
            </w:r>
          </w:p>
        </w:tc>
        <w:tc>
          <w:tcPr>
            <w:tcW w:w="1276" w:type="dxa"/>
            <w:tcBorders>
              <w:top w:val="single" w:sz="2" w:space="0" w:color="000000"/>
              <w:start w:val="single" w:sz="6" w:space="0" w:color="000000"/>
              <w:bottom w:val="single" w:sz="2"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DASH</w:t>
            </w:r>
          </w:p>
        </w:tc>
        <w:tc>
          <w:tcPr>
            <w:tcW w:w="1277" w:type="dxa"/>
            <w:tcBorders>
              <w:top w:val="single" w:sz="2" w:space="0" w:color="000000"/>
              <w:start w:val="single" w:sz="6" w:space="0" w:color="000000"/>
              <w:bottom w:val="single" w:sz="2"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DASH</w:t>
            </w:r>
          </w:p>
        </w:tc>
        <w:tc>
          <w:tcPr>
            <w:tcW w:w="1277" w:type="dxa"/>
            <w:tcBorders>
              <w:top w:val="single" w:sz="2" w:space="0" w:color="000000"/>
              <w:start w:val="single" w:sz="6" w:space="0" w:color="000000"/>
              <w:bottom w:val="single" w:sz="2"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DASH</w:t>
            </w:r>
          </w:p>
        </w:tc>
        <w:tc>
          <w:tcPr>
            <w:tcW w:w="1277" w:type="dxa"/>
            <w:tcBorders>
              <w:top w:val="single" w:sz="2" w:space="0" w:color="000000"/>
              <w:start w:val="single" w:sz="6" w:space="0" w:color="000000"/>
              <w:bottom w:val="single" w:sz="2"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DASH</w:t>
            </w:r>
          </w:p>
        </w:tc>
        <w:tc>
          <w:tcPr>
            <w:tcW w:w="1277" w:type="dxa"/>
            <w:tcBorders>
              <w:top w:val="single" w:sz="2" w:space="0" w:color="000000"/>
              <w:start w:val="single" w:sz="6" w:space="0" w:color="000000"/>
              <w:bottom w:val="single" w:sz="2" w:space="0" w:color="000000"/>
              <w:end w:val="single" w:sz="12" w:space="0" w:color="000000"/>
            </w:tcBorders>
          </w:tcPr>
          <w:p>
            <w:pPr>
              <w:pStyle w:val="Normal"/>
              <w:jc w:val="center"/>
              <w:rPr>
                <w:rFonts w:ascii="Arial" w:hAnsi="Arial" w:cs="Arial"/>
                <w:color w:val="000000"/>
                <w:lang w:eastAsia="en-US"/>
              </w:rPr>
            </w:pPr>
            <w:r>
              <w:rPr>
                <w:rFonts w:cs="Arial" w:ascii="Arial" w:hAnsi="Arial"/>
                <w:color w:val="000000"/>
                <w:lang w:eastAsia="en-US"/>
              </w:rPr>
              <w:t>DASH</w:t>
            </w:r>
          </w:p>
        </w:tc>
      </w:tr>
      <w:tr>
        <w:trPr>
          <w:trHeight w:val="353" w:hRule="atLeast"/>
        </w:trPr>
        <w:tc>
          <w:tcPr>
            <w:tcW w:w="2225" w:type="dxa"/>
            <w:tcBorders>
              <w:top w:val="single" w:sz="2" w:space="0" w:color="000000"/>
              <w:start w:val="single" w:sz="12" w:space="0" w:color="000000"/>
              <w:bottom w:val="single" w:sz="2" w:space="0" w:color="000000"/>
              <w:end w:val="single" w:sz="12" w:space="0" w:color="000000"/>
            </w:tcBorders>
          </w:tcPr>
          <w:p>
            <w:pPr>
              <w:pStyle w:val="Normal"/>
              <w:jc w:val="center"/>
              <w:rPr>
                <w:rFonts w:ascii="Arial" w:hAnsi="Arial" w:cs="Arial"/>
                <w:color w:val="000000"/>
                <w:lang w:eastAsia="en-US"/>
              </w:rPr>
            </w:pPr>
            <w:r>
              <w:rPr>
                <w:rFonts w:cs="Arial" w:ascii="Arial" w:hAnsi="Arial"/>
                <w:color w:val="000000"/>
                <w:lang w:eastAsia="en-US"/>
              </w:rPr>
              <w:t>BBB-/Baa3 or higher</w:t>
            </w:r>
          </w:p>
        </w:tc>
        <w:tc>
          <w:tcPr>
            <w:tcW w:w="1277" w:type="dxa"/>
            <w:tcBorders>
              <w:top w:val="single" w:sz="2" w:space="0" w:color="000000"/>
              <w:start w:val="single" w:sz="12" w:space="0" w:color="000000"/>
              <w:bottom w:val="single" w:sz="2"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&lt;= 1 year</w:t>
            </w:r>
          </w:p>
        </w:tc>
        <w:tc>
          <w:tcPr>
            <w:tcW w:w="1276" w:type="dxa"/>
            <w:tcBorders>
              <w:top w:val="single" w:sz="2" w:space="0" w:color="000000"/>
              <w:start w:val="single" w:sz="6" w:space="0" w:color="000000"/>
              <w:bottom w:val="single" w:sz="2"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DASH</w:t>
            </w:r>
          </w:p>
        </w:tc>
        <w:tc>
          <w:tcPr>
            <w:tcW w:w="1277" w:type="dxa"/>
            <w:tcBorders>
              <w:top w:val="single" w:sz="2" w:space="0" w:color="000000"/>
              <w:start w:val="single" w:sz="6" w:space="0" w:color="000000"/>
              <w:bottom w:val="single" w:sz="2"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DASH</w:t>
            </w:r>
          </w:p>
        </w:tc>
        <w:tc>
          <w:tcPr>
            <w:tcW w:w="1277" w:type="dxa"/>
            <w:tcBorders>
              <w:top w:val="single" w:sz="2" w:space="0" w:color="000000"/>
              <w:start w:val="single" w:sz="6" w:space="0" w:color="000000"/>
              <w:bottom w:val="single" w:sz="2"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DASH</w:t>
            </w:r>
          </w:p>
        </w:tc>
        <w:tc>
          <w:tcPr>
            <w:tcW w:w="1277" w:type="dxa"/>
            <w:tcBorders>
              <w:top w:val="single" w:sz="2" w:space="0" w:color="000000"/>
              <w:start w:val="single" w:sz="6" w:space="0" w:color="000000"/>
              <w:bottom w:val="single" w:sz="2"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DASH</w:t>
            </w:r>
          </w:p>
        </w:tc>
        <w:tc>
          <w:tcPr>
            <w:tcW w:w="1277" w:type="dxa"/>
            <w:tcBorders>
              <w:top w:val="single" w:sz="2" w:space="0" w:color="000000"/>
              <w:start w:val="single" w:sz="6" w:space="0" w:color="000000"/>
              <w:bottom w:val="single" w:sz="2" w:space="0" w:color="000000"/>
              <w:end w:val="single" w:sz="12" w:space="0" w:color="000000"/>
            </w:tcBorders>
          </w:tcPr>
          <w:p>
            <w:pPr>
              <w:pStyle w:val="Normal"/>
              <w:jc w:val="center"/>
              <w:rPr>
                <w:rFonts w:ascii="Arial" w:hAnsi="Arial" w:cs="Arial"/>
                <w:color w:val="000000"/>
                <w:lang w:eastAsia="en-US"/>
              </w:rPr>
            </w:pPr>
            <w:r>
              <w:rPr>
                <w:rFonts w:cs="Arial" w:ascii="Arial" w:hAnsi="Arial"/>
                <w:color w:val="000000"/>
                <w:lang w:eastAsia="en-US"/>
              </w:rPr>
              <w:t>DASH</w:t>
            </w:r>
          </w:p>
        </w:tc>
      </w:tr>
      <w:tr>
        <w:trPr>
          <w:trHeight w:val="353" w:hRule="atLeast"/>
        </w:trPr>
        <w:tc>
          <w:tcPr>
            <w:tcW w:w="2225" w:type="dxa"/>
            <w:tcBorders>
              <w:top w:val="single" w:sz="2" w:space="0" w:color="000000"/>
              <w:start w:val="single" w:sz="12" w:space="0" w:color="000000"/>
              <w:bottom w:val="single" w:sz="2" w:space="0" w:color="000000"/>
              <w:end w:val="single" w:sz="12" w:space="0" w:color="000000"/>
            </w:tcBorders>
          </w:tcPr>
          <w:p>
            <w:pPr>
              <w:pStyle w:val="Normal"/>
              <w:jc w:val="center"/>
              <w:rPr>
                <w:rFonts w:ascii="Arial" w:hAnsi="Arial" w:cs="Arial"/>
                <w:color w:val="000000"/>
                <w:lang w:eastAsia="en-US"/>
              </w:rPr>
            </w:pPr>
            <w:r>
              <w:rPr>
                <w:rFonts w:cs="Arial" w:ascii="Arial" w:hAnsi="Arial"/>
                <w:color w:val="000000"/>
                <w:lang w:eastAsia="en-US"/>
              </w:rPr>
              <w:t>BB-/Ba3 or higher</w:t>
            </w:r>
          </w:p>
        </w:tc>
        <w:tc>
          <w:tcPr>
            <w:tcW w:w="1277" w:type="dxa"/>
            <w:tcBorders>
              <w:top w:val="single" w:sz="2" w:space="0" w:color="000000"/>
              <w:start w:val="single" w:sz="12" w:space="0" w:color="000000"/>
              <w:bottom w:val="single" w:sz="2"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&lt;= 6 months</w:t>
            </w:r>
          </w:p>
        </w:tc>
        <w:tc>
          <w:tcPr>
            <w:tcW w:w="1276" w:type="dxa"/>
            <w:tcBorders>
              <w:top w:val="single" w:sz="2" w:space="0" w:color="000000"/>
              <w:start w:val="single" w:sz="6" w:space="0" w:color="000000"/>
              <w:bottom w:val="single" w:sz="2"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DASH</w:t>
            </w:r>
          </w:p>
        </w:tc>
        <w:tc>
          <w:tcPr>
            <w:tcW w:w="1277" w:type="dxa"/>
            <w:tcBorders>
              <w:top w:val="single" w:sz="2" w:space="0" w:color="000000"/>
              <w:start w:val="single" w:sz="6" w:space="0" w:color="000000"/>
              <w:bottom w:val="single" w:sz="2"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DASH</w:t>
            </w:r>
          </w:p>
        </w:tc>
        <w:tc>
          <w:tcPr>
            <w:tcW w:w="1277" w:type="dxa"/>
            <w:tcBorders>
              <w:top w:val="single" w:sz="2" w:space="0" w:color="000000"/>
              <w:start w:val="single" w:sz="6" w:space="0" w:color="000000"/>
              <w:bottom w:val="single" w:sz="2"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DASH</w:t>
            </w:r>
          </w:p>
        </w:tc>
        <w:tc>
          <w:tcPr>
            <w:tcW w:w="1277" w:type="dxa"/>
            <w:tcBorders>
              <w:top w:val="single" w:sz="2" w:space="0" w:color="000000"/>
              <w:start w:val="single" w:sz="6" w:space="0" w:color="000000"/>
              <w:bottom w:val="single" w:sz="2"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DASH</w:t>
            </w:r>
          </w:p>
        </w:tc>
        <w:tc>
          <w:tcPr>
            <w:tcW w:w="1277" w:type="dxa"/>
            <w:tcBorders>
              <w:top w:val="single" w:sz="2" w:space="0" w:color="000000"/>
              <w:start w:val="single" w:sz="6" w:space="0" w:color="000000"/>
              <w:bottom w:val="single" w:sz="2" w:space="0" w:color="000000"/>
              <w:end w:val="single" w:sz="12" w:space="0" w:color="000000"/>
            </w:tcBorders>
          </w:tcPr>
          <w:p>
            <w:pPr>
              <w:pStyle w:val="Normal"/>
              <w:jc w:val="center"/>
              <w:rPr>
                <w:rFonts w:ascii="Arial" w:hAnsi="Arial" w:cs="Arial"/>
                <w:color w:val="000000"/>
                <w:lang w:eastAsia="en-US"/>
              </w:rPr>
            </w:pPr>
            <w:r>
              <w:rPr>
                <w:rFonts w:cs="Arial" w:ascii="Arial" w:hAnsi="Arial"/>
                <w:color w:val="000000"/>
                <w:lang w:eastAsia="en-US"/>
              </w:rPr>
              <w:t>DASH</w:t>
            </w:r>
          </w:p>
        </w:tc>
      </w:tr>
      <w:tr>
        <w:trPr>
          <w:trHeight w:val="353" w:hRule="atLeast"/>
        </w:trPr>
        <w:tc>
          <w:tcPr>
            <w:tcW w:w="2225" w:type="dxa"/>
            <w:tcBorders>
              <w:top w:val="single" w:sz="2" w:space="0" w:color="000000"/>
              <w:start w:val="single" w:sz="12" w:space="0" w:color="000000"/>
              <w:bottom w:val="single" w:sz="12" w:space="0" w:color="000000"/>
              <w:end w:val="single" w:sz="12" w:space="0" w:color="000000"/>
            </w:tcBorders>
          </w:tcPr>
          <w:p>
            <w:pPr>
              <w:pStyle w:val="Normal"/>
              <w:jc w:val="center"/>
              <w:rPr>
                <w:rFonts w:ascii="Arial" w:hAnsi="Arial" w:cs="Arial"/>
                <w:color w:val="000000"/>
                <w:lang w:eastAsia="en-US"/>
              </w:rPr>
            </w:pPr>
            <w:r>
              <w:rPr>
                <w:rFonts w:cs="Arial" w:ascii="Arial" w:hAnsi="Arial"/>
                <w:color w:val="000000"/>
                <w:lang w:eastAsia="en-US"/>
              </w:rPr>
              <w:t>B+/B1 or lower or unrated</w:t>
            </w:r>
          </w:p>
        </w:tc>
        <w:tc>
          <w:tcPr>
            <w:tcW w:w="1277" w:type="dxa"/>
            <w:tcBorders>
              <w:top w:val="single" w:sz="2" w:space="0" w:color="000000"/>
              <w:start w:val="single" w:sz="12" w:space="0" w:color="000000"/>
              <w:bottom w:val="single" w:sz="12"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&lt;= 3 months</w:t>
            </w:r>
          </w:p>
        </w:tc>
        <w:tc>
          <w:tcPr>
            <w:tcW w:w="1276" w:type="dxa"/>
            <w:tcBorders>
              <w:top w:val="single" w:sz="2" w:space="0" w:color="000000"/>
              <w:start w:val="single" w:sz="6" w:space="0" w:color="000000"/>
              <w:bottom w:val="single" w:sz="12"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DASH</w:t>
            </w:r>
          </w:p>
        </w:tc>
        <w:tc>
          <w:tcPr>
            <w:tcW w:w="1277" w:type="dxa"/>
            <w:tcBorders>
              <w:top w:val="single" w:sz="2" w:space="0" w:color="000000"/>
              <w:start w:val="single" w:sz="6" w:space="0" w:color="000000"/>
              <w:bottom w:val="single" w:sz="12"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DASH</w:t>
            </w:r>
          </w:p>
        </w:tc>
        <w:tc>
          <w:tcPr>
            <w:tcW w:w="1277" w:type="dxa"/>
            <w:tcBorders>
              <w:top w:val="single" w:sz="2" w:space="0" w:color="000000"/>
              <w:start w:val="single" w:sz="6" w:space="0" w:color="000000"/>
              <w:bottom w:val="single" w:sz="12"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DASH</w:t>
            </w:r>
          </w:p>
        </w:tc>
        <w:tc>
          <w:tcPr>
            <w:tcW w:w="1277" w:type="dxa"/>
            <w:tcBorders>
              <w:top w:val="single" w:sz="2" w:space="0" w:color="000000"/>
              <w:start w:val="single" w:sz="6" w:space="0" w:color="000000"/>
              <w:bottom w:val="single" w:sz="12"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DASH</w:t>
            </w:r>
          </w:p>
        </w:tc>
        <w:tc>
          <w:tcPr>
            <w:tcW w:w="1277" w:type="dxa"/>
            <w:tcBorders>
              <w:top w:val="single" w:sz="2" w:space="0" w:color="000000"/>
              <w:start w:val="single" w:sz="6" w:space="0" w:color="000000"/>
              <w:bottom w:val="single" w:sz="12" w:space="0" w:color="000000"/>
              <w:end w:val="single" w:sz="12" w:space="0" w:color="000000"/>
            </w:tcBorders>
          </w:tcPr>
          <w:p>
            <w:pPr>
              <w:pStyle w:val="Normal"/>
              <w:jc w:val="center"/>
              <w:rPr>
                <w:rFonts w:ascii="Arial" w:hAnsi="Arial" w:cs="Arial"/>
                <w:color w:val="000000"/>
                <w:lang w:eastAsia="en-US"/>
              </w:rPr>
            </w:pPr>
            <w:r>
              <w:rPr>
                <w:rFonts w:cs="Arial" w:ascii="Arial" w:hAnsi="Arial"/>
                <w:color w:val="000000"/>
                <w:lang w:eastAsia="en-US"/>
              </w:rPr>
              <w:t>DASH</w:t>
            </w:r>
          </w:p>
        </w:tc>
      </w:tr>
    </w:tbl>
    <w:p>
      <w:pPr>
        <w:pStyle w:val="Normal"/>
        <w:jc w:val="center"/>
        <w:rPr>
          <w:rFonts w:ascii="Arial" w:hAnsi="Arial" w:cs="Arial"/>
          <w:color w:val="000000"/>
          <w:lang w:eastAsia="en-US"/>
        </w:rPr>
      </w:pPr>
      <w:r>
        <w:rPr>
          <w:rFonts w:cs="Arial" w:ascii="Arial" w:hAnsi="Arial"/>
          <w:color w:val="000000"/>
          <w:lang w:eastAsia="en-US"/>
        </w:rPr>
        <w:t>*In the case of split-rated entities, the lowest applicable rating level shall apply (e.g., an A+/A2 counterparty is classified as A-/A3 or higher and a BBB-/Ba2 counterparty is classified as BB/Ba2 or higher)</w:t>
      </w:r>
    </w:p>
    <w:p>
      <w:pPr>
        <w:pStyle w:val="Normal"/>
        <w:jc w:val="center"/>
        <w:rPr>
          <w:rFonts w:ascii="Arial" w:hAnsi="Arial" w:cs="Arial"/>
          <w:color w:val="000000"/>
          <w:lang w:eastAsia="en-US"/>
        </w:rPr>
      </w:pPr>
      <w:r>
        <w:rPr>
          <w:rFonts w:cs="Arial" w:ascii="Arial" w:hAnsi="Arial"/>
          <w:color w:val="000000"/>
          <w:lang w:eastAsia="en-US"/>
        </w:rPr>
      </w:r>
    </w:p>
    <w:p>
      <w:pPr>
        <w:pStyle w:val="Normal"/>
        <w:jc w:val="center"/>
        <w:rPr>
          <w:rFonts w:ascii="Arial" w:hAnsi="Arial" w:cs="Arial"/>
          <w:color w:val="000000"/>
          <w:lang w:eastAsia="en-US"/>
        </w:rPr>
      </w:pPr>
      <w:r>
        <w:rPr>
          <w:rFonts w:cs="Arial" w:ascii="Arial" w:hAnsi="Arial"/>
          <w:color w:val="000000"/>
          <w:lang w:eastAsia="en-US"/>
        </w:rPr>
      </w:r>
    </w:p>
    <w:p>
      <w:pPr>
        <w:pStyle w:val="Normal"/>
        <w:jc w:val="center"/>
        <w:rPr>
          <w:rFonts w:ascii="Arial" w:hAnsi="Arial" w:cs="Arial"/>
          <w:color w:val="000000"/>
          <w:sz w:val="28"/>
          <w:lang w:eastAsia="en-US"/>
        </w:rPr>
      </w:pPr>
      <w:r>
        <w:rPr>
          <w:rFonts w:cs="Arial" w:ascii="Arial" w:hAnsi="Arial"/>
          <w:color w:val="000000"/>
          <w:sz w:val="28"/>
          <w:lang w:eastAsia="en-US"/>
        </w:rPr>
      </w:r>
    </w:p>
    <w:sectPr>
      <w:type w:val="nextPage"/>
      <w:pgSz w:w="12240" w:h="15840"/>
      <w:pgMar w:left="1440" w:right="1008" w:gutter="0" w:header="0" w:top="1008"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Tahoma">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start"/>
      <w:pPr>
        <w:tabs>
          <w:tab w:val="num" w:pos="432"/>
        </w:tabs>
        <w:ind w:start="432" w:hanging="432"/>
      </w:pPr>
    </w:lvl>
    <w:lvl w:ilvl="1">
      <w:start w:val="1"/>
      <w:pStyle w:val="Heading2"/>
      <w:numFmt w:val="decimal"/>
      <w:lvlText w:val="%1.%2"/>
      <w:lvlJc w:val="start"/>
      <w:pPr>
        <w:tabs>
          <w:tab w:val="num" w:pos="576"/>
        </w:tabs>
        <w:ind w:start="576" w:hanging="576"/>
      </w:pPr>
    </w:lvl>
    <w:lvl w:ilvl="2">
      <w:start w:val="1"/>
      <w:pStyle w:val="Heading3"/>
      <w:numFmt w:val="decimal"/>
      <w:lvlText w:val="%1.%2.%3"/>
      <w:lvlJc w:val="start"/>
      <w:pPr>
        <w:tabs>
          <w:tab w:val="num" w:pos="720"/>
        </w:tabs>
        <w:ind w:start="720" w:hanging="720"/>
      </w:pPr>
    </w:lvl>
    <w:lvl w:ilvl="3">
      <w:start w:val="1"/>
      <w:pStyle w:val="Heading4"/>
      <w:numFmt w:val="decimal"/>
      <w:lvlText w:val="%1.%2.%3.%4"/>
      <w:lvlJc w:val="start"/>
      <w:pPr>
        <w:tabs>
          <w:tab w:val="num" w:pos="864"/>
        </w:tabs>
        <w:ind w:start="864" w:hanging="864"/>
      </w:pPr>
    </w:lvl>
    <w:lvl w:ilvl="4">
      <w:start w:val="1"/>
      <w:pStyle w:val="Heading5"/>
      <w:numFmt w:val="decimal"/>
      <w:lvlText w:val="%1.%2.%3.%4.%5"/>
      <w:lvlJc w:val="start"/>
      <w:pPr>
        <w:tabs>
          <w:tab w:val="num" w:pos="1008"/>
        </w:tabs>
        <w:ind w:start="1008" w:hanging="1008"/>
      </w:pPr>
    </w:lvl>
    <w:lvl w:ilvl="5">
      <w:start w:val="1"/>
      <w:pStyle w:val="Heading6"/>
      <w:numFmt w:val="decimal"/>
      <w:lvlText w:val="%1.%2.%3.%4.%5.%6"/>
      <w:lvlJc w:val="start"/>
      <w:pPr>
        <w:tabs>
          <w:tab w:val="num" w:pos="1152"/>
        </w:tabs>
        <w:ind w:start="1152" w:hanging="1152"/>
      </w:pPr>
    </w:lvl>
    <w:lvl w:ilvl="6">
      <w:start w:val="1"/>
      <w:pStyle w:val="Heading7"/>
      <w:numFmt w:val="decimal"/>
      <w:lvlText w:val="%1.%2.%3.%4.%5.%6.%7"/>
      <w:lvlJc w:val="start"/>
      <w:pPr>
        <w:tabs>
          <w:tab w:val="num" w:pos="1296"/>
        </w:tabs>
        <w:ind w:start="1296" w:hanging="1296"/>
      </w:pPr>
    </w:lvl>
    <w:lvl w:ilvl="7">
      <w:start w:val="1"/>
      <w:pStyle w:val="Heading8"/>
      <w:numFmt w:val="decimal"/>
      <w:lvlText w:val="%1.%2.%3.%4.%5.%6.%7.%8"/>
      <w:lvlJc w:val="start"/>
      <w:pPr>
        <w:tabs>
          <w:tab w:val="num" w:pos="1440"/>
        </w:tabs>
        <w:ind w:start="1440" w:hanging="1440"/>
      </w:pPr>
    </w:lvl>
    <w:lvl w:ilvl="8">
      <w:start w:val="1"/>
      <w:pStyle w:val="Heading9"/>
      <w:numFmt w:val="decimal"/>
      <w:lvlText w:val="%1.%2.%3.%4.%5.%6.%7.%8.%9"/>
      <w:lvlJc w:val="start"/>
      <w:pPr>
        <w:tabs>
          <w:tab w:val="num" w:pos="1584"/>
        </w:tabs>
        <w:ind w:start="1584" w:hanging="1584"/>
      </w:pPr>
    </w:lvl>
  </w:abstractNum>
  <w:abstractNum w:abstractNumId="2">
    <w:lvl w:ilvl="0">
      <w:start w:val="1"/>
      <w:numFmt w:val="decimal"/>
      <w:lvlText w:val="%1."/>
      <w:lvlJc w:val="start"/>
      <w:pPr>
        <w:tabs>
          <w:tab w:val="num" w:pos="360"/>
        </w:tabs>
        <w:ind w:start="360" w:hanging="360"/>
      </w:pPr>
    </w:lvl>
    <w:lvl w:ilvl="1">
      <w:start w:val="1"/>
      <w:numFmt w:val="decimal"/>
      <w:lvlText w:val="%1.%2."/>
      <w:lvlJc w:val="start"/>
      <w:pPr>
        <w:tabs>
          <w:tab w:val="num" w:pos="792"/>
        </w:tabs>
        <w:ind w:start="792" w:hanging="432"/>
      </w:pPr>
    </w:lvl>
    <w:lvl w:ilvl="2">
      <w:start w:val="1"/>
      <w:numFmt w:val="decimal"/>
      <w:lvlText w:val="%1.%2.%3."/>
      <w:lvlJc w:val="start"/>
      <w:pPr>
        <w:tabs>
          <w:tab w:val="num" w:pos="1224"/>
        </w:tabs>
        <w:ind w:start="1224" w:hanging="504"/>
      </w:pPr>
    </w:lvl>
    <w:lvl w:ilvl="3">
      <w:start w:val="1"/>
      <w:numFmt w:val="decimal"/>
      <w:lvlText w:val="%1.%2.%3.%4."/>
      <w:lvlJc w:val="start"/>
      <w:pPr>
        <w:tabs>
          <w:tab w:val="num" w:pos="1728"/>
        </w:tabs>
        <w:ind w:start="1728" w:hanging="648"/>
      </w:pPr>
    </w:lvl>
    <w:lvl w:ilvl="4">
      <w:start w:val="1"/>
      <w:numFmt w:val="decimal"/>
      <w:lvlText w:val="%1.%2.%3.%4.%5."/>
      <w:lvlJc w:val="start"/>
      <w:pPr>
        <w:tabs>
          <w:tab w:val="num" w:pos="2232"/>
        </w:tabs>
        <w:ind w:start="2232" w:hanging="792"/>
      </w:pPr>
    </w:lvl>
    <w:lvl w:ilvl="5">
      <w:start w:val="1"/>
      <w:numFmt w:val="decimal"/>
      <w:lvlText w:val="%1.%2.%3.%4.%5.%6."/>
      <w:lvlJc w:val="start"/>
      <w:pPr>
        <w:tabs>
          <w:tab w:val="num" w:pos="2736"/>
        </w:tabs>
        <w:ind w:start="2736" w:hanging="936"/>
      </w:pPr>
    </w:lvl>
    <w:lvl w:ilvl="6">
      <w:start w:val="1"/>
      <w:numFmt w:val="decimal"/>
      <w:lvlText w:val="%1.%2.%3.%4.%5.%6.%7."/>
      <w:lvlJc w:val="start"/>
      <w:pPr>
        <w:tabs>
          <w:tab w:val="num" w:pos="3240"/>
        </w:tabs>
        <w:ind w:start="3240" w:hanging="1080"/>
      </w:pPr>
    </w:lvl>
    <w:lvl w:ilvl="7">
      <w:start w:val="1"/>
      <w:numFmt w:val="decimal"/>
      <w:lvlText w:val="%1.%2.%3.%4.%5.%6.%7.%8."/>
      <w:lvlJc w:val="start"/>
      <w:pPr>
        <w:tabs>
          <w:tab w:val="num" w:pos="3744"/>
        </w:tabs>
        <w:ind w:start="3744" w:hanging="1224"/>
      </w:pPr>
    </w:lvl>
    <w:lvl w:ilvl="8">
      <w:start w:val="1"/>
      <w:numFmt w:val="decimal"/>
      <w:lvlText w:val="%1.%2.%3.%4.%5.%6.%7.%8.%9."/>
      <w:lvlJc w:val="start"/>
      <w:pPr>
        <w:tabs>
          <w:tab w:val="num" w:pos="4320"/>
        </w:tabs>
        <w:ind w:start="4320" w:hanging="1440"/>
      </w:pPr>
    </w:lvl>
  </w:abstractNum>
  <w:abstractNum w:abstractNumId="3">
    <w:lvl w:ilvl="0">
      <w:start w:val="1"/>
      <w:numFmt w:val="decimal"/>
      <w:lvlText w:val="%1."/>
      <w:lvlJc w:val="start"/>
      <w:pPr>
        <w:tabs>
          <w:tab w:val="num" w:pos="360"/>
        </w:tabs>
        <w:ind w:start="360" w:hanging="360"/>
      </w:pPr>
      <w:rPr/>
    </w:lvl>
  </w:abstractNum>
  <w:abstractNum w:abstractNumId="4">
    <w:lvl w:ilvl="0">
      <w:start w:val="1"/>
      <w:numFmt w:val="decimal"/>
      <w:lvlText w:val="%1."/>
      <w:lvlJc w:val="start"/>
      <w:pPr>
        <w:tabs>
          <w:tab w:val="num" w:pos="360"/>
        </w:tabs>
        <w:ind w:start="360" w:hanging="360"/>
      </w:pPr>
    </w:lvl>
    <w:lvl w:ilvl="1">
      <w:start w:val="1"/>
      <w:numFmt w:val="decimal"/>
      <w:lvlText w:val="%1.%2."/>
      <w:lvlJc w:val="start"/>
      <w:pPr>
        <w:tabs>
          <w:tab w:val="num" w:pos="792"/>
        </w:tabs>
        <w:ind w:start="792" w:hanging="432"/>
      </w:pPr>
    </w:lvl>
    <w:lvl w:ilvl="2">
      <w:start w:val="1"/>
      <w:numFmt w:val="decimal"/>
      <w:lvlText w:val="%1.%2.%3."/>
      <w:lvlJc w:val="start"/>
      <w:pPr>
        <w:tabs>
          <w:tab w:val="num" w:pos="1224"/>
        </w:tabs>
        <w:ind w:start="1224" w:hanging="504"/>
      </w:pPr>
    </w:lvl>
    <w:lvl w:ilvl="3">
      <w:start w:val="1"/>
      <w:numFmt w:val="decimal"/>
      <w:lvlText w:val="%1.%2.%3.%4."/>
      <w:lvlJc w:val="start"/>
      <w:pPr>
        <w:tabs>
          <w:tab w:val="num" w:pos="1728"/>
        </w:tabs>
        <w:ind w:start="1728" w:hanging="648"/>
      </w:pPr>
    </w:lvl>
    <w:lvl w:ilvl="4">
      <w:start w:val="1"/>
      <w:numFmt w:val="decimal"/>
      <w:lvlText w:val="%1.%2.%3.%4.%5."/>
      <w:lvlJc w:val="start"/>
      <w:pPr>
        <w:tabs>
          <w:tab w:val="num" w:pos="2232"/>
        </w:tabs>
        <w:ind w:start="2232" w:hanging="792"/>
      </w:pPr>
    </w:lvl>
    <w:lvl w:ilvl="5">
      <w:start w:val="1"/>
      <w:numFmt w:val="decimal"/>
      <w:lvlText w:val="%1.%2.%3.%4.%5.%6."/>
      <w:lvlJc w:val="start"/>
      <w:pPr>
        <w:tabs>
          <w:tab w:val="num" w:pos="2736"/>
        </w:tabs>
        <w:ind w:start="2736" w:hanging="936"/>
      </w:pPr>
    </w:lvl>
    <w:lvl w:ilvl="6">
      <w:start w:val="1"/>
      <w:numFmt w:val="decimal"/>
      <w:lvlText w:val="%1.%2.%3.%4.%5.%6.%7."/>
      <w:lvlJc w:val="start"/>
      <w:pPr>
        <w:tabs>
          <w:tab w:val="num" w:pos="3240"/>
        </w:tabs>
        <w:ind w:start="3240" w:hanging="1080"/>
      </w:pPr>
    </w:lvl>
    <w:lvl w:ilvl="7">
      <w:start w:val="1"/>
      <w:numFmt w:val="decimal"/>
      <w:lvlText w:val="%1.%2.%3.%4.%5.%6.%7.%8."/>
      <w:lvlJc w:val="start"/>
      <w:pPr>
        <w:tabs>
          <w:tab w:val="num" w:pos="3744"/>
        </w:tabs>
        <w:ind w:start="3744" w:hanging="1224"/>
      </w:pPr>
    </w:lvl>
    <w:lvl w:ilvl="8">
      <w:start w:val="1"/>
      <w:numFmt w:val="decimal"/>
      <w:lvlText w:val="%1.%2.%3.%4.%5.%6.%7.%8.%9."/>
      <w:lvlJc w:val="start"/>
      <w:pPr>
        <w:tabs>
          <w:tab w:val="num" w:pos="4320"/>
        </w:tabs>
        <w:ind w:start="4320" w:hanging="144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sz w:val="24"/>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sz w:val="24"/>
    </w:rPr>
  </w:style>
  <w:style w:type="paragraph" w:styleId="Heading4">
    <w:name w:val="heading 4"/>
    <w:basedOn w:val="Normal"/>
    <w:next w:val="Normal"/>
    <w:qFormat/>
    <w:pPr>
      <w:keepNext w:val="true"/>
      <w:numPr>
        <w:ilvl w:val="3"/>
        <w:numId w:val="1"/>
      </w:numPr>
      <w:spacing w:before="240" w:after="60"/>
      <w:outlineLvl w:val="3"/>
    </w:pPr>
    <w:rPr>
      <w:rFonts w:ascii="Arial" w:hAnsi="Arial" w:cs="Arial"/>
      <w:b/>
      <w:sz w:val="24"/>
    </w:rPr>
  </w:style>
  <w:style w:type="paragraph" w:styleId="Heading5">
    <w:name w:val="heading 5"/>
    <w:basedOn w:val="Normal"/>
    <w:next w:val="Normal"/>
    <w:qFormat/>
    <w:pPr>
      <w:numPr>
        <w:ilvl w:val="4"/>
        <w:numId w:val="1"/>
      </w:numPr>
      <w:spacing w:before="240" w:after="60"/>
      <w:outlineLvl w:val="4"/>
    </w:pPr>
    <w:rPr>
      <w:sz w:val="22"/>
    </w:rPr>
  </w:style>
  <w:style w:type="paragraph" w:styleId="Heading6">
    <w:name w:val="heading 6"/>
    <w:basedOn w:val="Normal"/>
    <w:next w:val="Normal"/>
    <w:qFormat/>
    <w:pPr>
      <w:numPr>
        <w:ilvl w:val="5"/>
        <w:numId w:val="1"/>
      </w:numPr>
      <w:spacing w:before="240" w:after="60"/>
      <w:outlineLvl w:val="5"/>
    </w:pPr>
    <w:rPr>
      <w:i/>
      <w:sz w:val="22"/>
    </w:rPr>
  </w:style>
  <w:style w:type="paragraph" w:styleId="Heading7">
    <w:name w:val="heading 7"/>
    <w:basedOn w:val="Normal"/>
    <w:next w:val="Normal"/>
    <w:qFormat/>
    <w:pPr>
      <w:numPr>
        <w:ilvl w:val="6"/>
        <w:numId w:val="1"/>
      </w:numPr>
      <w:spacing w:before="240" w:after="60"/>
      <w:outlineLvl w:val="6"/>
    </w:pPr>
    <w:rPr>
      <w:rFonts w:ascii="Arial" w:hAnsi="Arial" w:cs="Arial"/>
    </w:rPr>
  </w:style>
  <w:style w:type="paragraph" w:styleId="Heading8">
    <w:name w:val="heading 8"/>
    <w:basedOn w:val="Normal"/>
    <w:next w:val="Normal"/>
    <w:qFormat/>
    <w:pPr>
      <w:numPr>
        <w:ilvl w:val="7"/>
        <w:numId w:val="1"/>
      </w:numPr>
      <w:spacing w:before="240" w:after="60"/>
      <w:outlineLvl w:val="7"/>
    </w:pPr>
    <w:rPr>
      <w:rFonts w:ascii="Arial" w:hAnsi="Arial" w:cs="Arial"/>
      <w:i/>
    </w:rPr>
  </w:style>
  <w:style w:type="paragraph" w:styleId="Heading9">
    <w:name w:val="heading 9"/>
    <w:basedOn w:val="Normal"/>
    <w:next w:val="Normal"/>
    <w:qFormat/>
    <w:pPr>
      <w:numPr>
        <w:ilvl w:val="8"/>
        <w:numId w:val="1"/>
      </w:numPr>
      <w:spacing w:before="240" w:after="60"/>
      <w:outlineLvl w:val="8"/>
    </w:pPr>
    <w:rPr>
      <w:rFonts w:ascii="Arial" w:hAnsi="Arial" w:cs="Arial"/>
      <w:b/>
      <w:i/>
      <w:sz w:val="18"/>
    </w:rPr>
  </w:style>
  <w:style w:type="character" w:styleId="WW8Num5z0">
    <w:name w:val="WW8Num5z0"/>
    <w:qFormat/>
    <w:rPr>
      <w:rFonts w:ascii="Symbol" w:hAnsi="Symbol" w:cs="Symbol"/>
    </w:rPr>
  </w:style>
  <w:style w:type="character" w:styleId="WW8Num7z0">
    <w:name w:val="WW8Num7z0"/>
    <w:qFormat/>
    <w:rPr>
      <w:b w:val="false"/>
      <w:i w:val="false"/>
    </w:rPr>
  </w:style>
  <w:style w:type="character" w:styleId="WW8Num8z0">
    <w:name w:val="WW8Num8z0"/>
    <w:qFormat/>
    <w:rPr>
      <w:b w:val="false"/>
      <w:i w:val="false"/>
    </w:rPr>
  </w:style>
  <w:style w:type="character" w:styleId="WW8Num9z0">
    <w:name w:val="WW8Num9z0"/>
    <w:qFormat/>
    <w:rPr/>
  </w:style>
  <w:style w:type="character" w:styleId="WW8Num14z0">
    <w:name w:val="WW8Num14z0"/>
    <w:qFormat/>
    <w:rPr>
      <w:rFonts w:ascii="Wingdings" w:hAnsi="Wingdings" w:cs="Wingdings"/>
    </w:rPr>
  </w:style>
  <w:style w:type="character" w:styleId="WW8Num15z0">
    <w:name w:val="WW8Num15z0"/>
    <w:qFormat/>
    <w:rPr>
      <w:rFonts w:ascii="Symbol" w:hAnsi="Symbol" w:cs="Symbol"/>
    </w:rPr>
  </w:style>
  <w:style w:type="character" w:styleId="WW8Num22z0">
    <w:name w:val="WW8Num22z0"/>
    <w:qFormat/>
    <w:rPr>
      <w:rFonts w:ascii="Symbol" w:hAnsi="Symbol" w:cs="Symbol"/>
    </w:rPr>
  </w:style>
  <w:style w:type="character" w:styleId="WW8Num23z0">
    <w:name w:val="WW8Num23z0"/>
    <w:qFormat/>
    <w:rPr>
      <w:rFonts w:ascii="Wingdings" w:hAnsi="Wingdings" w:cs="Wingdings"/>
    </w:rPr>
  </w:style>
  <w:style w:type="character" w:styleId="WW8Num29z0">
    <w:name w:val="WW8Num29z0"/>
    <w:qFormat/>
    <w:rPr/>
  </w:style>
  <w:style w:type="character" w:styleId="WW8Num30z0">
    <w:name w:val="WW8Num30z0"/>
    <w:qFormat/>
    <w:rPr>
      <w:rFonts w:ascii="Wingdings" w:hAnsi="Wingdings" w:cs="Wingdings"/>
    </w:rPr>
  </w:style>
  <w:style w:type="character" w:styleId="WW8Num31z0">
    <w:name w:val="WW8Num31z0"/>
    <w:qFormat/>
    <w:rPr/>
  </w:style>
  <w:style w:type="character" w:styleId="WW8Num33z0">
    <w:name w:val="WW8Num33z0"/>
    <w:qFormat/>
    <w:rPr>
      <w:rFonts w:ascii="Wingdings" w:hAnsi="Wingdings" w:cs="Wingdings"/>
    </w:rPr>
  </w:style>
  <w:style w:type="character" w:styleId="WW8Num36z0">
    <w:name w:val="WW8Num36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jc w:val="center"/>
    </w:pPr>
    <w:rPr>
      <w:sz w:val="24"/>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432"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style>
  <w:style w:type="paragraph" w:styleId="DocumentMap">
    <w:name w:val="Document Map"/>
    <w:basedOn w:val="Normal"/>
    <w:qFormat/>
    <w:pPr>
      <w:shd w:fill="000080" w:val="clear"/>
    </w:pPr>
    <w:rPr>
      <w:rFonts w:ascii="Tahoma" w:hAnsi="Tahoma" w:cs="Tahom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2001-01-22T14:30:00Z</dcterms:created>
  <dc:creator>cschneid</dc:creator>
  <dc:description/>
  <dc:language>en-CA</dc:language>
  <cp:lastModifiedBy>Eric Boyt</cp:lastModifiedBy>
  <cp:lastPrinted>2001-01-09T07:53:00Z</cp:lastPrinted>
  <dcterms:modified xsi:type="dcterms:W3CDTF">2001-01-22T14:30:00Z</dcterms:modified>
  <cp:revision>2</cp:revision>
  <dc:subject/>
  <dc:title>DASH Approval</dc:title>
</cp:coreProperties>
</file>