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>E-508, Electrical Emergency Plan</w:t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3.0 (Attachment A = 1.8, Attachment C = 1.0)</w:t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2/6/2002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To bring procedure up to date.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Re-defined “PTO Control Centers” as “Power Grid Operations Centers” to better include Pasadena, Lassen and future participating entities.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Lassen MUD and their share of firm load shedding.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requests for action for Reliability Coordinator.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consideration of operating constraints when ordering interruptible and firm loads to be shed or restored.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clarification for declaration of an Emergency Stage when Operating Reserves are, or are forecast to be LESS than the appropriate percentage for that Stage (Stage 1= less than minimum required by WSCC MORC; Stage 2= 5%; Stage 3= 1.5%).  Also added clarification for termination of an Emergency Stage when Operating Reserves reach, or exceed the above noted percentages.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Alert and Warning Cancellation notice verbiage; added Stage 3 Electrical Emergency Notice of Load Interruption Cancellation and Extension notice verbiage; added Alert and Warning Extension notice verbiage.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information regarding advance notices (48 hr, 24 hr and 1 hr) to Policy section.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WSCC MORC to definitions section.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2001-12-04T19:26:00Z</dcterms:created>
  <dc:creator>MPeterson</dc:creator>
  <dc:description/>
  <dc:language>en-CA</dc:language>
  <cp:lastModifiedBy>mpeterson</cp:lastModifiedBy>
  <cp:lastPrinted>2001-08-21T11:34:00Z</cp:lastPrinted>
  <dcterms:modified xsi:type="dcterms:W3CDTF">2002-02-05T18:26:00Z</dcterms:modified>
  <cp:revision>7</cp:revision>
  <dc:subject/>
  <dc:title>Procedure Change Description</dc:title>
</cp:coreProperties>
</file>