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smallCaps/>
          <w:sz w:val="22"/>
        </w:rPr>
      </w:pPr>
      <w:r>
        <w:rPr>
          <w:rFonts w:cs="Arial" w:ascii="Arial" w:hAnsi="Arial"/>
          <w:b/>
          <w:smallCaps/>
          <w:sz w:val="22"/>
        </w:rPr>
        <w:t>Exhibit B</w:t>
      </w:r>
    </w:p>
    <w:p>
      <w:pPr>
        <w:pStyle w:val="Heading1"/>
        <w:ind w:hanging="0" w:start="0"/>
        <w:rPr>
          <w:rFonts w:ascii="Arial" w:hAnsi="Arial" w:cs="Arial"/>
          <w:b/>
          <w:smallCaps/>
          <w:sz w:val="22"/>
        </w:rPr>
      </w:pPr>
      <w:r>
        <w:rPr>
          <w:rFonts w:cs="Arial" w:ascii="Arial" w:hAnsi="Arial"/>
          <w:b/>
          <w:smallCaps/>
          <w:sz w:val="22"/>
        </w:rPr>
      </w:r>
    </w:p>
    <w:p>
      <w:pPr>
        <w:pStyle w:val="Heading1"/>
        <w:ind w:hanging="0" w:start="0"/>
        <w:rPr>
          <w:rFonts w:ascii="Arial" w:hAnsi="Arial" w:cs="Arial"/>
          <w:b/>
          <w:smallCaps/>
          <w:sz w:val="20"/>
        </w:rPr>
      </w:pPr>
      <w:r>
        <w:rPr>
          <w:rFonts w:cs="Arial" w:ascii="Arial" w:hAnsi="Arial"/>
          <w:b/>
          <w:smallCaps/>
          <w:sz w:val="20"/>
        </w:rPr>
        <w:t>Term Sheet for</w:t>
      </w:r>
    </w:p>
    <w:p>
      <w:pPr>
        <w:pStyle w:val="Heading6"/>
        <w:numPr>
          <w:ilvl w:val="0"/>
          <w:numId w:val="0"/>
        </w:numPr>
        <w:ind w:hanging="0" w:start="0"/>
        <w:jc w:val="center"/>
        <w:rPr>
          <w:rFonts w:ascii="Arial" w:hAnsi="Arial" w:cs="Arial"/>
          <w:smallCaps/>
          <w:sz w:val="20"/>
        </w:rPr>
      </w:pPr>
      <w:r>
        <w:rPr>
          <w:rFonts w:cs="Arial" w:ascii="Arial" w:hAnsi="Arial"/>
          <w:smallCaps/>
          <w:sz w:val="20"/>
        </w:rPr>
        <w:t xml:space="preserve">Qualified Scheduling Entity Services </w:t>
      </w:r>
    </w:p>
    <w:p>
      <w:pPr>
        <w:pStyle w:val="Heading6"/>
        <w:numPr>
          <w:ilvl w:val="0"/>
          <w:numId w:val="0"/>
        </w:numPr>
        <w:ind w:hanging="0" w:start="0"/>
        <w:jc w:val="center"/>
        <w:rPr>
          <w:rFonts w:ascii="Arial" w:hAnsi="Arial" w:cs="Arial"/>
          <w:smallCaps/>
          <w:sz w:val="20"/>
        </w:rPr>
      </w:pPr>
      <w:r>
        <w:rPr>
          <w:rFonts w:cs="Arial" w:ascii="Arial" w:hAnsi="Arial"/>
          <w:smallCaps/>
          <w:sz w:val="20"/>
        </w:rPr>
        <w:t xml:space="preserve">between </w:t>
      </w:r>
    </w:p>
    <w:p>
      <w:pPr>
        <w:pStyle w:val="Heading6"/>
        <w:numPr>
          <w:ilvl w:val="0"/>
          <w:numId w:val="0"/>
        </w:numPr>
        <w:ind w:hanging="0" w:start="0"/>
        <w:jc w:val="center"/>
        <w:rPr>
          <w:rFonts w:ascii="Arial" w:hAnsi="Arial" w:cs="Arial"/>
          <w:smallCaps/>
          <w:sz w:val="20"/>
        </w:rPr>
      </w:pPr>
      <w:r>
        <w:rPr>
          <w:rFonts w:cs="Arial" w:ascii="Arial" w:hAnsi="Arial"/>
          <w:smallCaps/>
          <w:sz w:val="20"/>
        </w:rPr>
        <w:t xml:space="preserve">Enron Power Marketing, Inc. </w:t>
      </w:r>
    </w:p>
    <w:p>
      <w:pPr>
        <w:pStyle w:val="Heading6"/>
        <w:numPr>
          <w:ilvl w:val="0"/>
          <w:numId w:val="0"/>
        </w:numPr>
        <w:ind w:hanging="0" w:start="0"/>
        <w:jc w:val="center"/>
        <w:rPr>
          <w:rFonts w:ascii="Arial" w:hAnsi="Arial" w:cs="Arial"/>
          <w:smallCaps/>
          <w:sz w:val="20"/>
        </w:rPr>
      </w:pPr>
      <w:r>
        <w:rPr>
          <w:rFonts w:cs="Arial" w:ascii="Arial" w:hAnsi="Arial"/>
          <w:smallCaps/>
          <w:sz w:val="20"/>
        </w:rPr>
        <w:t>and</w:t>
      </w:r>
    </w:p>
    <w:p>
      <w:pPr>
        <w:pStyle w:val="Heading6"/>
        <w:numPr>
          <w:ilvl w:val="0"/>
          <w:numId w:val="0"/>
        </w:numPr>
        <w:ind w:hanging="0" w:start="0"/>
        <w:jc w:val="center"/>
        <w:rPr>
          <w:rFonts w:ascii="Arial" w:hAnsi="Arial" w:cs="Arial"/>
          <w:sz w:val="20"/>
        </w:rPr>
      </w:pPr>
      <w:r>
        <w:rPr>
          <w:rFonts w:cs="Arial" w:ascii="Arial" w:hAnsi="Arial"/>
          <w:smallCaps/>
          <w:sz w:val="20"/>
        </w:rPr>
        <w:t>BP Energy Company</w:t>
      </w:r>
    </w:p>
    <w:p>
      <w:pPr>
        <w:pStyle w:val="Heading7"/>
        <w:ind w:hanging="0" w:start="0"/>
        <w:rPr>
          <w:rFonts w:ascii="Arial" w:hAnsi="Arial" w:cs="Arial"/>
          <w:b w:val="false"/>
          <w:bCs/>
          <w:sz w:val="20"/>
        </w:rPr>
      </w:pPr>
      <w:r>
        <w:rPr>
          <w:rFonts w:cs="Arial" w:ascii="Arial" w:hAnsi="Arial"/>
          <w:b w:val="false"/>
          <w:bCs/>
          <w:sz w:val="20"/>
        </w:rPr>
      </w:r>
    </w:p>
    <w:p>
      <w:pPr>
        <w:pStyle w:val="Heading7"/>
        <w:ind w:hanging="0" w:start="0"/>
        <w:rPr>
          <w:rFonts w:ascii="Arial" w:hAnsi="Arial" w:cs="Arial"/>
          <w:b w:val="false"/>
          <w:bCs/>
          <w:sz w:val="20"/>
        </w:rPr>
      </w:pPr>
      <w:r>
        <w:rPr>
          <w:rFonts w:cs="Arial" w:ascii="Arial" w:hAnsi="Arial"/>
          <w:b w:val="false"/>
          <w:bCs/>
          <w:sz w:val="20"/>
        </w:rPr>
        <w:t>March 30, 2001</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rPr>
      </w:pPr>
      <w:r>
        <w:rPr>
          <w:rFonts w:cs="Arial" w:ascii="Arial" w:hAnsi="Arial"/>
          <w:b/>
        </w:rPr>
      </w:r>
    </w:p>
    <w:p>
      <w:pPr>
        <w:pStyle w:val="Normal"/>
        <w:tabs>
          <w:tab w:val="clear" w:pos="720"/>
          <w:tab w:val="left" w:pos="-1440" w:leader="none"/>
        </w:tabs>
        <w:ind w:hanging="2160" w:start="2160" w:end="0"/>
        <w:jc w:val="both"/>
        <w:rPr/>
      </w:pPr>
      <w:r>
        <w:rPr>
          <w:rFonts w:cs="Arial" w:ascii="Arial" w:hAnsi="Arial"/>
          <w:b/>
        </w:rPr>
        <w:t>Parties:</w:t>
        <w:tab/>
      </w:r>
      <w:r>
        <w:rPr>
          <w:rFonts w:cs="Arial" w:ascii="Arial" w:hAnsi="Arial"/>
        </w:rPr>
        <w:t>BP Energy Company (“BPE”) and Enron Power Marketing, Inc (“EPMI”).</w:t>
      </w:r>
    </w:p>
    <w:p>
      <w:pPr>
        <w:pStyle w:val="Normal"/>
        <w:tabs>
          <w:tab w:val="clear" w:pos="720"/>
          <w:tab w:val="left" w:pos="-1440" w:leader="none"/>
        </w:tabs>
        <w:ind w:hanging="2160" w:start="2160" w:end="0"/>
        <w:jc w:val="both"/>
        <w:rPr>
          <w:rFonts w:ascii="Arial" w:hAnsi="Arial" w:cs="Arial"/>
          <w:b/>
        </w:rPr>
      </w:pPr>
      <w:r>
        <w:rPr>
          <w:rFonts w:cs="Arial" w:ascii="Arial" w:hAnsi="Arial"/>
          <w:b/>
        </w:rPr>
      </w:r>
    </w:p>
    <w:p>
      <w:pPr>
        <w:pStyle w:val="Normal"/>
        <w:tabs>
          <w:tab w:val="clear" w:pos="720"/>
          <w:tab w:val="left" w:pos="-1440" w:leader="none"/>
        </w:tabs>
        <w:ind w:hanging="2160" w:start="2160" w:end="0"/>
        <w:jc w:val="both"/>
        <w:rPr/>
      </w:pPr>
      <w:r>
        <w:rPr>
          <w:rFonts w:cs="Arial" w:ascii="Arial" w:hAnsi="Arial"/>
          <w:b/>
        </w:rPr>
        <w:t>Description:</w:t>
        <w:tab/>
      </w:r>
      <w:r>
        <w:rPr>
          <w:rFonts w:cs="Arial" w:ascii="Arial" w:hAnsi="Arial"/>
          <w:bCs/>
        </w:rPr>
        <w:t xml:space="preserve">All load serving entities in ERCOT must be certified with the ERCOT ISO as a Load Serving Entity (LSE) and contract with a </w:t>
      </w:r>
      <w:r>
        <w:rPr>
          <w:rFonts w:cs="Arial" w:ascii="Arial" w:hAnsi="Arial"/>
        </w:rPr>
        <w:t xml:space="preserve">Qualified Scheduling Entity (“QSE”) to communicate its activities with the ERCOT ISO.  Upon execution of a definitive agreement, EPMI would serve as QSE on behalf of BPE and provide QSE Services to BPE for the purpose of serving Green Mountain customers.  </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ind w:hanging="2160" w:start="2160" w:end="0"/>
        <w:jc w:val="both"/>
        <w:rPr/>
      </w:pPr>
      <w:r>
        <w:rPr>
          <w:rFonts w:cs="Arial" w:ascii="Arial" w:hAnsi="Arial"/>
          <w:b/>
        </w:rPr>
        <w:t>Term:</w:t>
        <w:tab/>
      </w:r>
      <w:r>
        <w:rPr>
          <w:rFonts w:cs="Arial" w:ascii="Arial" w:hAnsi="Arial"/>
          <w:bCs/>
        </w:rPr>
        <w:t>July 1, 2001 through December 31, 2002.</w:t>
      </w:r>
    </w:p>
    <w:p>
      <w:pPr>
        <w:pStyle w:val="Normal"/>
        <w:tabs>
          <w:tab w:val="clear" w:pos="720"/>
          <w:tab w:val="left" w:pos="-1440" w:leader="none"/>
        </w:tabs>
        <w:ind w:hanging="2160" w:start="2160" w:end="0"/>
        <w:jc w:val="both"/>
        <w:rPr>
          <w:rFonts w:ascii="Arial" w:hAnsi="Arial" w:cs="Arial"/>
          <w:bCs/>
        </w:rPr>
      </w:pPr>
      <w:r>
        <w:rPr>
          <w:rFonts w:cs="Arial" w:ascii="Arial" w:hAnsi="Arial"/>
          <w:bCs/>
        </w:rPr>
      </w:r>
    </w:p>
    <w:p>
      <w:pPr>
        <w:pStyle w:val="Normal"/>
        <w:ind w:hanging="2160" w:start="2160" w:end="0"/>
        <w:jc w:val="both"/>
        <w:rPr/>
      </w:pPr>
      <w:r>
        <w:rPr>
          <w:rFonts w:cs="Arial" w:ascii="Arial" w:hAnsi="Arial"/>
          <w:b/>
        </w:rPr>
        <w:t>Infrastructure:</w:t>
        <w:tab/>
      </w:r>
      <w:r>
        <w:rPr>
          <w:rFonts w:cs="Arial" w:ascii="Arial" w:hAnsi="Arial"/>
        </w:rPr>
        <w:t>Upon execution of a definitive agreement, EPMI would provide QSE Services to BPE for the purpose of serving Green Mountain customers.  Such services would rely on EPMI’s experience, infrastructure, technological expertise, and utilization of key proprietary and licensed technologies:</w:t>
      </w:r>
    </w:p>
    <w:p>
      <w:pPr>
        <w:pStyle w:val="BodyText"/>
        <w:jc w:val="both"/>
        <w:rPr>
          <w:rFonts w:ascii="Arial" w:hAnsi="Arial" w:cs="Arial"/>
          <w:sz w:val="20"/>
        </w:rPr>
      </w:pPr>
      <w:r>
        <w:rPr>
          <w:rFonts w:cs="Arial" w:ascii="Arial" w:hAnsi="Arial"/>
          <w:sz w:val="20"/>
        </w:rPr>
      </w:r>
    </w:p>
    <w:p>
      <w:pPr>
        <w:pStyle w:val="Normal"/>
        <w:numPr>
          <w:ilvl w:val="0"/>
          <w:numId w:val="9"/>
        </w:numPr>
        <w:tabs>
          <w:tab w:val="clear" w:pos="720"/>
          <w:tab w:val="left" w:pos="3240" w:leader="none"/>
        </w:tabs>
        <w:ind w:hanging="0" w:start="2880" w:end="0"/>
        <w:jc w:val="both"/>
        <w:rPr>
          <w:rFonts w:ascii="Arial" w:hAnsi="Arial" w:cs="Arial"/>
        </w:rPr>
      </w:pPr>
      <w:r>
        <w:rPr>
          <w:rFonts w:cs="Arial" w:ascii="Arial" w:hAnsi="Arial"/>
          <w:i/>
        </w:rPr>
        <w:t>EnPower</w:t>
      </w:r>
      <w:r>
        <w:rPr>
          <w:rFonts w:cs="Arial" w:ascii="Arial" w:hAnsi="Arial"/>
        </w:rPr>
        <w:t>—Proprietary wholesale trading system software handling over 1000 trades per day</w:t>
      </w:r>
    </w:p>
    <w:p>
      <w:pPr>
        <w:pStyle w:val="Normal"/>
        <w:tabs>
          <w:tab w:val="clear" w:pos="720"/>
          <w:tab w:val="left" w:pos="3240" w:leader="none"/>
        </w:tabs>
        <w:ind w:start="2880" w:end="0"/>
        <w:jc w:val="both"/>
        <w:rPr>
          <w:rFonts w:ascii="Arial" w:hAnsi="Arial" w:cs="Arial"/>
        </w:rPr>
      </w:pPr>
      <w:r>
        <w:rPr>
          <w:rFonts w:cs="Arial" w:ascii="Arial" w:hAnsi="Arial"/>
        </w:rPr>
      </w:r>
    </w:p>
    <w:p>
      <w:pPr>
        <w:pStyle w:val="Normal"/>
        <w:numPr>
          <w:ilvl w:val="0"/>
          <w:numId w:val="7"/>
        </w:numPr>
        <w:tabs>
          <w:tab w:val="clear" w:pos="720"/>
          <w:tab w:val="left" w:pos="3240" w:leader="none"/>
        </w:tabs>
        <w:ind w:hanging="0" w:start="2880" w:end="0"/>
        <w:jc w:val="both"/>
        <w:rPr>
          <w:rFonts w:ascii="Arial" w:hAnsi="Arial" w:cs="Arial"/>
        </w:rPr>
      </w:pPr>
      <w:r>
        <w:rPr>
          <w:rFonts w:cs="Arial" w:ascii="Arial" w:hAnsi="Arial"/>
          <w:i/>
        </w:rPr>
        <w:t>Alstom e-terraQSE</w:t>
      </w:r>
      <w:r>
        <w:rPr>
          <w:rFonts w:cs="Arial" w:ascii="Arial" w:hAnsi="Arial"/>
        </w:rPr>
        <w:t xml:space="preserve">—electronic scheduling system </w:t>
      </w:r>
    </w:p>
    <w:p>
      <w:pPr>
        <w:pStyle w:val="Normal"/>
        <w:numPr>
          <w:ilvl w:val="0"/>
          <w:numId w:val="17"/>
        </w:numPr>
        <w:tabs>
          <w:tab w:val="left" w:pos="720" w:leader="none"/>
          <w:tab w:val="left" w:pos="3240" w:leader="none"/>
        </w:tabs>
        <w:ind w:hanging="0" w:start="2880" w:end="0"/>
        <w:jc w:val="both"/>
        <w:rPr>
          <w:rFonts w:ascii="Arial" w:hAnsi="Arial" w:cs="Arial"/>
        </w:rPr>
      </w:pPr>
      <w:r>
        <w:rPr>
          <w:rFonts w:cs="Arial" w:ascii="Arial" w:hAnsi="Arial"/>
        </w:rPr>
        <w:t xml:space="preserve">Automates and facilitates scheduling </w:t>
      </w:r>
    </w:p>
    <w:p>
      <w:pPr>
        <w:pStyle w:val="Normal"/>
        <w:tabs>
          <w:tab w:val="clear" w:pos="720"/>
          <w:tab w:val="left" w:pos="3240" w:leader="none"/>
        </w:tabs>
        <w:ind w:start="2880" w:end="0"/>
        <w:jc w:val="both"/>
        <w:rPr>
          <w:rFonts w:ascii="Arial" w:hAnsi="Arial" w:cs="Arial"/>
        </w:rPr>
      </w:pPr>
      <w:r>
        <w:rPr>
          <w:rFonts w:cs="Arial" w:ascii="Arial" w:hAnsi="Arial"/>
        </w:rPr>
      </w:r>
    </w:p>
    <w:p>
      <w:pPr>
        <w:pStyle w:val="Normal"/>
        <w:numPr>
          <w:ilvl w:val="0"/>
          <w:numId w:val="16"/>
        </w:numPr>
        <w:tabs>
          <w:tab w:val="clear" w:pos="720"/>
          <w:tab w:val="left" w:pos="3240" w:leader="none"/>
        </w:tabs>
        <w:ind w:hanging="0" w:start="2880" w:end="0"/>
        <w:jc w:val="both"/>
        <w:rPr>
          <w:rFonts w:ascii="Arial" w:hAnsi="Arial" w:cs="Arial"/>
        </w:rPr>
      </w:pPr>
      <w:r>
        <w:rPr>
          <w:rFonts w:cs="Arial" w:ascii="Arial" w:hAnsi="Arial"/>
          <w:i/>
        </w:rPr>
        <w:t>VMS</w:t>
      </w:r>
      <w:r>
        <w:rPr>
          <w:rFonts w:cs="Arial" w:ascii="Arial" w:hAnsi="Arial"/>
        </w:rPr>
        <w:t>—Volume Management System (EnPower module)</w:t>
      </w:r>
    </w:p>
    <w:p>
      <w:pPr>
        <w:pStyle w:val="Normal"/>
        <w:numPr>
          <w:ilvl w:val="0"/>
          <w:numId w:val="4"/>
        </w:numPr>
        <w:tabs>
          <w:tab w:val="left" w:pos="720" w:leader="none"/>
          <w:tab w:val="left" w:pos="3240" w:leader="none"/>
        </w:tabs>
        <w:ind w:hanging="0" w:start="2880" w:end="0"/>
        <w:jc w:val="both"/>
        <w:rPr>
          <w:rFonts w:ascii="Arial" w:hAnsi="Arial" w:cs="Arial"/>
        </w:rPr>
      </w:pPr>
      <w:r>
        <w:rPr>
          <w:rFonts w:cs="Arial" w:ascii="Arial" w:hAnsi="Arial"/>
        </w:rPr>
        <w:t>Settlement and risk engine</w:t>
      </w:r>
    </w:p>
    <w:p>
      <w:pPr>
        <w:pStyle w:val="Normal"/>
        <w:tabs>
          <w:tab w:val="clear" w:pos="720"/>
          <w:tab w:val="left" w:pos="3240" w:leader="none"/>
        </w:tabs>
        <w:ind w:start="2880" w:end="0"/>
        <w:jc w:val="both"/>
        <w:rPr>
          <w:rFonts w:ascii="Arial" w:hAnsi="Arial" w:cs="Arial"/>
        </w:rPr>
      </w:pPr>
      <w:r>
        <w:rPr>
          <w:rFonts w:cs="Arial" w:ascii="Arial" w:hAnsi="Arial"/>
        </w:rPr>
      </w:r>
    </w:p>
    <w:p>
      <w:pPr>
        <w:pStyle w:val="Normal"/>
        <w:numPr>
          <w:ilvl w:val="0"/>
          <w:numId w:val="13"/>
        </w:numPr>
        <w:tabs>
          <w:tab w:val="clear" w:pos="720"/>
          <w:tab w:val="left" w:pos="3240" w:leader="none"/>
        </w:tabs>
        <w:ind w:hanging="0" w:start="2880" w:end="0"/>
        <w:jc w:val="both"/>
        <w:rPr>
          <w:rFonts w:ascii="Arial" w:hAnsi="Arial" w:cs="Arial"/>
        </w:rPr>
      </w:pPr>
      <w:r>
        <w:rPr>
          <w:rFonts w:cs="Arial" w:ascii="Arial" w:hAnsi="Arial"/>
          <w:i/>
        </w:rPr>
        <w:t>Metrix ND</w:t>
      </w:r>
      <w:r>
        <w:rPr>
          <w:rFonts w:cs="Arial" w:ascii="Arial" w:hAnsi="Arial"/>
        </w:rPr>
        <w:t>—Proprietary wholesale load forecasting system software</w:t>
      </w:r>
    </w:p>
    <w:p>
      <w:pPr>
        <w:pStyle w:val="Normal"/>
        <w:numPr>
          <w:ilvl w:val="0"/>
          <w:numId w:val="15"/>
        </w:numPr>
        <w:tabs>
          <w:tab w:val="left" w:pos="720" w:leader="none"/>
          <w:tab w:val="left" w:pos="3240" w:leader="none"/>
        </w:tabs>
        <w:ind w:hanging="0" w:start="2880" w:end="0"/>
        <w:jc w:val="both"/>
        <w:rPr>
          <w:rFonts w:ascii="Arial" w:hAnsi="Arial" w:cs="Arial"/>
        </w:rPr>
      </w:pPr>
      <w:r>
        <w:rPr>
          <w:rFonts w:cs="Arial" w:ascii="Arial" w:hAnsi="Arial"/>
        </w:rPr>
        <w:t>Utilized in all control areas in the Eastern Connection</w:t>
      </w:r>
    </w:p>
    <w:p>
      <w:pPr>
        <w:pStyle w:val="Normal"/>
        <w:numPr>
          <w:ilvl w:val="0"/>
          <w:numId w:val="15"/>
        </w:numPr>
        <w:tabs>
          <w:tab w:val="left" w:pos="720" w:leader="none"/>
          <w:tab w:val="left" w:pos="3240" w:leader="none"/>
        </w:tabs>
        <w:ind w:hanging="0" w:start="2880" w:end="0"/>
        <w:jc w:val="both"/>
        <w:rPr>
          <w:rFonts w:ascii="Arial" w:hAnsi="Arial" w:cs="Arial"/>
        </w:rPr>
      </w:pPr>
      <w:r>
        <w:rPr>
          <w:rFonts w:cs="Arial" w:ascii="Arial" w:hAnsi="Arial"/>
        </w:rPr>
        <w:t>Manages two full-requirement wholesale loads in New England ISO</w:t>
      </w:r>
    </w:p>
    <w:p>
      <w:pPr>
        <w:pStyle w:val="Normal"/>
        <w:tabs>
          <w:tab w:val="clear" w:pos="720"/>
          <w:tab w:val="left" w:pos="3240" w:leader="none"/>
        </w:tabs>
        <w:ind w:start="2880" w:end="0"/>
        <w:jc w:val="both"/>
        <w:rPr>
          <w:rFonts w:ascii="Arial" w:hAnsi="Arial" w:cs="Arial"/>
        </w:rPr>
      </w:pPr>
      <w:r>
        <w:rPr>
          <w:rFonts w:cs="Arial" w:ascii="Arial" w:hAnsi="Arial"/>
        </w:rPr>
      </w:r>
    </w:p>
    <w:p>
      <w:pPr>
        <w:pStyle w:val="Normal"/>
        <w:numPr>
          <w:ilvl w:val="0"/>
          <w:numId w:val="8"/>
        </w:numPr>
        <w:tabs>
          <w:tab w:val="clear" w:pos="720"/>
          <w:tab w:val="left" w:pos="3240" w:leader="none"/>
        </w:tabs>
        <w:ind w:hanging="0" w:start="2880" w:end="0"/>
        <w:jc w:val="both"/>
        <w:rPr>
          <w:rFonts w:ascii="Arial" w:hAnsi="Arial" w:cs="Arial"/>
        </w:rPr>
      </w:pPr>
      <w:r>
        <w:rPr>
          <w:rFonts w:cs="Arial" w:ascii="Arial" w:hAnsi="Arial"/>
          <w:i/>
        </w:rPr>
        <w:t>Alstom ESCA</w:t>
      </w:r>
      <w:r>
        <w:rPr>
          <w:rFonts w:cs="Arial" w:ascii="Arial" w:hAnsi="Arial"/>
        </w:rPr>
        <w:t>—Proprietary energy management system</w:t>
      </w:r>
    </w:p>
    <w:p>
      <w:pPr>
        <w:pStyle w:val="Normal"/>
        <w:numPr>
          <w:ilvl w:val="0"/>
          <w:numId w:val="11"/>
        </w:numPr>
        <w:tabs>
          <w:tab w:val="left" w:pos="720" w:leader="none"/>
          <w:tab w:val="left" w:pos="3240" w:leader="none"/>
        </w:tabs>
        <w:ind w:hanging="0" w:start="2880" w:end="0"/>
        <w:jc w:val="both"/>
        <w:rPr>
          <w:rFonts w:ascii="Arial" w:hAnsi="Arial" w:cs="Arial"/>
        </w:rPr>
      </w:pPr>
      <w:r>
        <w:rPr>
          <w:rFonts w:cs="Arial" w:ascii="Arial" w:hAnsi="Arial"/>
        </w:rPr>
        <w:t>Manages 7 control areas with 3,000MW of peakers in SERC, ECAR, and MAIN</w:t>
      </w:r>
    </w:p>
    <w:p>
      <w:pPr>
        <w:pStyle w:val="Normal"/>
        <w:tabs>
          <w:tab w:val="clear" w:pos="720"/>
          <w:tab w:val="left" w:pos="3240" w:leader="none"/>
        </w:tabs>
        <w:ind w:start="2880" w:end="0"/>
        <w:jc w:val="both"/>
        <w:rPr>
          <w:rFonts w:ascii="Arial" w:hAnsi="Arial" w:cs="Arial"/>
        </w:rPr>
      </w:pPr>
      <w:r>
        <w:rPr>
          <w:rFonts w:cs="Arial" w:ascii="Arial" w:hAnsi="Arial"/>
        </w:rPr>
      </w:r>
    </w:p>
    <w:p>
      <w:pPr>
        <w:pStyle w:val="Normal"/>
        <w:numPr>
          <w:ilvl w:val="0"/>
          <w:numId w:val="7"/>
        </w:numPr>
        <w:tabs>
          <w:tab w:val="clear" w:pos="720"/>
          <w:tab w:val="left" w:pos="3240" w:leader="none"/>
        </w:tabs>
        <w:ind w:hanging="0" w:start="2880" w:end="0"/>
        <w:jc w:val="both"/>
        <w:rPr>
          <w:rFonts w:ascii="Arial" w:hAnsi="Arial" w:cs="Arial"/>
        </w:rPr>
      </w:pPr>
      <w:r>
        <w:rPr>
          <w:rFonts w:cs="Arial" w:ascii="Arial" w:hAnsi="Arial"/>
          <w:i/>
        </w:rPr>
        <w:t>OSI Pi</w:t>
      </w:r>
      <w:r>
        <w:rPr>
          <w:rFonts w:cs="Arial" w:ascii="Arial" w:hAnsi="Arial"/>
        </w:rPr>
        <w:t>—Historical telemeter data software system</w:t>
      </w:r>
    </w:p>
    <w:p>
      <w:pPr>
        <w:pStyle w:val="Normal"/>
        <w:numPr>
          <w:ilvl w:val="0"/>
          <w:numId w:val="6"/>
        </w:numPr>
        <w:tabs>
          <w:tab w:val="left" w:pos="720" w:leader="none"/>
          <w:tab w:val="left" w:pos="3240" w:leader="none"/>
        </w:tabs>
        <w:ind w:hanging="0" w:start="2880" w:end="0"/>
        <w:jc w:val="both"/>
        <w:rPr>
          <w:rFonts w:ascii="Arial" w:hAnsi="Arial" w:cs="Arial"/>
        </w:rPr>
      </w:pPr>
      <w:r>
        <w:rPr>
          <w:rFonts w:cs="Arial" w:ascii="Arial" w:hAnsi="Arial"/>
        </w:rPr>
        <w:t>Records and displays real-time information</w:t>
      </w:r>
    </w:p>
    <w:p>
      <w:pPr>
        <w:pStyle w:val="Normal"/>
        <w:tabs>
          <w:tab w:val="clear" w:pos="720"/>
          <w:tab w:val="left" w:pos="3240" w:leader="none"/>
        </w:tabs>
        <w:ind w:start="2880" w:end="0"/>
        <w:jc w:val="both"/>
        <w:rPr>
          <w:rFonts w:ascii="Arial" w:hAnsi="Arial" w:cs="Arial"/>
        </w:rPr>
      </w:pPr>
      <w:r>
        <w:rPr>
          <w:rFonts w:cs="Arial" w:ascii="Arial" w:hAnsi="Arial"/>
        </w:rPr>
      </w:r>
    </w:p>
    <w:p>
      <w:pPr>
        <w:pStyle w:val="Normal"/>
        <w:numPr>
          <w:ilvl w:val="0"/>
          <w:numId w:val="3"/>
        </w:numPr>
        <w:tabs>
          <w:tab w:val="clear" w:pos="720"/>
          <w:tab w:val="left" w:pos="3240" w:leader="none"/>
        </w:tabs>
        <w:ind w:hanging="0" w:start="2880" w:end="0"/>
        <w:jc w:val="both"/>
        <w:rPr>
          <w:rFonts w:ascii="Arial" w:hAnsi="Arial" w:cs="Arial"/>
        </w:rPr>
      </w:pPr>
      <w:r>
        <w:rPr>
          <w:rFonts w:cs="Arial" w:ascii="Arial" w:hAnsi="Arial"/>
        </w:rPr>
        <w:t>Commitment to seamless service:</w:t>
      </w:r>
    </w:p>
    <w:p>
      <w:pPr>
        <w:pStyle w:val="Normal"/>
        <w:numPr>
          <w:ilvl w:val="0"/>
          <w:numId w:val="2"/>
        </w:numPr>
        <w:tabs>
          <w:tab w:val="left" w:pos="720" w:leader="none"/>
          <w:tab w:val="left" w:pos="3240" w:leader="none"/>
        </w:tabs>
        <w:ind w:hanging="0" w:start="2880" w:end="0"/>
        <w:jc w:val="both"/>
        <w:rPr>
          <w:rFonts w:ascii="Arial" w:hAnsi="Arial" w:cs="Arial"/>
        </w:rPr>
      </w:pPr>
      <w:r>
        <w:rPr>
          <w:rFonts w:cs="Arial" w:ascii="Arial" w:hAnsi="Arial"/>
        </w:rPr>
        <w:t>24 hour Control Area operations</w:t>
      </w:r>
    </w:p>
    <w:p>
      <w:pPr>
        <w:pStyle w:val="Normal"/>
        <w:numPr>
          <w:ilvl w:val="0"/>
          <w:numId w:val="2"/>
        </w:numPr>
        <w:tabs>
          <w:tab w:val="left" w:pos="720" w:leader="none"/>
          <w:tab w:val="left" w:pos="3240" w:leader="none"/>
        </w:tabs>
        <w:ind w:hanging="0" w:start="2880" w:end="0"/>
        <w:jc w:val="both"/>
        <w:rPr>
          <w:rFonts w:ascii="Arial" w:hAnsi="Arial" w:cs="Arial"/>
        </w:rPr>
      </w:pPr>
      <w:r>
        <w:rPr>
          <w:rFonts w:cs="Arial" w:ascii="Arial" w:hAnsi="Arial"/>
        </w:rPr>
        <w:t>24 hour trading operation</w:t>
        <w:tab/>
      </w:r>
    </w:p>
    <w:p>
      <w:pPr>
        <w:pStyle w:val="Normal"/>
        <w:numPr>
          <w:ilvl w:val="0"/>
          <w:numId w:val="2"/>
        </w:numPr>
        <w:tabs>
          <w:tab w:val="left" w:pos="720" w:leader="none"/>
          <w:tab w:val="left" w:pos="3240" w:leader="none"/>
        </w:tabs>
        <w:ind w:hanging="0" w:start="2880" w:end="0"/>
        <w:jc w:val="both"/>
        <w:rPr>
          <w:rFonts w:ascii="Arial" w:hAnsi="Arial" w:cs="Arial"/>
        </w:rPr>
      </w:pPr>
      <w:r>
        <w:rPr>
          <w:rFonts w:cs="Arial" w:ascii="Arial" w:hAnsi="Arial"/>
        </w:rPr>
        <w:t xml:space="preserve">Trading floor staff in excess of 150 personnel </w:t>
      </w:r>
    </w:p>
    <w:p>
      <w:pPr>
        <w:pStyle w:val="Normal"/>
        <w:numPr>
          <w:ilvl w:val="0"/>
          <w:numId w:val="2"/>
        </w:numPr>
        <w:tabs>
          <w:tab w:val="left" w:pos="720" w:leader="none"/>
          <w:tab w:val="left" w:pos="3240" w:leader="none"/>
        </w:tabs>
        <w:ind w:hanging="0" w:start="2880" w:end="0"/>
        <w:jc w:val="both"/>
        <w:rPr>
          <w:rFonts w:ascii="Arial" w:hAnsi="Arial" w:cs="Arial"/>
        </w:rPr>
      </w:pPr>
      <w:r>
        <w:rPr>
          <w:rFonts w:cs="Arial" w:ascii="Arial" w:hAnsi="Arial"/>
        </w:rPr>
        <w:t xml:space="preserve">Commercial support staff in excess of 50 personnel </w:t>
      </w:r>
    </w:p>
    <w:p>
      <w:pPr>
        <w:pStyle w:val="Normal"/>
        <w:numPr>
          <w:ilvl w:val="0"/>
          <w:numId w:val="2"/>
        </w:numPr>
        <w:tabs>
          <w:tab w:val="left" w:pos="720" w:leader="none"/>
          <w:tab w:val="left" w:pos="3240" w:leader="none"/>
        </w:tabs>
        <w:ind w:hanging="0" w:start="2880" w:end="0"/>
        <w:jc w:val="both"/>
        <w:rPr>
          <w:rFonts w:ascii="Arial" w:hAnsi="Arial" w:cs="Arial"/>
        </w:rPr>
      </w:pPr>
      <w:r>
        <w:rPr>
          <w:rFonts w:cs="Arial" w:ascii="Arial" w:hAnsi="Arial"/>
        </w:rPr>
        <w:t>Technology support in excess of 15 personnel on the trading floor</w:t>
      </w:r>
    </w:p>
    <w:p>
      <w:pPr>
        <w:pStyle w:val="Normal"/>
        <w:tabs>
          <w:tab w:val="clear" w:pos="720"/>
          <w:tab w:val="left" w:pos="3240" w:leader="none"/>
        </w:tabs>
        <w:ind w:start="2880" w:end="0"/>
        <w:jc w:val="both"/>
        <w:rPr>
          <w:rFonts w:ascii="Arial" w:hAnsi="Arial" w:cs="Arial"/>
        </w:rPr>
      </w:pPr>
      <w:r>
        <w:rPr>
          <w:rFonts w:cs="Arial" w:ascii="Arial" w:hAnsi="Arial"/>
        </w:rPr>
      </w:r>
    </w:p>
    <w:p>
      <w:pPr>
        <w:pStyle w:val="BodyTextIndent3"/>
        <w:rPr>
          <w:sz w:val="20"/>
        </w:rPr>
      </w:pPr>
      <w:r>
        <w:rPr>
          <w:sz w:val="20"/>
        </w:rPr>
        <w:t>A list of names and contact numbers would be made available where staff can be reached directly if a definitive agreement is reached relating hereto.</w:t>
      </w:r>
    </w:p>
    <w:p>
      <w:pPr>
        <w:pStyle w:val="Normal"/>
        <w:jc w:val="both"/>
        <w:rPr>
          <w:rFonts w:ascii="Arial" w:hAnsi="Arial" w:cs="Arial"/>
          <w:sz w:val="20"/>
        </w:rPr>
      </w:pPr>
      <w:r>
        <w:rPr>
          <w:rFonts w:cs="Arial" w:ascii="Arial" w:hAnsi="Arial"/>
          <w:sz w:val="20"/>
        </w:rPr>
      </w:r>
    </w:p>
    <w:p>
      <w:pPr>
        <w:pStyle w:val="BodyText2"/>
        <w:tabs>
          <w:tab w:val="clear" w:pos="720"/>
          <w:tab w:val="left" w:pos="2880" w:leader="none"/>
        </w:tabs>
        <w:ind w:hanging="2160" w:start="2160" w:end="0"/>
        <w:jc w:val="both"/>
        <w:rPr>
          <w:rFonts w:ascii="Arial" w:hAnsi="Arial" w:cs="Arial"/>
          <w:sz w:val="20"/>
        </w:rPr>
      </w:pPr>
      <w:r>
        <w:rPr>
          <w:rFonts w:cs="Arial" w:ascii="Arial" w:hAnsi="Arial"/>
          <w:sz w:val="20"/>
        </w:rPr>
        <w:t>QSE Services:</w:t>
        <w:tab/>
      </w:r>
      <w:r>
        <w:rPr>
          <w:rFonts w:cs="Arial" w:ascii="Arial" w:hAnsi="Arial"/>
          <w:b w:val="false"/>
          <w:sz w:val="20"/>
        </w:rPr>
        <w:t>EPMI, as a top-tier wholesale power supplier and marketer, would provide the necessary scheduling services for BPE.  This service would include all QSE functions as required in the deregulated Texas marketplace subject to the parties’ execution of a definitive agreement as to such services.  EPMI was the first participant to file with the ERCOT ISO for QSE Certification and will be an ERCOT certified QSE in Texas.</w:t>
      </w:r>
    </w:p>
    <w:p>
      <w:pPr>
        <w:pStyle w:val="Normal"/>
        <w:ind w:hanging="2160" w:start="2160" w:end="0"/>
        <w:jc w:val="both"/>
        <w:rPr>
          <w:rFonts w:ascii="Arial" w:hAnsi="Arial" w:cs="Arial"/>
          <w:sz w:val="20"/>
        </w:rPr>
      </w:pPr>
      <w:r>
        <w:rPr>
          <w:rFonts w:cs="Arial" w:ascii="Arial" w:hAnsi="Arial"/>
          <w:sz w:val="20"/>
        </w:rPr>
      </w:r>
    </w:p>
    <w:p>
      <w:pPr>
        <w:pStyle w:val="BodyTextIndent2"/>
        <w:ind w:start="2160" w:end="0"/>
        <w:jc w:val="both"/>
        <w:rPr>
          <w:rFonts w:ascii="Arial" w:hAnsi="Arial" w:cs="Arial"/>
          <w:sz w:val="20"/>
        </w:rPr>
      </w:pPr>
      <w:r>
        <w:rPr>
          <w:rFonts w:cs="Arial" w:ascii="Arial" w:hAnsi="Arial"/>
          <w:sz w:val="20"/>
        </w:rPr>
        <w:t xml:space="preserve">EPMI would, contingent on timely completion of a definitive agreement, participate in all three phases (Simulation Stages1 and 2 and Parallel Stage) of the Mock Market Simulation Testing (projected to begin in April 2001 and continue through May 2001).  Prior to the initiation of the Retail Pilot Test Program Implementation in ERCOT (projected to be June 1, 2001), EPMI will satisfy all of the ERCOT Protocol requirements for QSE certification in Texas.  </w:t>
      </w:r>
    </w:p>
    <w:p>
      <w:pPr>
        <w:pStyle w:val="BodyTextIndent2"/>
        <w:ind w:hanging="2160" w:start="2160" w:end="0"/>
        <w:jc w:val="both"/>
        <w:rPr>
          <w:rFonts w:ascii="Arial" w:hAnsi="Arial" w:cs="Arial"/>
          <w:sz w:val="20"/>
        </w:rPr>
      </w:pPr>
      <w:r>
        <w:rPr>
          <w:rFonts w:cs="Arial" w:ascii="Arial" w:hAnsi="Arial"/>
          <w:sz w:val="20"/>
        </w:rPr>
      </w:r>
    </w:p>
    <w:p>
      <w:pPr>
        <w:pStyle w:val="BodyTextIndent2"/>
        <w:ind w:start="2160" w:end="0"/>
        <w:jc w:val="both"/>
        <w:rPr>
          <w:rFonts w:ascii="Arial" w:hAnsi="Arial" w:cs="Arial"/>
          <w:sz w:val="20"/>
        </w:rPr>
      </w:pPr>
      <w:r>
        <w:rPr>
          <w:rFonts w:cs="Arial" w:ascii="Arial" w:hAnsi="Arial"/>
          <w:sz w:val="20"/>
        </w:rPr>
        <w:t>EPMI anticipates completing the following actions and performing the following services and functions to be required and as part of a definitive agreement would provide them if required by the ERCOT ISO:</w:t>
      </w:r>
    </w:p>
    <w:p>
      <w:pPr>
        <w:pStyle w:val="Normal"/>
        <w:ind w:start="990" w:end="0"/>
        <w:jc w:val="both"/>
        <w:rPr>
          <w:rFonts w:ascii="Arial" w:hAnsi="Arial" w:cs="Arial"/>
          <w:sz w:val="20"/>
        </w:rPr>
      </w:pPr>
      <w:r>
        <w:rPr>
          <w:rFonts w:cs="Arial" w:ascii="Arial" w:hAnsi="Arial"/>
          <w:sz w:val="20"/>
        </w:rPr>
      </w:r>
    </w:p>
    <w:p>
      <w:pPr>
        <w:pStyle w:val="Normal"/>
        <w:numPr>
          <w:ilvl w:val="0"/>
          <w:numId w:val="12"/>
        </w:numPr>
        <w:tabs>
          <w:tab w:val="clear" w:pos="720"/>
          <w:tab w:val="left" w:pos="2430" w:leader="none"/>
        </w:tabs>
        <w:ind w:hanging="270" w:start="2430" w:end="0"/>
        <w:jc w:val="both"/>
        <w:rPr>
          <w:rFonts w:ascii="Arial" w:hAnsi="Arial" w:cs="Arial"/>
        </w:rPr>
      </w:pPr>
      <w:r>
        <w:rPr>
          <w:rFonts w:cs="Arial" w:ascii="Arial" w:hAnsi="Arial"/>
        </w:rPr>
        <w:t>Fulfill EPMI’s registration and certification requirements of ERCOT</w:t>
      </w:r>
    </w:p>
    <w:p>
      <w:pPr>
        <w:pStyle w:val="Normal"/>
        <w:numPr>
          <w:ilvl w:val="0"/>
          <w:numId w:val="12"/>
        </w:numPr>
        <w:tabs>
          <w:tab w:val="clear" w:pos="720"/>
          <w:tab w:val="left" w:pos="2430" w:leader="none"/>
        </w:tabs>
        <w:ind w:hanging="270" w:start="2430" w:end="0"/>
        <w:jc w:val="both"/>
        <w:rPr>
          <w:rFonts w:ascii="Arial" w:hAnsi="Arial" w:cs="Arial"/>
        </w:rPr>
      </w:pPr>
      <w:r>
        <w:rPr>
          <w:rFonts w:cs="Arial" w:ascii="Arial" w:hAnsi="Arial"/>
        </w:rPr>
        <w:t>Complete the Connection Agreement to the ERCOT Private Network and Site Survey request</w:t>
      </w:r>
    </w:p>
    <w:p>
      <w:pPr>
        <w:pStyle w:val="Normal"/>
        <w:numPr>
          <w:ilvl w:val="0"/>
          <w:numId w:val="12"/>
        </w:numPr>
        <w:tabs>
          <w:tab w:val="clear" w:pos="720"/>
          <w:tab w:val="left" w:pos="2430" w:leader="none"/>
        </w:tabs>
        <w:ind w:hanging="270" w:start="2430" w:end="0"/>
        <w:jc w:val="both"/>
        <w:rPr>
          <w:rFonts w:ascii="Arial" w:hAnsi="Arial" w:cs="Arial"/>
        </w:rPr>
      </w:pPr>
      <w:r>
        <w:rPr>
          <w:rFonts w:cs="Arial" w:ascii="Arial" w:hAnsi="Arial"/>
        </w:rPr>
        <w:t>Maintain QSE financial security requirements (with appropriate indemnification obligations exercisable with respect to Customer as stated in a definitive agreement)</w:t>
      </w:r>
    </w:p>
    <w:p>
      <w:pPr>
        <w:pStyle w:val="Normal"/>
        <w:numPr>
          <w:ilvl w:val="0"/>
          <w:numId w:val="12"/>
        </w:numPr>
        <w:tabs>
          <w:tab w:val="clear" w:pos="720"/>
          <w:tab w:val="left" w:pos="2430" w:leader="none"/>
        </w:tabs>
        <w:ind w:hanging="270" w:start="2430" w:end="0"/>
        <w:jc w:val="both"/>
        <w:rPr>
          <w:rFonts w:ascii="Arial" w:hAnsi="Arial" w:cs="Arial"/>
        </w:rPr>
      </w:pPr>
      <w:r>
        <w:rPr>
          <w:rFonts w:cs="Arial" w:ascii="Arial" w:hAnsi="Arial"/>
        </w:rPr>
        <w:t>Maintain a 24-hour, seven day per week scheduling operation with qualified personnel</w:t>
      </w:r>
    </w:p>
    <w:p>
      <w:pPr>
        <w:pStyle w:val="Normal"/>
        <w:numPr>
          <w:ilvl w:val="0"/>
          <w:numId w:val="12"/>
        </w:numPr>
        <w:tabs>
          <w:tab w:val="clear" w:pos="720"/>
          <w:tab w:val="left" w:pos="2430" w:leader="none"/>
        </w:tabs>
        <w:ind w:hanging="270" w:start="2430" w:end="0"/>
        <w:jc w:val="both"/>
        <w:rPr>
          <w:rFonts w:ascii="Arial" w:hAnsi="Arial" w:cs="Arial"/>
        </w:rPr>
      </w:pPr>
      <w:r>
        <w:rPr>
          <w:rFonts w:cs="Arial" w:ascii="Arial" w:hAnsi="Arial"/>
        </w:rPr>
        <w:t>Install, operate, and maintain all systems and infrastructure for proper operation of the duties of a QSE including technical interfaces with ERCOT pertinent to services provided as QSE</w:t>
      </w:r>
    </w:p>
    <w:p>
      <w:pPr>
        <w:pStyle w:val="Normal"/>
        <w:numPr>
          <w:ilvl w:val="0"/>
          <w:numId w:val="12"/>
        </w:numPr>
        <w:tabs>
          <w:tab w:val="clear" w:pos="720"/>
          <w:tab w:val="left" w:pos="2430" w:leader="none"/>
        </w:tabs>
        <w:ind w:hanging="270" w:start="2430" w:end="0"/>
        <w:jc w:val="both"/>
        <w:rPr>
          <w:rFonts w:ascii="Arial" w:hAnsi="Arial" w:cs="Arial"/>
        </w:rPr>
      </w:pPr>
      <w:r>
        <w:rPr>
          <w:rFonts w:cs="Arial" w:ascii="Arial" w:hAnsi="Arial"/>
        </w:rPr>
        <w:t>Submit schedules for supply, load, and transmission capacity on Customer’s behalf to ERCOT ISO as part of its submission of “balanced schedules” to the ERCOT ISO relating to all entities to which it provides QSE services.</w:t>
      </w:r>
    </w:p>
    <w:p>
      <w:pPr>
        <w:pStyle w:val="Normal"/>
        <w:jc w:val="both"/>
        <w:rPr>
          <w:rFonts w:ascii="Arial" w:hAnsi="Arial" w:cs="Arial"/>
        </w:rPr>
      </w:pPr>
      <w:r>
        <w:rPr>
          <w:rFonts w:cs="Arial" w:ascii="Arial" w:hAnsi="Arial"/>
        </w:rPr>
      </w:r>
    </w:p>
    <w:p>
      <w:pPr>
        <w:pStyle w:val="Heading6"/>
        <w:numPr>
          <w:ilvl w:val="0"/>
          <w:numId w:val="0"/>
        </w:numPr>
        <w:ind w:hanging="2880" w:start="2880" w:end="0"/>
        <w:jc w:val="both"/>
        <w:rPr>
          <w:rFonts w:ascii="Arial" w:hAnsi="Arial" w:cs="Arial"/>
          <w:sz w:val="20"/>
        </w:rPr>
      </w:pPr>
      <w:r>
        <w:rPr>
          <w:rFonts w:cs="Arial" w:ascii="Arial" w:hAnsi="Arial"/>
          <w:sz w:val="20"/>
        </w:rPr>
        <w:t xml:space="preserve">Commercial </w:t>
      </w:r>
    </w:p>
    <w:p>
      <w:pPr>
        <w:pStyle w:val="Heading6"/>
        <w:numPr>
          <w:ilvl w:val="0"/>
          <w:numId w:val="0"/>
        </w:numPr>
        <w:ind w:hanging="2880" w:start="2880" w:end="0"/>
        <w:jc w:val="both"/>
        <w:rPr>
          <w:rFonts w:ascii="Arial" w:hAnsi="Arial" w:cs="Arial"/>
          <w:sz w:val="20"/>
        </w:rPr>
      </w:pPr>
      <w:r>
        <w:rPr>
          <w:rFonts w:cs="Arial" w:ascii="Arial" w:hAnsi="Arial"/>
          <w:sz w:val="20"/>
        </w:rPr>
        <w:t xml:space="preserve">Support </w:t>
      </w:r>
    </w:p>
    <w:p>
      <w:pPr>
        <w:pStyle w:val="Heading6"/>
        <w:numPr>
          <w:ilvl w:val="0"/>
          <w:numId w:val="0"/>
        </w:numPr>
        <w:ind w:hanging="2160" w:start="2160" w:end="0"/>
        <w:jc w:val="both"/>
        <w:rPr/>
      </w:pPr>
      <w:r>
        <w:rPr>
          <w:rFonts w:cs="Arial" w:ascii="Arial" w:hAnsi="Arial"/>
          <w:sz w:val="20"/>
        </w:rPr>
        <w:t>Services:</w:t>
        <w:tab/>
      </w:r>
      <w:r>
        <w:rPr>
          <w:rFonts w:cs="Arial" w:ascii="Arial" w:hAnsi="Arial"/>
          <w:b w:val="false"/>
          <w:sz w:val="20"/>
        </w:rPr>
        <w:t>EPMI would provide BPE with all commercial support services required by the ERCOT ISO to support the QSE services described herein subject to the parties’ execution of a definitive agreement to such services.  Some of the back office functions and requirements that EPMI would be providing BPE are the following:</w:t>
      </w:r>
    </w:p>
    <w:p>
      <w:pPr>
        <w:pStyle w:val="Normal"/>
        <w:tabs>
          <w:tab w:val="clear" w:pos="720"/>
          <w:tab w:val="left" w:pos="2520" w:leader="none"/>
        </w:tabs>
        <w:ind w:hanging="360" w:start="2520" w:end="0"/>
        <w:jc w:val="both"/>
        <w:rPr>
          <w:rFonts w:ascii="Arial" w:hAnsi="Arial" w:cs="Arial"/>
          <w:b/>
          <w:sz w:val="20"/>
        </w:rPr>
      </w:pPr>
      <w:r>
        <w:rPr>
          <w:rFonts w:cs="Arial" w:ascii="Arial" w:hAnsi="Arial"/>
          <w:b/>
          <w:sz w:val="20"/>
        </w:rPr>
      </w:r>
    </w:p>
    <w:p>
      <w:pPr>
        <w:pStyle w:val="Normal"/>
        <w:numPr>
          <w:ilvl w:val="0"/>
          <w:numId w:val="10"/>
        </w:numPr>
        <w:tabs>
          <w:tab w:val="clear" w:pos="720"/>
          <w:tab w:val="left" w:pos="2520" w:leader="none"/>
        </w:tabs>
        <w:ind w:hanging="360" w:start="2520" w:end="0"/>
        <w:jc w:val="both"/>
        <w:rPr>
          <w:rFonts w:ascii="Arial" w:hAnsi="Arial" w:cs="Arial"/>
        </w:rPr>
      </w:pPr>
      <w:r>
        <w:rPr>
          <w:rFonts w:cs="Arial" w:ascii="Arial" w:hAnsi="Arial"/>
          <w:u w:val="single"/>
        </w:rPr>
        <w:t>Settlements.</w:t>
      </w:r>
      <w:r>
        <w:rPr>
          <w:rFonts w:cs="Arial" w:ascii="Arial" w:hAnsi="Arial"/>
        </w:rPr>
        <w:t xml:space="preserve">  EPMI would provide all invoice preparation, invoice payment, and reconciliation of invoices and payments between the ERCOT ISO and BPE regarding energy imbalance costs, ancillary services, congestion management charges, and any ERCOT administrative fees.</w:t>
      </w:r>
    </w:p>
    <w:p>
      <w:pPr>
        <w:pStyle w:val="Normal"/>
        <w:tabs>
          <w:tab w:val="clear" w:pos="720"/>
          <w:tab w:val="left" w:pos="2520" w:leader="none"/>
        </w:tabs>
        <w:ind w:hanging="360" w:start="2520" w:end="0"/>
        <w:jc w:val="both"/>
        <w:rPr>
          <w:rFonts w:ascii="Arial" w:hAnsi="Arial" w:cs="Arial"/>
        </w:rPr>
      </w:pPr>
      <w:r>
        <w:rPr>
          <w:rFonts w:cs="Arial" w:ascii="Arial" w:hAnsi="Arial"/>
        </w:rPr>
      </w:r>
    </w:p>
    <w:p>
      <w:pPr>
        <w:pStyle w:val="Normal"/>
        <w:numPr>
          <w:ilvl w:val="0"/>
          <w:numId w:val="10"/>
        </w:numPr>
        <w:tabs>
          <w:tab w:val="clear" w:pos="720"/>
          <w:tab w:val="left" w:pos="2520" w:leader="none"/>
        </w:tabs>
        <w:ind w:hanging="360" w:start="2520" w:end="0"/>
        <w:jc w:val="both"/>
        <w:rPr>
          <w:rFonts w:ascii="Arial" w:hAnsi="Arial" w:cs="Arial"/>
        </w:rPr>
      </w:pPr>
      <w:r>
        <w:rPr>
          <w:rFonts w:cs="Arial" w:ascii="Arial" w:hAnsi="Arial"/>
          <w:u w:val="single"/>
        </w:rPr>
        <w:t>Deal Clearing.</w:t>
      </w:r>
      <w:r>
        <w:rPr>
          <w:rFonts w:cs="Arial" w:ascii="Arial" w:hAnsi="Arial"/>
        </w:rPr>
        <w:t xml:space="preserve">  These services would include all deal clearing functions as required in the deregulated Texas marketplace subject to the parties’ execution of a definitive agreement.  EPMI would prepare all confirmations, conduct broker checkouts, and provide deal tracking. </w:t>
      </w:r>
    </w:p>
    <w:p>
      <w:pPr>
        <w:pStyle w:val="Heading3"/>
        <w:ind w:hanging="0" w:start="0"/>
        <w:jc w:val="both"/>
        <w:rPr>
          <w:rFonts w:ascii="Arial" w:hAnsi="Arial" w:cs="Arial"/>
          <w:sz w:val="20"/>
        </w:rPr>
      </w:pPr>
      <w:r>
        <w:rPr>
          <w:rFonts w:cs="Arial" w:ascii="Arial" w:hAnsi="Arial"/>
          <w:sz w:val="20"/>
        </w:rPr>
      </w:r>
    </w:p>
    <w:p>
      <w:pPr>
        <w:pStyle w:val="Heading3"/>
        <w:ind w:hanging="2160" w:start="2160" w:end="0"/>
        <w:jc w:val="both"/>
        <w:rPr>
          <w:rFonts w:ascii="Arial" w:hAnsi="Arial" w:cs="Arial"/>
          <w:sz w:val="20"/>
        </w:rPr>
      </w:pPr>
      <w:r>
        <w:rPr>
          <w:rFonts w:cs="Arial" w:ascii="Arial" w:hAnsi="Arial"/>
          <w:sz w:val="20"/>
        </w:rPr>
        <w:t>Pricing:</w:t>
        <w:tab/>
      </w:r>
      <w:r>
        <w:rPr>
          <w:rFonts w:cs="Arial" w:ascii="Arial" w:hAnsi="Arial"/>
          <w:b w:val="false"/>
          <w:sz w:val="20"/>
        </w:rPr>
        <w:t>EPMI would serve as QSE and perform QSE services described herein for $0.10 per MWh scheduled.</w:t>
      </w:r>
    </w:p>
    <w:p>
      <w:pPr>
        <w:pStyle w:val="BodyText"/>
        <w:ind w:hanging="2160" w:start="2160" w:end="0"/>
        <w:jc w:val="both"/>
        <w:rPr>
          <w:rFonts w:ascii="Arial" w:hAnsi="Arial" w:cs="Arial"/>
          <w:sz w:val="20"/>
        </w:rPr>
      </w:pPr>
      <w:r>
        <w:rPr>
          <w:rFonts w:cs="Arial" w:ascii="Arial" w:hAnsi="Arial"/>
          <w:sz w:val="20"/>
        </w:rPr>
      </w:r>
    </w:p>
    <w:p>
      <w:pPr>
        <w:pStyle w:val="Heading2"/>
        <w:ind w:hanging="2160" w:start="2160" w:end="0"/>
        <w:jc w:val="both"/>
        <w:rPr>
          <w:rFonts w:ascii="Arial" w:hAnsi="Arial" w:cs="Arial"/>
          <w:b/>
          <w:sz w:val="20"/>
        </w:rPr>
      </w:pPr>
      <w:r>
        <w:rPr>
          <w:rFonts w:cs="Arial" w:ascii="Arial" w:hAnsi="Arial"/>
          <w:b/>
          <w:sz w:val="20"/>
        </w:rPr>
        <w:t xml:space="preserve">Terms &amp; </w:t>
      </w:r>
    </w:p>
    <w:p>
      <w:pPr>
        <w:pStyle w:val="Heading2"/>
        <w:ind w:hanging="2160" w:start="2160" w:end="0"/>
        <w:jc w:val="both"/>
        <w:rPr/>
      </w:pPr>
      <w:r>
        <w:rPr>
          <w:rFonts w:cs="Arial" w:ascii="Arial" w:hAnsi="Arial"/>
          <w:b/>
          <w:sz w:val="20"/>
        </w:rPr>
        <w:t>Conditions:</w:t>
        <w:tab/>
      </w:r>
      <w:r>
        <w:rPr>
          <w:rFonts w:cs="Arial" w:ascii="Arial" w:hAnsi="Arial"/>
          <w:sz w:val="20"/>
        </w:rPr>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BPE would (i) acknowledge the absence of any partnership or other form of relationship or association creating fiduciary duties from EPMI to BPE, and make representations relating to EPMI’s level of responsibility under such definitive agreement in relation to EPMI’s own activities in the marketplace, and (ii) acknowledge that EPMI would not perform activities under such definitive agreement described by the definition of a “commodity trading advisor” under the federal Commodity Exchange Act or any statutory or regulatory counterpart existing in under the laws of Texas or any other state. EPMI’s provision of QSE services would be contingent on the appropriate BPE completion and maintenance of qualification with ERCOT as an AS provider and/or other pertinent ERCOT market participant status, including but not limited to all applicable credit and indemnification arrangements relating thereto.</w:t>
      </w:r>
    </w:p>
    <w:p>
      <w:pPr>
        <w:pStyle w:val="Normal"/>
        <w:ind w:hanging="2160" w:start="2160" w:end="0"/>
        <w:jc w:val="both"/>
        <w:rPr>
          <w:rFonts w:ascii="Arial" w:hAnsi="Arial" w:cs="Arial"/>
          <w:sz w:val="20"/>
        </w:rPr>
      </w:pPr>
      <w:r>
        <w:rPr>
          <w:rFonts w:cs="Arial" w:ascii="Arial" w:hAnsi="Arial"/>
          <w:sz w:val="20"/>
        </w:rPr>
      </w:r>
    </w:p>
    <w:p>
      <w:pPr>
        <w:pStyle w:val="Heading3"/>
        <w:ind w:hanging="2160" w:start="2160" w:end="0"/>
        <w:jc w:val="both"/>
        <w:rPr>
          <w:rFonts w:ascii="Arial" w:hAnsi="Arial" w:cs="Arial"/>
          <w:sz w:val="20"/>
        </w:rPr>
      </w:pPr>
      <w:r>
        <w:rPr>
          <w:rFonts w:cs="Arial" w:ascii="Arial" w:hAnsi="Arial"/>
          <w:sz w:val="20"/>
        </w:rPr>
        <w:t>Confidentiality:</w:t>
        <w:tab/>
      </w:r>
      <w:r>
        <w:rPr>
          <w:rFonts w:cs="Arial" w:ascii="Arial" w:hAnsi="Arial"/>
          <w:b w:val="false"/>
          <w:sz w:val="20"/>
        </w:rPr>
        <w:t>The existence of this Term Sheet and all terms and conditions contained herein are confidential between EPMI and BPE and their duly appointed representatives and shall not be disclosed to third parties.</w:t>
      </w:r>
    </w:p>
    <w:p>
      <w:pPr>
        <w:pStyle w:val="Normal"/>
        <w:jc w:val="both"/>
        <w:rPr>
          <w:rFonts w:ascii="Arial" w:hAnsi="Arial" w:cs="Arial"/>
          <w:sz w:val="20"/>
        </w:rPr>
      </w:pPr>
      <w:r>
        <w:rPr>
          <w:rFonts w:cs="Arial" w:ascii="Arial" w:hAnsi="Arial"/>
          <w:sz w:val="20"/>
        </w:rPr>
      </w:r>
    </w:p>
    <w:p>
      <w:pPr>
        <w:pStyle w:val="BodyText2"/>
        <w:jc w:val="both"/>
        <w:rPr>
          <w:rFonts w:ascii="Arial" w:hAnsi="Arial" w:cs="Arial"/>
          <w:sz w:val="20"/>
        </w:rPr>
      </w:pPr>
      <w:r>
        <w:rPr>
          <w:rFonts w:cs="Arial" w:ascii="Arial" w:hAnsi="Arial"/>
          <w:sz w:val="20"/>
        </w:rPr>
      </w:r>
    </w:p>
    <w:p>
      <w:pPr>
        <w:pStyle w:val="BodyText2"/>
        <w:jc w:val="both"/>
        <w:rPr>
          <w:rFonts w:ascii="Arial" w:hAnsi="Arial" w:cs="Arial"/>
          <w:sz w:val="20"/>
        </w:rPr>
      </w:pPr>
      <w:r>
        <w:rPr>
          <w:rFonts w:cs="Arial" w:ascii="Arial" w:hAnsi="Arial"/>
          <w:sz w:val="20"/>
        </w:rPr>
        <w:t xml:space="preserve">The prices and terms of this Term Sheet are subject to change until a definitive QSE Services Agreements is reached, if any.    This is not an offer or commitment of BPE, EPMI or any of its affiliates to enter into or negotiate any transaction.  The transaction described herein would be subject to further review and approval of the Board of Directors of EPMI and BPE, if appropriate, and execution, if any, of a definitive QSE Services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rPr>
    </w:pPr>
    <w:r>
      <w:rPr>
        <w:b/>
        <w:bCs/>
        <w:sz w:val="22"/>
      </w:rPr>
      <w:t>Confidential and Proprietary Information</w:t>
    </w:r>
  </w:p>
  <w:p>
    <w:pPr>
      <w:pStyle w:val="Header"/>
      <w:jc w:val="end"/>
      <w:rPr>
        <w:b/>
        <w:bCs/>
        <w:sz w:val="22"/>
      </w:rPr>
    </w:pPr>
    <w:r>
      <w:rPr>
        <w:b/>
        <w:bCs/>
        <w:sz w:val="22"/>
      </w:rPr>
    </w:r>
  </w:p>
  <w:p>
    <w:pPr>
      <w:pStyle w:val="Header"/>
      <w:jc w:val="end"/>
      <w:rPr>
        <w:rFonts w:ascii="Arial" w:hAnsi="Arial" w:cs="Arial"/>
        <w:b/>
        <w:bCs/>
        <w:sz w:val="22"/>
      </w:rPr>
    </w:pPr>
    <w:r>
      <w:rPr>
        <w:rFonts w:cs="Arial" w:ascii="Arial" w:hAnsi="Arial"/>
        <w:b/>
        <w:bCs/>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decimal"/>
      <w:lvlText w:val="%1)"/>
      <w:lvlJc w:val="start"/>
      <w:pPr>
        <w:tabs>
          <w:tab w:val="num" w:pos="1350"/>
        </w:tabs>
        <w:ind w:start="135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upperRoman"/>
      <w:lvlText w:val="%1."/>
      <w:lvlJc w:val="start"/>
      <w:pPr>
        <w:tabs>
          <w:tab w:val="num" w:pos="720"/>
        </w:tabs>
        <w:ind w:start="720" w:hanging="720"/>
      </w:p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0"/>
        <w:numId w:val="5"/>
      </w:numPr>
      <w:outlineLvl w:val="3"/>
    </w:pPr>
    <w:rPr>
      <w:sz w:val="24"/>
      <w:u w:val="single"/>
    </w:rPr>
  </w:style>
  <w:style w:type="paragraph" w:styleId="Heading5">
    <w:name w:val="heading 5"/>
    <w:basedOn w:val="Normal"/>
    <w:next w:val="Normal"/>
    <w:qFormat/>
    <w:pPr>
      <w:keepNext w:val="true"/>
      <w:numPr>
        <w:ilvl w:val="4"/>
        <w:numId w:val="1"/>
      </w:numPr>
      <w:ind w:hanging="0" w:start="720" w:end="0"/>
      <w:outlineLvl w:val="4"/>
    </w:pPr>
    <w:rPr>
      <w:sz w:val="24"/>
      <w:u w:val="single"/>
    </w:rPr>
  </w:style>
  <w:style w:type="paragraph" w:styleId="Heading6">
    <w:name w:val="heading 6"/>
    <w:basedOn w:val="Normal"/>
    <w:next w:val="Normal"/>
    <w:qFormat/>
    <w:pPr>
      <w:keepNext w:val="true"/>
      <w:numPr>
        <w:ilvl w:val="0"/>
        <w:numId w:val="14"/>
      </w:numPr>
      <w:outlineLvl w:val="5"/>
    </w:pPr>
    <w:rPr>
      <w:b/>
      <w:sz w:val="24"/>
    </w:rPr>
  </w:style>
  <w:style w:type="paragraph" w:styleId="Heading7">
    <w:name w:val="heading 7"/>
    <w:basedOn w:val="Normal"/>
    <w:next w:val="Normal"/>
    <w:qFormat/>
    <w:pPr>
      <w:keepNext w:val="true"/>
      <w:numPr>
        <w:ilvl w:val="6"/>
        <w:numId w:val="1"/>
      </w:numPr>
      <w:jc w:val="center"/>
      <w:outlineLvl w:val="6"/>
    </w:pPr>
    <w:rPr>
      <w:b/>
      <w:sz w:val="32"/>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St21z0">
    <w:name w:val="WW8NumSt21z0"/>
    <w:qFormat/>
    <w:rPr>
      <w:rFonts w:ascii="Wingdings" w:hAnsi="Wingdings" w:cs="Wingdings"/>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pPr>
    <w:rPr>
      <w:sz w:val="22"/>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2001-04-03T13:16:00Z</dcterms:created>
  <dc:creator>Christopher C. Ahn</dc:creator>
  <dc:description/>
  <dc:language>en-CA</dc:language>
  <cp:lastModifiedBy>Christopher Ahn</cp:lastModifiedBy>
  <cp:lastPrinted>2001-03-30T15:17:00Z</cp:lastPrinted>
  <dcterms:modified xsi:type="dcterms:W3CDTF">2001-04-03T13:16:00Z</dcterms:modified>
  <cp:revision>2</cp:revision>
  <dc:subject/>
  <dc:title>Services Draft Term Sheet</dc:title>
</cp:coreProperties>
</file>