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rFonts w:ascii="Arial" w:hAnsi="Arial" w:cs="Arial"/>
          <w:sz w:val="20"/>
        </w:rPr>
      </w:pPr>
      <w:r>
        <w:rPr>
          <w:rFonts w:cs="Arial" w:ascii="Arial" w:hAnsi="Arial"/>
          <w:sz w:val="20"/>
        </w:rPr>
        <w:t>Exhibit A</w:t>
      </w:r>
    </w:p>
    <w:p>
      <w:pPr>
        <w:pStyle w:val="Heading1"/>
        <w:ind w:hanging="0" w:start="0"/>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Term Sheet</w:t>
      </w:r>
    </w:p>
    <w:p>
      <w:pPr>
        <w:pStyle w:val="Heading1"/>
        <w:ind w:hanging="0" w:start="0"/>
        <w:rPr>
          <w:rFonts w:ascii="Arial" w:hAnsi="Arial" w:cs="Arial"/>
          <w:sz w:val="20"/>
        </w:rPr>
      </w:pPr>
      <w:r>
        <w:rPr>
          <w:rFonts w:cs="Arial" w:ascii="Arial" w:hAnsi="Arial"/>
          <w:sz w:val="20"/>
        </w:rPr>
        <w:t>To</w:t>
      </w:r>
    </w:p>
    <w:p>
      <w:pPr>
        <w:pStyle w:val="Heading1"/>
        <w:ind w:hanging="0" w:start="0"/>
        <w:rPr>
          <w:rFonts w:ascii="Helvetica" w:hAnsi="Helvetica" w:cs="Helvetica"/>
          <w:sz w:val="20"/>
        </w:rPr>
      </w:pPr>
      <w:r>
        <w:rPr>
          <w:rFonts w:cs="Helvetica" w:ascii="Helvetica" w:hAnsi="Helvetica"/>
          <w:sz w:val="20"/>
        </w:rPr>
        <w:t>BP Energy Company</w:t>
      </w:r>
    </w:p>
    <w:p>
      <w:pPr>
        <w:pStyle w:val="Heading1"/>
        <w:ind w:hanging="0" w:start="0"/>
        <w:rPr>
          <w:rFonts w:ascii="Arial" w:hAnsi="Arial" w:cs="Arial"/>
          <w:sz w:val="20"/>
        </w:rPr>
      </w:pPr>
      <w:r>
        <w:rPr>
          <w:rFonts w:cs="Arial" w:ascii="Arial" w:hAnsi="Arial"/>
          <w:sz w:val="20"/>
        </w:rPr>
        <w:t>By</w:t>
      </w:r>
    </w:p>
    <w:p>
      <w:pPr>
        <w:pStyle w:val="Heading1"/>
        <w:ind w:hanging="0" w:start="0"/>
        <w:rPr>
          <w:rFonts w:ascii="Arial" w:hAnsi="Arial" w:cs="Arial"/>
          <w:sz w:val="20"/>
        </w:rPr>
      </w:pPr>
      <w:r>
        <w:rPr>
          <w:rFonts w:cs="Arial" w:ascii="Arial" w:hAnsi="Arial"/>
          <w:sz w:val="20"/>
        </w:rPr>
        <w:t>Enron Power Marketing, Inc.</w:t>
      </w:r>
    </w:p>
    <w:p>
      <w:pPr>
        <w:pStyle w:val="Heading1"/>
        <w:ind w:hanging="0" w:start="0"/>
        <w:rPr>
          <w:rFonts w:ascii="Arial" w:hAnsi="Arial" w:cs="Arial"/>
          <w:sz w:val="20"/>
        </w:rPr>
      </w:pPr>
      <w:r>
        <w:rPr>
          <w:rFonts w:cs="Arial" w:ascii="Arial" w:hAnsi="Arial"/>
          <w:sz w:val="20"/>
        </w:rPr>
      </w:r>
    </w:p>
    <w:p>
      <w:pPr>
        <w:pStyle w:val="Normal"/>
        <w:jc w:val="center"/>
        <w:rPr>
          <w:rFonts w:ascii="Arial" w:hAnsi="Arial" w:cs="Arial"/>
        </w:rPr>
      </w:pPr>
      <w:r>
        <w:rPr>
          <w:rFonts w:cs="Arial" w:ascii="Arial" w:hAnsi="Arial"/>
        </w:rPr>
        <w:t>March 30, 2001</w:t>
      </w:r>
    </w:p>
    <w:p>
      <w:pPr>
        <w:pStyle w:val="Normal"/>
        <w:rPr>
          <w:rFonts w:ascii="Arial" w:hAnsi="Arial" w:cs="Arial"/>
        </w:rPr>
      </w:pPr>
      <w:r>
        <w:rPr>
          <w:rFonts w:cs="Arial" w:ascii="Arial" w:hAnsi="Arial"/>
        </w:rPr>
      </w:r>
    </w:p>
    <w:p>
      <w:pPr>
        <w:pStyle w:val="Normal"/>
        <w:spacing w:lineRule="atLeast" w:line="240"/>
        <w:rPr/>
      </w:pPr>
      <w:r>
        <w:rPr>
          <w:rFonts w:cs="Arial" w:ascii="Arial" w:hAnsi="Arial"/>
          <w:b/>
          <w:color w:val="000000"/>
        </w:rPr>
        <w:t>Seller:</w:t>
      </w:r>
      <w:r>
        <w:rPr>
          <w:rFonts w:cs="Arial" w:ascii="Arial" w:hAnsi="Arial"/>
          <w:color w:val="000000"/>
        </w:rPr>
        <w:tab/>
        <w:tab/>
        <w:tab/>
        <w:t>Enron Power Marketing, Inc. (“EPMI”)</w:t>
      </w:r>
    </w:p>
    <w:p>
      <w:pPr>
        <w:pStyle w:val="BodyTextIndent"/>
        <w:jc w:val="both"/>
        <w:rPr>
          <w:rFonts w:ascii="Arial" w:hAnsi="Arial" w:cs="Arial"/>
          <w:b/>
          <w:color w:val="000000"/>
        </w:rPr>
      </w:pPr>
      <w:r>
        <w:rPr>
          <w:rFonts w:cs="Arial"/>
          <w:b/>
          <w:color w:val="000000"/>
        </w:rPr>
      </w:r>
    </w:p>
    <w:p>
      <w:pPr>
        <w:pStyle w:val="BodyTextIndent"/>
        <w:jc w:val="both"/>
        <w:rPr/>
      </w:pPr>
      <w:r>
        <w:rPr>
          <w:b/>
        </w:rPr>
        <w:t>Buyer:</w:t>
      </w:r>
      <w:r>
        <w:rPr/>
        <w:tab/>
        <w:t>BP Energy Company (“BPE”)</w:t>
      </w:r>
    </w:p>
    <w:p>
      <w:pPr>
        <w:pStyle w:val="BodyTextIndent"/>
        <w:jc w:val="both"/>
        <w:rPr>
          <w:b/>
        </w:rPr>
      </w:pPr>
      <w:r>
        <w:rPr>
          <w:b/>
        </w:rPr>
      </w:r>
    </w:p>
    <w:p>
      <w:pPr>
        <w:pStyle w:val="BodyText2"/>
        <w:ind w:hanging="2160" w:start="2160" w:end="0"/>
        <w:jc w:val="both"/>
        <w:rPr/>
      </w:pPr>
      <w:r>
        <w:rPr/>
        <w:t>Transaction:</w:t>
        <w:tab/>
      </w:r>
      <w:r>
        <w:rPr>
          <w:b w:val="false"/>
        </w:rPr>
        <w:t xml:space="preserve">EPMI shall sell, and BPE shall purchase, firm all-requirements electric energy (required for BPE’s sales to Green Mountain) at the Delivery Point (defined below), and Qualified Scheduling Entity (“QSE”) services in the Electric Reliability Council of Texas (“ERCOT”) transmission system, subject to (1) the variability factor set forth under "Quantity" below and (2) other appropriate terms limiting EPMI’s and BPE's exposure relating to potential fluctuations in Green Mountain’s requirements, as negotiated by the Parties and stated in the definitive agreement.  </w:t>
      </w:r>
    </w:p>
    <w:p>
      <w:pPr>
        <w:pStyle w:val="BodyTextIndent"/>
        <w:jc w:val="both"/>
        <w:rPr>
          <w:b/>
        </w:rPr>
      </w:pPr>
      <w:r>
        <w:rPr>
          <w:b/>
        </w:rPr>
      </w:r>
    </w:p>
    <w:p>
      <w:pPr>
        <w:pStyle w:val="BodyTextIndent"/>
        <w:jc w:val="both"/>
        <w:rPr/>
      </w:pPr>
      <w:r>
        <w:rPr>
          <w:b/>
        </w:rPr>
        <w:t>Product/Services:</w:t>
      </w:r>
      <w:r>
        <w:rPr/>
        <w:tab/>
        <w:t xml:space="preserve">All-requirements electric energy service (required for BPE’s sales to Green Mountain), which shall include (and subject to “Pass-Throughs” to BPE referenced below): </w:t>
      </w:r>
    </w:p>
    <w:p>
      <w:pPr>
        <w:pStyle w:val="Normal"/>
        <w:numPr>
          <w:ilvl w:val="0"/>
          <w:numId w:val="2"/>
        </w:numPr>
        <w:spacing w:lineRule="atLeast" w:line="240"/>
        <w:jc w:val="both"/>
        <w:rPr>
          <w:rFonts w:ascii="Arial" w:hAnsi="Arial" w:cs="Arial"/>
          <w:color w:val="000000"/>
        </w:rPr>
      </w:pPr>
      <w:r>
        <w:rPr>
          <w:rFonts w:cs="Arial" w:ascii="Arial" w:hAnsi="Arial"/>
          <w:color w:val="000000"/>
        </w:rPr>
        <w:t xml:space="preserve">ERCOT Type UB (firm) electric energy </w:t>
      </w:r>
    </w:p>
    <w:p>
      <w:pPr>
        <w:pStyle w:val="Normal"/>
        <w:numPr>
          <w:ilvl w:val="0"/>
          <w:numId w:val="2"/>
        </w:numPr>
        <w:spacing w:lineRule="atLeast" w:line="240"/>
        <w:jc w:val="both"/>
        <w:rPr>
          <w:rFonts w:ascii="Arial" w:hAnsi="Arial" w:cs="Arial"/>
          <w:color w:val="000000"/>
        </w:rPr>
      </w:pPr>
      <w:r>
        <w:rPr>
          <w:rFonts w:cs="Arial" w:ascii="Arial" w:hAnsi="Arial"/>
          <w:color w:val="000000"/>
        </w:rPr>
        <w:t xml:space="preserve">Ancillary services (including all </w:t>
      </w:r>
      <w:r>
        <w:rPr>
          <w:rFonts w:cs="Arial" w:ascii="Arial" w:hAnsi="Arial"/>
        </w:rPr>
        <w:t>responsive reserves, non-spinning reserves, regulation up and down reserves</w:t>
      </w:r>
      <w:r>
        <w:rPr>
          <w:rFonts w:cs="Arial" w:ascii="Arial" w:hAnsi="Arial"/>
          <w:color w:val="000000"/>
        </w:rPr>
        <w:t>; but excluding the Pass-Throughs set forth below)</w:t>
      </w:r>
    </w:p>
    <w:p>
      <w:pPr>
        <w:pStyle w:val="Normal"/>
        <w:numPr>
          <w:ilvl w:val="0"/>
          <w:numId w:val="2"/>
        </w:numPr>
        <w:spacing w:lineRule="atLeast" w:line="240"/>
        <w:jc w:val="both"/>
        <w:rPr>
          <w:rFonts w:ascii="Arial" w:hAnsi="Arial" w:cs="Arial"/>
          <w:color w:val="000000"/>
        </w:rPr>
      </w:pPr>
      <w:r>
        <w:rPr>
          <w:rFonts w:cs="Arial" w:ascii="Arial" w:hAnsi="Arial"/>
          <w:color w:val="000000"/>
        </w:rPr>
        <w:t xml:space="preserve">Renewable energy credits ("REC") - one REC per MWh (see Type of RECs below) </w:t>
      </w:r>
    </w:p>
    <w:p>
      <w:pPr>
        <w:pStyle w:val="Normal"/>
        <w:numPr>
          <w:ilvl w:val="0"/>
          <w:numId w:val="2"/>
        </w:numPr>
        <w:spacing w:lineRule="atLeast" w:line="240"/>
        <w:jc w:val="both"/>
        <w:rPr>
          <w:rFonts w:ascii="Arial" w:hAnsi="Arial" w:cs="Arial"/>
          <w:color w:val="000000"/>
        </w:rPr>
      </w:pPr>
      <w:r>
        <w:rPr>
          <w:rFonts w:cs="Arial" w:ascii="Arial" w:hAnsi="Arial"/>
          <w:color w:val="000000"/>
        </w:rPr>
        <w:t>ERCOT QSE services under a mutually acceptable QSE Services Agreement based on EPMI’s standard form (as such services are  more fully described in Exhibit B, Term Sheet relating to QSE Services)</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ind w:hanging="2160" w:start="2160" w:end="0"/>
        <w:jc w:val="both"/>
        <w:rPr/>
      </w:pPr>
      <w:r>
        <w:rPr>
          <w:rFonts w:cs="Arial" w:ascii="Arial" w:hAnsi="Arial"/>
          <w:b/>
          <w:color w:val="000000"/>
        </w:rPr>
        <w:t>Term:</w:t>
        <w:tab/>
      </w:r>
      <w:r>
        <w:rPr>
          <w:rFonts w:cs="Arial" w:ascii="Arial" w:hAnsi="Arial"/>
          <w:color w:val="000000"/>
        </w:rPr>
        <w:t xml:space="preserve">July 1, 2001 through December 31, 2002 </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hanging="2160" w:start="2160" w:end="0"/>
        <w:jc w:val="both"/>
        <w:rPr/>
      </w:pPr>
      <w:r>
        <w:rPr>
          <w:rFonts w:cs="Arial" w:ascii="Arial" w:hAnsi="Arial"/>
          <w:b/>
          <w:color w:val="000000"/>
        </w:rPr>
        <w:t>Quantity:</w:t>
      </w:r>
      <w:r>
        <w:rPr>
          <w:rFonts w:cs="Arial" w:ascii="Arial" w:hAnsi="Arial"/>
          <w:color w:val="000000"/>
        </w:rPr>
        <w:tab/>
        <w:t xml:space="preserve">Quantity based on (i) Green Mountain’s estimated monthly maximum peak demand in MW (commencing at approximately 0 MW and escalating to a maximum of 150 MW over the Term), and (ii) a specified aggregate amount of energy sufficient to supply Green Mountain’s forecast quantity in MWh deliverable by EPMI under the definitive agreement at the Electric Energy Price, each with a +/- 5% variability factor and as determined consistent with the applicable ERCOT load profiles (subject to negotiated requirements limitations referenced in “Transaction” above.) </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start="2160" w:end="0"/>
        <w:jc w:val="both"/>
        <w:rPr>
          <w:rFonts w:ascii="Arial" w:hAnsi="Arial" w:cs="Arial"/>
          <w:color w:val="000000"/>
        </w:rPr>
      </w:pPr>
      <w:r>
        <w:rPr>
          <w:rFonts w:cs="Arial" w:ascii="Arial" w:hAnsi="Arial"/>
          <w:color w:val="000000"/>
        </w:rPr>
        <w:t xml:space="preserve">For all delivered energy quantities outside of the +/- 5% variability factor, EPMI as QSE will settle with the ERCOT Independent System Operator (“ERCOT ISO”) (purchase or sell as appropriate) at the ERCOT Balancing Energy 15-minute settlement interval market clearing price for energy.  </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start="2160" w:end="0"/>
        <w:jc w:val="both"/>
        <w:rPr>
          <w:rFonts w:ascii="Arial" w:hAnsi="Arial" w:cs="Arial"/>
          <w:color w:val="000000"/>
        </w:rPr>
      </w:pPr>
      <w:r>
        <w:rPr>
          <w:rFonts w:cs="Arial" w:ascii="Arial" w:hAnsi="Arial"/>
          <w:color w:val="000000"/>
        </w:rPr>
        <w:t xml:space="preserve">For all deficient ancillary service quantities caused by Green Mountain’s load quantity being higher than the 5% maximum variability factor, EPMI as QSE will settle with the ERCOT ISO (purchase) at the ERCOT day-ahead market clearing price for capacity for each appropriate ancillary service.  </w:t>
      </w:r>
    </w:p>
    <w:p>
      <w:pPr>
        <w:pStyle w:val="Normal"/>
        <w:spacing w:lineRule="atLeast" w:line="240"/>
        <w:ind w:start="2160" w:end="0"/>
        <w:jc w:val="both"/>
        <w:rPr>
          <w:rFonts w:ascii="Arial" w:hAnsi="Arial" w:cs="Arial"/>
          <w:color w:val="000000"/>
        </w:rPr>
      </w:pPr>
      <w:r>
        <w:rPr>
          <w:rFonts w:cs="Arial" w:ascii="Arial" w:hAnsi="Arial"/>
          <w:color w:val="000000"/>
        </w:rPr>
      </w:r>
    </w:p>
    <w:p>
      <w:pPr>
        <w:pStyle w:val="Normal"/>
        <w:spacing w:lineRule="atLeast" w:line="240"/>
        <w:ind w:start="2160" w:end="0"/>
        <w:jc w:val="both"/>
        <w:rPr>
          <w:rFonts w:ascii="Arial" w:hAnsi="Arial" w:cs="Arial"/>
          <w:color w:val="000000"/>
        </w:rPr>
      </w:pPr>
      <w:r>
        <w:rPr>
          <w:rFonts w:cs="Arial" w:ascii="Arial" w:hAnsi="Arial"/>
          <w:color w:val="000000"/>
        </w:rPr>
        <w:t>BPE shall provide timely notification of the status of Green Mountain’s projected acquisition or loss and its location of load throughout the Term of the agreement.  The all-requirements electric energy provided by EPMI for BPE is to be used solely for Green Mountain’s acquired residential and commercial load in ERCOT.  Green Mountain’s commercial load in ERCOT shall not exceed 5% of their total ERCOT load.</w:t>
      </w:r>
    </w:p>
    <w:p>
      <w:pPr>
        <w:pStyle w:val="Normal"/>
        <w:spacing w:lineRule="atLeast" w:line="240"/>
        <w:jc w:val="both"/>
        <w:rPr>
          <w:rFonts w:ascii="Arial" w:hAnsi="Arial" w:cs="Arial"/>
          <w:color w:val="000000"/>
        </w:rPr>
      </w:pPr>
      <w:r>
        <w:rPr>
          <w:rFonts w:cs="Arial" w:ascii="Arial" w:hAnsi="Arial"/>
          <w:color w:val="000000"/>
        </w:rPr>
      </w:r>
    </w:p>
    <w:p>
      <w:pPr>
        <w:pStyle w:val="BodyText"/>
        <w:ind w:hanging="2160" w:start="2160" w:end="0"/>
        <w:jc w:val="both"/>
        <w:rPr/>
      </w:pPr>
      <w:r>
        <w:rPr>
          <w:b/>
          <w:i w:val="false"/>
        </w:rPr>
        <w:t>Pricing:</w:t>
        <w:tab/>
      </w:r>
      <w:r>
        <w:rPr>
          <w:bCs/>
          <w:i w:val="false"/>
        </w:rPr>
        <w:t xml:space="preserve">All-requirements </w:t>
      </w:r>
      <w:r>
        <w:rPr>
          <w:i w:val="false"/>
        </w:rPr>
        <w:t>electric energy service:</w:t>
      </w:r>
      <w:r>
        <w:rPr>
          <w:b/>
          <w:i w:val="false"/>
        </w:rPr>
        <w:t xml:space="preserve"> </w:t>
      </w:r>
      <w:r>
        <w:rPr>
          <w:i w:val="false"/>
        </w:rPr>
        <w:t xml:space="preserve">$55.00 per MWh. EPMI will provide BPE updated pricing, if requested, up to once per business day until the definitive agreement is executed. </w:t>
      </w:r>
    </w:p>
    <w:p>
      <w:pPr>
        <w:pStyle w:val="BodyText"/>
        <w:ind w:hanging="2160" w:start="2160" w:end="0"/>
        <w:jc w:val="both"/>
        <w:rPr>
          <w:i w:val="false"/>
          <w:i w:val="false"/>
        </w:rPr>
      </w:pPr>
      <w:r>
        <w:rPr>
          <w:b/>
          <w:i w:val="false"/>
        </w:rPr>
        <w:tab/>
      </w:r>
    </w:p>
    <w:p>
      <w:pPr>
        <w:pStyle w:val="BodyText"/>
        <w:ind w:hanging="2160" w:start="2160" w:end="0"/>
        <w:jc w:val="both"/>
        <w:rPr>
          <w:i w:val="false"/>
          <w:i w:val="false"/>
        </w:rPr>
      </w:pPr>
      <w:r>
        <w:rPr>
          <w:i w:val="false"/>
        </w:rPr>
        <w:tab/>
        <w:t>Fees and reimbursements for QSE Services as per Exhibit B.</w:t>
      </w:r>
    </w:p>
    <w:p>
      <w:pPr>
        <w:pStyle w:val="Normal"/>
        <w:spacing w:lineRule="atLeast" w:line="240"/>
        <w:ind w:hanging="2160" w:start="2160" w:end="0"/>
        <w:jc w:val="both"/>
        <w:rPr>
          <w:rFonts w:ascii="Arial" w:hAnsi="Arial" w:cs="Arial"/>
          <w:i/>
          <w:i/>
          <w:color w:val="000000"/>
        </w:rPr>
      </w:pPr>
      <w:r>
        <w:rPr>
          <w:rFonts w:cs="Arial" w:ascii="Arial" w:hAnsi="Arial"/>
          <w:i/>
          <w:color w:val="000000"/>
        </w:rPr>
      </w:r>
    </w:p>
    <w:p>
      <w:pPr>
        <w:pStyle w:val="Normal"/>
        <w:spacing w:lineRule="atLeast" w:line="240"/>
        <w:ind w:hanging="2160" w:start="2160" w:end="0"/>
        <w:jc w:val="both"/>
        <w:rPr/>
      </w:pPr>
      <w:r>
        <w:rPr>
          <w:rFonts w:cs="Arial" w:ascii="Arial" w:hAnsi="Arial"/>
          <w:b/>
          <w:color w:val="000000"/>
        </w:rPr>
        <w:t>Delivery Point:</w:t>
        <w:tab/>
      </w:r>
      <w:r>
        <w:rPr>
          <w:rFonts w:cs="Arial" w:ascii="Arial" w:hAnsi="Arial"/>
        </w:rPr>
        <w:t>ERCOT transmission system.  BPE would be responsible for all costs and charges including, but not limited to, congestion costs and transmission and distribution line losses imposed on or associated with the delivery of energy from the Delivery Point to the customers' meters.</w:t>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hanging="2160" w:start="2160" w:end="0"/>
        <w:jc w:val="both"/>
        <w:rPr/>
      </w:pPr>
      <w:r>
        <w:rPr>
          <w:rFonts w:cs="Arial" w:ascii="Arial" w:hAnsi="Arial"/>
          <w:b/>
          <w:color w:val="000000"/>
        </w:rPr>
        <w:t>Pass-Throughs:</w:t>
        <w:tab/>
      </w:r>
      <w:r>
        <w:rPr>
          <w:rFonts w:cs="Arial" w:ascii="Arial" w:hAnsi="Arial"/>
          <w:color w:val="000000"/>
        </w:rPr>
        <w:t xml:space="preserve">All other applicable ERCOT fees and charges attributable to Green Mountain’s customer load, EPMI’s provision of QSE services, and taxes shall be passed through to BPE for payment at its sole expense. </w:t>
        <w:tab/>
      </w:r>
    </w:p>
    <w:p>
      <w:pPr>
        <w:pStyle w:val="Normal"/>
        <w:spacing w:lineRule="atLeast" w:line="240"/>
        <w:ind w:hanging="2160" w:start="2160" w:end="0"/>
        <w:jc w:val="both"/>
        <w:rPr>
          <w:rFonts w:ascii="Arial" w:hAnsi="Arial" w:cs="Arial"/>
          <w:b/>
          <w:color w:val="000000"/>
        </w:rPr>
      </w:pPr>
      <w:r>
        <w:rPr>
          <w:rFonts w:cs="Arial" w:ascii="Arial" w:hAnsi="Arial"/>
          <w:b/>
          <w:color w:val="000000"/>
        </w:rPr>
      </w:r>
    </w:p>
    <w:p>
      <w:pPr>
        <w:pStyle w:val="Normal"/>
        <w:spacing w:lineRule="atLeast" w:line="240"/>
        <w:ind w:hanging="2160" w:start="2160" w:end="0"/>
        <w:jc w:val="both"/>
        <w:rPr>
          <w:rFonts w:ascii="Arial" w:hAnsi="Arial" w:cs="Arial"/>
          <w:b/>
          <w:color w:val="000000"/>
        </w:rPr>
      </w:pPr>
      <w:r>
        <w:rPr>
          <w:rFonts w:cs="Arial" w:ascii="Arial" w:hAnsi="Arial"/>
          <w:b/>
          <w:color w:val="000000"/>
        </w:rPr>
        <w:t xml:space="preserve">Customer </w:t>
      </w:r>
    </w:p>
    <w:p>
      <w:pPr>
        <w:pStyle w:val="Normal"/>
        <w:spacing w:lineRule="atLeast" w:line="240"/>
        <w:ind w:hanging="2160" w:start="2160" w:end="0"/>
        <w:jc w:val="both"/>
        <w:rPr/>
      </w:pPr>
      <w:r>
        <w:rPr>
          <w:rFonts w:cs="Arial" w:ascii="Arial" w:hAnsi="Arial"/>
          <w:b/>
          <w:color w:val="000000"/>
        </w:rPr>
        <w:t>Information:</w:t>
        <w:tab/>
      </w:r>
      <w:r>
        <w:rPr>
          <w:rFonts w:cs="Arial" w:ascii="Arial" w:hAnsi="Arial"/>
          <w:bCs/>
          <w:color w:val="000000"/>
        </w:rPr>
        <w:t>T</w:t>
      </w:r>
      <w:r>
        <w:rPr>
          <w:rFonts w:cs="Arial" w:ascii="Arial" w:hAnsi="Arial"/>
          <w:color w:val="000000"/>
        </w:rPr>
        <w:t xml:space="preserve">he parties to the definitive agreement would be EPMI and BPE; all information relating to Green Mountain load requirements, scheduling requirements, and other information necessary or appropriate to be provided to EPMI under the definitive agreement would be provided by Green Mountain to EPMI. </w:t>
      </w:r>
    </w:p>
    <w:p>
      <w:pPr>
        <w:pStyle w:val="Normal"/>
        <w:spacing w:lineRule="atLeast" w:line="240"/>
        <w:ind w:hanging="2160" w:start="2160" w:end="0"/>
        <w:jc w:val="both"/>
        <w:rPr>
          <w:rFonts w:ascii="Arial" w:hAnsi="Arial" w:cs="Arial"/>
          <w:color w:val="000000"/>
        </w:rPr>
      </w:pPr>
      <w:r>
        <w:rPr>
          <w:rFonts w:cs="Arial" w:ascii="Arial" w:hAnsi="Arial"/>
          <w:color w:val="000000"/>
        </w:rPr>
      </w:r>
    </w:p>
    <w:p>
      <w:pPr>
        <w:pStyle w:val="BodyText"/>
        <w:ind w:hanging="2160" w:start="2160" w:end="0"/>
        <w:jc w:val="both"/>
        <w:rPr/>
      </w:pPr>
      <w:r>
        <w:rPr>
          <w:b/>
          <w:i w:val="false"/>
          <w:iCs/>
        </w:rPr>
        <w:t>Type of RECs:</w:t>
        <w:tab/>
      </w:r>
      <w:r>
        <w:rPr>
          <w:bCs/>
          <w:i w:val="false"/>
          <w:iCs/>
        </w:rPr>
        <w:t xml:space="preserve">For the year 2002, EPMI shall provide BPE RECs produced from new renewable wind generation facilitie(s) that have become operational no earlier than June 1, 2000. </w:t>
      </w:r>
    </w:p>
    <w:p>
      <w:pPr>
        <w:pStyle w:val="BodyText"/>
        <w:ind w:hanging="2160" w:start="2160" w:end="0"/>
        <w:jc w:val="both"/>
        <w:rPr>
          <w:bCs/>
          <w:i w:val="false"/>
          <w:i w:val="false"/>
          <w:iCs/>
        </w:rPr>
      </w:pPr>
      <w:r>
        <w:rPr>
          <w:bCs/>
          <w:i w:val="false"/>
          <w:iCs/>
        </w:rPr>
      </w:r>
    </w:p>
    <w:p>
      <w:pPr>
        <w:pStyle w:val="BodyText"/>
        <w:ind w:start="2160" w:end="0"/>
        <w:jc w:val="both"/>
        <w:rPr>
          <w:bCs/>
          <w:i w:val="false"/>
          <w:i w:val="false"/>
          <w:iCs/>
        </w:rPr>
      </w:pPr>
      <w:r>
        <w:rPr>
          <w:bCs/>
          <w:i w:val="false"/>
          <w:iCs/>
        </w:rPr>
        <w:t xml:space="preserve">For the year 2001, EPMI shall either: (1) use commerically reasonalble best efforts to provide BPE RECs produced from new renewable wind generation facilitie(s) that have become operational no earlier than June 1, 2000, or (2) pay BPE $3.50 per MWh (to be deducted from the all-requirements electric energy service price). </w:t>
      </w:r>
    </w:p>
    <w:p>
      <w:pPr>
        <w:pStyle w:val="BodyText"/>
        <w:ind w:hanging="2160" w:start="2160" w:end="0"/>
        <w:jc w:val="both"/>
        <w:rPr>
          <w:b/>
          <w:bCs/>
          <w:i w:val="false"/>
          <w:i w:val="false"/>
          <w:iCs/>
        </w:rPr>
      </w:pPr>
      <w:r>
        <w:rPr>
          <w:b/>
          <w:bCs/>
          <w:i w:val="false"/>
          <w:iCs/>
        </w:rPr>
      </w:r>
    </w:p>
    <w:p>
      <w:pPr>
        <w:pStyle w:val="BodyText"/>
        <w:ind w:hanging="2160" w:start="2160" w:end="0"/>
        <w:jc w:val="both"/>
        <w:rPr/>
      </w:pPr>
      <w:r>
        <w:rPr>
          <w:b/>
          <w:i w:val="false"/>
          <w:iCs/>
        </w:rPr>
        <w:t>Bilateral Trades:</w:t>
        <w:tab/>
      </w:r>
      <w:r>
        <w:rPr>
          <w:i w:val="false"/>
          <w:iCs/>
        </w:rPr>
        <w:t>EPMI will provide Green Mountain quotes for bilateral trades of blocks of energy in order to assist</w:t>
      </w:r>
      <w:r>
        <w:rPr>
          <w:b/>
          <w:i w:val="false"/>
          <w:iCs/>
        </w:rPr>
        <w:t xml:space="preserve"> </w:t>
      </w:r>
      <w:r>
        <w:rPr>
          <w:i w:val="false"/>
          <w:iCs/>
        </w:rPr>
        <w:t xml:space="preserve">BPE with the management of its load growth in excess of the 5% maximum variability factor and spot market exposure.  Bilateral transactions shall be consummated under the Master Energy Purchase and Sale, dated January 1, 1997 between BPE and EPMI, as may be amended by the Parties as of the date of such bilateral transactions (the "Master Trading Agreement"). </w:t>
      </w:r>
    </w:p>
    <w:p>
      <w:pPr>
        <w:pStyle w:val="Normal"/>
        <w:spacing w:lineRule="atLeast" w:line="240"/>
        <w:ind w:hanging="2160" w:start="2160" w:end="0"/>
        <w:jc w:val="both"/>
        <w:rPr>
          <w:rFonts w:ascii="Arial" w:hAnsi="Arial" w:cs="Arial"/>
          <w:i/>
          <w:i/>
          <w:iCs/>
          <w:color w:val="000000"/>
        </w:rPr>
      </w:pPr>
      <w:r>
        <w:rPr>
          <w:rFonts w:cs="Arial" w:ascii="Arial" w:hAnsi="Arial"/>
          <w:i/>
          <w:iCs/>
          <w:color w:val="000000"/>
        </w:rPr>
      </w:r>
    </w:p>
    <w:p>
      <w:pPr>
        <w:pStyle w:val="Normal"/>
        <w:spacing w:lineRule="atLeast" w:line="240"/>
        <w:ind w:hanging="2160" w:start="2160" w:end="0"/>
        <w:jc w:val="both"/>
        <w:rPr/>
      </w:pPr>
      <w:r>
        <w:rPr>
          <w:rFonts w:cs="Arial" w:ascii="Arial" w:hAnsi="Arial"/>
          <w:b/>
          <w:color w:val="000000"/>
        </w:rPr>
        <w:t xml:space="preserve">Force Majeure:  </w:t>
        <w:tab/>
      </w:r>
      <w:r>
        <w:rPr>
          <w:rFonts w:cs="Arial" w:ascii="Arial" w:hAnsi="Arial"/>
          <w:color w:val="000000"/>
        </w:rPr>
        <w:t>The definitive agreement would contain customary Force Majeure provisions providing for excused performance of the affected party in the event of Force Majeure.</w:t>
      </w:r>
      <w:r>
        <w:br w:type="page"/>
      </w:r>
    </w:p>
    <w:p>
      <w:pPr>
        <w:pStyle w:val="BodyText"/>
        <w:jc w:val="both"/>
        <w:rPr>
          <w:b/>
          <w:i w:val="false"/>
          <w:i w:val="false"/>
        </w:rPr>
      </w:pPr>
      <w:r>
        <w:rPr>
          <w:b/>
          <w:i w:val="false"/>
        </w:rPr>
        <w:t xml:space="preserve">Terms &amp; </w:t>
      </w:r>
    </w:p>
    <w:p>
      <w:pPr>
        <w:pStyle w:val="BodyText"/>
        <w:ind w:hanging="2160" w:start="2160" w:end="0"/>
        <w:jc w:val="both"/>
        <w:rPr/>
      </w:pPr>
      <w:r>
        <w:rPr>
          <w:b/>
          <w:i w:val="false"/>
        </w:rPr>
        <w:t>Conditions:</w:t>
        <w:tab/>
      </w:r>
      <w:r>
        <w:rPr>
          <w:bCs/>
          <w:i w:val="false"/>
        </w:rPr>
        <w:t>Other b</w:t>
      </w:r>
      <w:r>
        <w:rPr>
          <w:i w:val="false"/>
        </w:rPr>
        <w:t xml:space="preserve">asic terms and conditions, including but not limited to those governing events of default and remedies, dispute resolution, limitations of damages, credit, confidentiality, and governing law, would be negotiated between the parties prior to a definitive agreement.  </w:t>
      </w:r>
    </w:p>
    <w:p>
      <w:pPr>
        <w:pStyle w:val="BodyText"/>
        <w:ind w:hanging="2160" w:start="2160" w:end="0"/>
        <w:jc w:val="both"/>
        <w:rPr>
          <w:b/>
          <w:i w:val="false"/>
          <w:i w:val="false"/>
        </w:rPr>
      </w:pPr>
      <w:r>
        <w:rPr>
          <w:b/>
          <w:i w:val="false"/>
        </w:rPr>
      </w:r>
    </w:p>
    <w:p>
      <w:pPr>
        <w:pStyle w:val="Normal"/>
        <w:ind w:hanging="2160" w:start="2160" w:end="0"/>
        <w:jc w:val="both"/>
        <w:rPr>
          <w:rFonts w:ascii="Arial" w:hAnsi="Arial" w:cs="Arial"/>
        </w:rPr>
      </w:pPr>
      <w:r>
        <w:rPr>
          <w:rFonts w:cs="Arial" w:ascii="Arial" w:hAnsi="Arial"/>
          <w:b/>
        </w:rPr>
        <w:t>Confidentiality:</w:t>
      </w:r>
      <w:r>
        <w:rPr>
          <w:rFonts w:cs="Arial" w:ascii="Arial" w:hAnsi="Arial"/>
        </w:rPr>
        <w:tab/>
        <w:t>The existence of this Term Sheet and all terms and conditions contained herein shall be maintained confidential between EPMI and BPE(designated Representative of Green Mountain), consistent with the terms of that Confidentiality Agreement, dated March 6, 2001, between BPE and EPMI .</w:t>
      </w:r>
    </w:p>
    <w:p>
      <w:pPr>
        <w:pStyle w:val="Normal"/>
        <w:jc w:val="both"/>
        <w:rPr>
          <w:rFonts w:ascii="Arial" w:hAnsi="Arial" w:cs="Arial"/>
        </w:rPr>
      </w:pPr>
      <w:r>
        <w:rPr>
          <w:rFonts w:cs="Arial" w:ascii="Arial" w:hAnsi="Arial"/>
        </w:rPr>
      </w:r>
    </w:p>
    <w:p>
      <w:pPr>
        <w:pStyle w:val="BodyText"/>
        <w:jc w:val="both"/>
        <w:rPr>
          <w:b/>
          <w:i w:val="false"/>
          <w:i w:val="false"/>
        </w:rPr>
      </w:pPr>
      <w:r>
        <w:rPr>
          <w:b/>
          <w:i w:val="false"/>
        </w:rPr>
      </w:r>
    </w:p>
    <w:p>
      <w:pPr>
        <w:pStyle w:val="BodyText"/>
        <w:jc w:val="both"/>
        <w:rPr>
          <w:b/>
          <w:i w:val="false"/>
          <w:i w:val="false"/>
        </w:rPr>
      </w:pPr>
      <w:r>
        <w:rPr>
          <w:b/>
          <w:i w:val="false"/>
        </w:rPr>
        <w:t>The prices in this Term Sheet are subject to change until a definitive agreement is reached.  This is not an offer or commitment of EPMI, BPE or any of their respective affiliates to enter into any transaction.  The transaction described herein is subject to further review and approval of the Board of Directors of BPE and EPMI, if appropriate, and execution of a definitive agreement containing or incorporating from the Master Trading Agreement all appropriate provisions, including those related to events of default and remedies, dispute resolution, limitations of damages, credit, confidentiality and governing law.</w:t>
      </w:r>
    </w:p>
    <w:sectPr>
      <w:headerReference w:type="default" r:id="rId2"/>
      <w:footerReference w:type="default" r:id="rId3"/>
      <w:type w:val="nextPage"/>
      <w:pgSz w:w="12240" w:h="15840"/>
      <w:pgMar w:left="1800" w:right="1800" w:gutter="0" w:header="720" w:top="1440" w:footer="613"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5">
          <wp:simplePos x="0" y="0"/>
          <wp:positionH relativeFrom="column">
            <wp:posOffset>4892040</wp:posOffset>
          </wp:positionH>
          <wp:positionV relativeFrom="paragraph">
            <wp:posOffset>25400</wp:posOffset>
          </wp:positionV>
          <wp:extent cx="606425" cy="609600"/>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t>Confidential and Proprietary Information</w:t>
    </w:r>
  </w:p>
  <w:p>
    <w:pPr>
      <w:pStyle w:val="Header"/>
      <w:jc w:val="end"/>
      <w:rPr>
        <w:b/>
        <w:bCs/>
        <w:sz w:val="22"/>
      </w:rPr>
    </w:pPr>
    <w:r>
      <w:rPr>
        <w:b/>
        <w:bCs/>
        <w:sz w:val="22"/>
      </w:rPr>
    </w:r>
  </w:p>
  <w:p>
    <w:pPr>
      <w:pStyle w:val="Header"/>
      <w:jc w:val="end"/>
      <w:rPr>
        <w:rFonts w:ascii="Arial" w:hAnsi="Arial" w:cs="Arial"/>
        <w:b/>
        <w:bCs/>
        <w:sz w:val="22"/>
      </w:rPr>
    </w:pPr>
    <w:r>
      <w:rPr>
        <w:rFonts w:cs="Arial" w:ascii="Arial" w:hAnsi="Arial"/>
        <w:b/>
        <w:bCs/>
        <w:sz w:val="22"/>
      </w:rPr>
    </w:r>
  </w:p>
  <w:p>
    <w:pPr>
      <w:pStyle w:val="Header"/>
      <w:rPr>
        <w:rFonts w:ascii="Arial" w:hAnsi="Arial" w:cs="Arial"/>
        <w:b/>
        <w:bCs/>
        <w:sz w:val="22"/>
      </w:rPr>
    </w:pPr>
    <w:r>
      <w:rPr>
        <w:rFonts w:cs="Arial" w:ascii="Arial" w:hAnsi="Arial"/>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jc w:val="center"/>
      <w:outlineLvl w:val="4"/>
    </w:pPr>
    <w:rPr>
      <w:rFonts w:ascii="Arial" w:hAnsi="Arial" w:cs="Arial"/>
      <w:b/>
      <w:color w:val="000000"/>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Arial" w:hAnsi="Arial" w:cs="Arial"/>
      <w:b/>
      <w:color w:val="000000"/>
      <w:u w:val="single"/>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u w:val="single"/>
    </w:rPr>
  </w:style>
  <w:style w:type="paragraph" w:styleId="Heading8">
    <w:name w:val="heading 8"/>
    <w:basedOn w:val="Normal"/>
    <w:next w:val="Normal"/>
    <w:qFormat/>
    <w:pPr>
      <w:keepNext w:val="true"/>
      <w:numPr>
        <w:ilvl w:val="7"/>
        <w:numId w:val="1"/>
      </w:numPr>
      <w:spacing w:lineRule="atLeast" w:line="240"/>
      <w:ind w:hanging="2160" w:start="2160" w:end="0"/>
      <w:jc w:val="both"/>
      <w:outlineLvl w:val="7"/>
    </w:pPr>
    <w:rPr>
      <w:rFonts w:ascii="Arial" w:hAnsi="Arial" w:cs="Arial"/>
      <w:b/>
      <w:u w:val="single"/>
    </w:rPr>
  </w:style>
  <w:style w:type="paragraph" w:styleId="Heading9">
    <w:name w:val="heading 9"/>
    <w:basedOn w:val="Normal"/>
    <w:next w:val="Normal"/>
    <w:qFormat/>
    <w:pPr>
      <w:keepNext w:val="true"/>
      <w:numPr>
        <w:ilvl w:val="8"/>
        <w:numId w:val="1"/>
      </w:numPr>
      <w:jc w:val="both"/>
      <w:outlineLvl w:val="8"/>
    </w:pPr>
    <w:rPr>
      <w:rFonts w:ascii="Arial" w:hAnsi="Arial" w:cs="Arial"/>
      <w:b/>
      <w:color w:val="00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2001-03-30T23:31:00Z</dcterms:created>
  <dc:creator>Michael J. Curry</dc:creator>
  <dc:description/>
  <dc:language>en-CA</dc:language>
  <cp:lastModifiedBy>Christopher Ahn</cp:lastModifiedBy>
  <cp:lastPrinted>2001-03-30T19:09:00Z</cp:lastPrinted>
  <dcterms:modified xsi:type="dcterms:W3CDTF">2001-03-30T23:31:00Z</dcterms:modified>
  <cp:revision>2</cp:revision>
  <dc:subject/>
  <dc:title>Dave,  Here is an indicative three year proposal for your consideration:</dc:title>
</cp:coreProperties>
</file>