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ind w:start="360" w:end="0"/>
        <w:jc w:val="center"/>
        <w:rPr/>
      </w:pPr>
      <w:r>
        <w:rPr/>
        <w:t>EXHIBIT 2</w:t>
      </w:r>
    </w:p>
    <w:p>
      <w:pPr>
        <w:pStyle w:val="Normal"/>
        <w:jc w:val="center"/>
        <w:rPr>
          <w:u w:val="single"/>
        </w:rPr>
      </w:pPr>
      <w:r>
        <w:rPr>
          <w:u w:val="single"/>
        </w:rPr>
        <w:t>ASSET MANAGEMENT SERVICES</w:t>
      </w:r>
    </w:p>
    <w:p>
      <w:pPr>
        <w:pStyle w:val="Normal"/>
        <w:jc w:val="center"/>
        <w:rPr>
          <w:u w:val="single"/>
        </w:rPr>
      </w:pPr>
      <w:r>
        <w:rPr>
          <w:u w:val="single"/>
        </w:rPr>
      </w:r>
    </w:p>
    <w:p>
      <w:pPr>
        <w:pStyle w:val="Normal"/>
        <w:ind w:start="360" w:end="0"/>
        <w:jc w:val="center"/>
        <w:rPr/>
      </w:pPr>
      <w:r>
        <w:rPr/>
      </w:r>
    </w:p>
    <w:p>
      <w:pPr>
        <w:pStyle w:val="Normal"/>
        <w:ind w:start="360" w:end="0"/>
        <w:rPr/>
      </w:pPr>
      <w:r>
        <w:rPr/>
        <w:t>EPMI shall perform the following services in accordance with the terms of the Agreement:</w:t>
      </w:r>
    </w:p>
    <w:p>
      <w:pPr>
        <w:pStyle w:val="Heading1"/>
        <w:ind w:hanging="0" w:start="0"/>
        <w:rPr/>
      </w:pPr>
      <w:r>
        <w:rPr/>
      </w:r>
    </w:p>
    <w:p>
      <w:pPr>
        <w:pStyle w:val="Normal"/>
        <w:ind w:start="360" w:end="0"/>
        <w:rPr/>
      </w:pPr>
      <w:r>
        <w:rPr/>
      </w:r>
    </w:p>
    <w:p>
      <w:pPr>
        <w:pStyle w:val="Heading3"/>
        <w:rPr/>
      </w:pPr>
      <w:r>
        <w:rPr/>
        <w:t>Contracted Resources</w:t>
      </w:r>
    </w:p>
    <w:p>
      <w:pPr>
        <w:pStyle w:val="Normal"/>
        <w:ind w:start="360" w:end="0"/>
        <w:rPr/>
      </w:pPr>
      <w:r>
        <w:rPr/>
      </w:r>
    </w:p>
    <w:p>
      <w:pPr>
        <w:pStyle w:val="Normal"/>
        <w:numPr>
          <w:ilvl w:val="0"/>
          <w:numId w:val="6"/>
        </w:numPr>
        <w:rPr/>
      </w:pPr>
      <w:r>
        <w:rPr/>
        <w:t>Manage existing natural gas contracts</w:t>
      </w:r>
    </w:p>
    <w:p>
      <w:pPr>
        <w:pStyle w:val="Normal"/>
        <w:numPr>
          <w:ilvl w:val="0"/>
          <w:numId w:val="6"/>
        </w:numPr>
        <w:rPr/>
      </w:pPr>
      <w:r>
        <w:rPr/>
        <w:t>Make recommendations concerning purchase of fuel</w:t>
      </w:r>
    </w:p>
    <w:p>
      <w:pPr>
        <w:pStyle w:val="Normal"/>
        <w:numPr>
          <w:ilvl w:val="0"/>
          <w:numId w:val="6"/>
        </w:numPr>
        <w:rPr/>
      </w:pPr>
      <w:r>
        <w:rPr/>
        <w:t>Schedule natural gas, fuel oil and transportation; release natural gas for economic reasons</w:t>
      </w:r>
    </w:p>
    <w:p>
      <w:pPr>
        <w:pStyle w:val="Normal"/>
        <w:ind w:start="720" w:end="0"/>
        <w:rPr/>
      </w:pPr>
      <w:r>
        <w:rPr/>
      </w:r>
    </w:p>
    <w:p>
      <w:pPr>
        <w:pStyle w:val="Normal"/>
        <w:numPr>
          <w:ilvl w:val="0"/>
          <w:numId w:val="6"/>
        </w:numPr>
        <w:rPr/>
      </w:pPr>
      <w:r>
        <w:rPr/>
        <w:t>Load Forecasting to facilitate power purchase and scheduling</w:t>
      </w:r>
    </w:p>
    <w:p>
      <w:pPr>
        <w:pStyle w:val="Normal"/>
        <w:rPr/>
      </w:pPr>
      <w:r>
        <w:rPr/>
      </w:r>
    </w:p>
    <w:p>
      <w:pPr>
        <w:pStyle w:val="BodyTextIndent2"/>
        <w:rPr>
          <w:sz w:val="24"/>
          <w:u w:val="single"/>
        </w:rPr>
      </w:pPr>
      <w:r>
        <w:rPr>
          <w:sz w:val="24"/>
          <w:u w:val="single"/>
        </w:rPr>
        <w:t>Obligation During Startup</w:t>
      </w:r>
    </w:p>
    <w:p>
      <w:pPr>
        <w:pStyle w:val="BodyTextIndent2"/>
        <w:rPr>
          <w:sz w:val="24"/>
        </w:rPr>
      </w:pPr>
      <w:r>
        <w:rPr>
          <w:sz w:val="24"/>
        </w:rPr>
        <w:t>EPMI will utilize a proprietary load-forecasting model to forecast MDEA energy load using historic energy load data and corresponding historic ambient temperature data provided by Clarksdale and Yazoo City.  Additionally, other calendar data including but not necessarily limited to holidays, time of sun rise and sun set, week days and weekends will be included in the model database.   The model will be based on the highly positively correlated relationship between energy load and ambient temperature.</w:t>
      </w:r>
    </w:p>
    <w:p>
      <w:pPr>
        <w:pStyle w:val="BodyTextIndent2"/>
        <w:rPr>
          <w:sz w:val="24"/>
        </w:rPr>
      </w:pPr>
      <w:r>
        <w:rPr>
          <w:sz w:val="24"/>
        </w:rPr>
      </w:r>
    </w:p>
    <w:p>
      <w:pPr>
        <w:pStyle w:val="BodyTextIndent2"/>
        <w:rPr>
          <w:sz w:val="24"/>
        </w:rPr>
      </w:pPr>
      <w:r>
        <w:rPr>
          <w:sz w:val="24"/>
        </w:rPr>
        <w:t xml:space="preserve">Energy load will be forecasted by EPMI using the National Weather Service forecasted temperatures for the Clarksdale and Yazoo City areas.  The energy load at each city will be forecasted separately and aggregated as the MDEA energy load.  </w:t>
      </w:r>
    </w:p>
    <w:p>
      <w:pPr>
        <w:pStyle w:val="BodyTextIndent2"/>
        <w:rPr>
          <w:sz w:val="24"/>
        </w:rPr>
      </w:pPr>
      <w:r>
        <w:rPr>
          <w:sz w:val="24"/>
        </w:rPr>
      </w:r>
    </w:p>
    <w:p>
      <w:pPr>
        <w:pStyle w:val="BodyTextIndent2"/>
        <w:rPr>
          <w:sz w:val="24"/>
          <w:u w:val="single"/>
        </w:rPr>
      </w:pPr>
      <w:r>
        <w:rPr>
          <w:sz w:val="24"/>
          <w:u w:val="single"/>
        </w:rPr>
        <w:t>Obligation During Term of the Agreement</w:t>
      </w:r>
    </w:p>
    <w:p>
      <w:pPr>
        <w:pStyle w:val="BodyTextIndent2"/>
        <w:rPr>
          <w:sz w:val="24"/>
        </w:rPr>
      </w:pPr>
      <w:r>
        <w:rPr>
          <w:sz w:val="24"/>
        </w:rPr>
        <w:t>On an on-going basis, EPMI will obtain the temperature forecasts and run the model.  EPMI will generate the energy load forecast on a weekly basis and revise it daily.</w:t>
      </w:r>
    </w:p>
    <w:p>
      <w:pPr>
        <w:pStyle w:val="Normal"/>
        <w:ind w:start="720" w:end="0"/>
        <w:rPr>
          <w:sz w:val="24"/>
        </w:rPr>
      </w:pPr>
      <w:r>
        <w:rPr>
          <w:sz w:val="24"/>
        </w:rPr>
      </w:r>
    </w:p>
    <w:p>
      <w:pPr>
        <w:pStyle w:val="Normal"/>
        <w:numPr>
          <w:ilvl w:val="0"/>
          <w:numId w:val="6"/>
        </w:numPr>
        <w:rPr/>
      </w:pPr>
      <w:r>
        <w:rPr/>
        <w:t>Optimized scheduling of firm contracted power</w:t>
      </w:r>
    </w:p>
    <w:p>
      <w:pPr>
        <w:pStyle w:val="Normal"/>
        <w:ind w:start="720" w:end="0"/>
        <w:rPr/>
      </w:pPr>
      <w:r>
        <w:rPr/>
      </w:r>
    </w:p>
    <w:p>
      <w:pPr>
        <w:pStyle w:val="Heading9"/>
        <w:rPr/>
      </w:pPr>
      <w:r>
        <w:rPr/>
        <w:t>Obligation During Startup</w:t>
      </w:r>
    </w:p>
    <w:p>
      <w:pPr>
        <w:pStyle w:val="Normal"/>
        <w:ind w:start="720" w:end="0"/>
        <w:rPr/>
      </w:pPr>
      <w:r>
        <w:rPr/>
        <w:t>MDEA has the following firm contracted power from off-system resources: SEPA, 11 MW over 1,500 hours annually; Cajun, 7 MW as base load supply; EPI-Isis, 7 MW as base load supply; EPI- Ritchie, 1MW as base load supply.  EPMI will review the MDEA power contracts and initiate discussions and develop the appropriate protocols with SEPA, Cajun, and EPI regarding scheduling, and transmission reservation, and tagging.</w:t>
      </w:r>
    </w:p>
    <w:p>
      <w:pPr>
        <w:pStyle w:val="Normal"/>
        <w:ind w:start="720" w:end="0"/>
        <w:rPr/>
      </w:pPr>
      <w:r>
        <w:rPr/>
      </w:r>
    </w:p>
    <w:p>
      <w:pPr>
        <w:pStyle w:val="Heading9"/>
        <w:rPr/>
      </w:pPr>
      <w:r>
        <w:rPr/>
        <w:t>Obligation During the Term of the Agreement</w:t>
      </w:r>
    </w:p>
    <w:p>
      <w:pPr>
        <w:pStyle w:val="Normal"/>
        <w:ind w:start="720" w:end="0"/>
        <w:rPr/>
      </w:pPr>
      <w:r>
        <w:rPr/>
        <w:t>EPMI will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p>
    <w:p>
      <w:pPr>
        <w:pStyle w:val="Normal"/>
        <w:rPr/>
      </w:pPr>
      <w:r>
        <w:rPr/>
      </w:r>
    </w:p>
    <w:p>
      <w:pPr>
        <w:pStyle w:val="Normal"/>
        <w:numPr>
          <w:ilvl w:val="0"/>
          <w:numId w:val="6"/>
        </w:numPr>
        <w:rPr/>
      </w:pPr>
      <w:r>
        <w:rPr/>
        <w:t>Power transmission scheduling and management</w:t>
      </w:r>
    </w:p>
    <w:p>
      <w:pPr>
        <w:pStyle w:val="Normal"/>
        <w:rPr/>
      </w:pPr>
      <w:r>
        <w:rPr/>
      </w:r>
    </w:p>
    <w:p>
      <w:pPr>
        <w:pStyle w:val="Heading9"/>
        <w:rPr/>
      </w:pPr>
      <w:r>
        <w:rPr/>
        <w:t>Obligations During Startup</w:t>
      </w:r>
    </w:p>
    <w:p>
      <w:pPr>
        <w:pStyle w:val="Normal"/>
        <w:ind w:start="720" w:end="0"/>
        <w:rPr/>
      </w:pPr>
      <w:r>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Normal"/>
        <w:ind w:start="720" w:end="0"/>
        <w:rPr/>
      </w:pPr>
      <w:r>
        <w:rPr/>
      </w:r>
    </w:p>
    <w:p>
      <w:pPr>
        <w:pStyle w:val="Heading9"/>
        <w:rPr/>
      </w:pPr>
      <w:r>
        <w:rPr/>
        <w:t>Obligations During Term of the Agreement</w:t>
      </w:r>
    </w:p>
    <w:p>
      <w:pPr>
        <w:pStyle w:val="Normal"/>
        <w:ind w:start="720" w:end="0"/>
        <w:rPr/>
      </w:pPr>
      <w:r>
        <w:rPr/>
        <w:t>EPMI will reserve transmission for MDEA energy on Entergy’s OASIS, and complete the tagging process on the OATI system unless otherwise agreed to between EPMI and MDEA.</w:t>
      </w:r>
    </w:p>
    <w:p>
      <w:pPr>
        <w:pStyle w:val="Normal"/>
        <w:rPr/>
      </w:pPr>
      <w:r>
        <w:rPr/>
      </w:r>
    </w:p>
    <w:p>
      <w:pPr>
        <w:pStyle w:val="Normal"/>
        <w:numPr>
          <w:ilvl w:val="0"/>
          <w:numId w:val="6"/>
        </w:numPr>
        <w:rPr/>
      </w:pPr>
      <w:r>
        <w:rPr/>
        <w:t>Arrange for backup and replacement energy, as needed</w:t>
      </w:r>
    </w:p>
    <w:p>
      <w:pPr>
        <w:pStyle w:val="Normal"/>
        <w:rPr/>
      </w:pPr>
      <w:r>
        <w:rPr/>
      </w:r>
    </w:p>
    <w:p>
      <w:pPr>
        <w:pStyle w:val="Heading9"/>
        <w:rPr/>
      </w:pPr>
      <w:r>
        <w:rPr/>
        <w:t>Obligations During the Term of the Agreement</w:t>
      </w:r>
    </w:p>
    <w:p>
      <w:pPr>
        <w:pStyle w:val="Normal"/>
        <w:ind w:start="720" w:end="0"/>
        <w:rPr/>
      </w:pPr>
      <w:r>
        <w:rPr/>
        <w:t>EPMI will arrange for backup and replacement energy to serve MDEA’s native load in the event energy is interrupted from SEPA, Cajun, EPI or from the generation assets owned by Clarksdale and Yazoo City.  EPMI will attempt to source the backup and replacement energy in the real time hourly energy market as soon as MDEA notifies EPMI’s Energy Coordinator.  The price risk associated with purchasing backup and replacement energy will be retained by MDEA and the Cities.</w:t>
      </w:r>
    </w:p>
    <w:p>
      <w:pPr>
        <w:pStyle w:val="Normal"/>
        <w:rPr/>
      </w:pPr>
      <w:r>
        <w:rPr/>
      </w:r>
    </w:p>
    <w:p>
      <w:pPr>
        <w:pStyle w:val="Normal"/>
        <w:ind w:start="360" w:end="0"/>
        <w:rPr/>
      </w:pPr>
      <w:r>
        <w:rPr/>
      </w:r>
    </w:p>
    <w:p>
      <w:pPr>
        <w:pStyle w:val="Heading8"/>
        <w:rPr>
          <w:u w:val="none"/>
        </w:rPr>
      </w:pPr>
      <w:r>
        <w:rPr>
          <w:u w:val="none"/>
        </w:rPr>
        <w:t>Market Activities</w:t>
      </w:r>
    </w:p>
    <w:p>
      <w:pPr>
        <w:pStyle w:val="Normal"/>
        <w:rPr>
          <w:u w:val="none"/>
        </w:rPr>
      </w:pPr>
      <w:r>
        <w:rPr>
          <w:u w:val="none"/>
        </w:rPr>
      </w:r>
    </w:p>
    <w:p>
      <w:pPr>
        <w:pStyle w:val="BodyTextIndent3"/>
        <w:rPr>
          <w:u w:val="single"/>
        </w:rPr>
      </w:pPr>
      <w:r>
        <w:rPr>
          <w:u w:val="single"/>
        </w:rPr>
        <w:t>Obligations During Startup</w:t>
      </w:r>
    </w:p>
    <w:p>
      <w:pPr>
        <w:pStyle w:val="BodyTextIndent3"/>
        <w:rPr/>
      </w:pPr>
      <w:r>
        <w:rPr/>
        <w:t xml:space="preserve">During startup, EPMI will develop draft documents for the Marketing Strategy and Trading Risk Policy.  The strategy and policy presented in these documents will be discussed with MDEA and modified as necessary.  These documents will be the basis for EPMI market activities contemplated during the term of the agreement.  </w:t>
      </w:r>
    </w:p>
    <w:p>
      <w:pPr>
        <w:pStyle w:val="BodyTextIndent3"/>
        <w:rPr/>
      </w:pPr>
      <w:r>
        <w:rPr/>
      </w:r>
    </w:p>
    <w:p>
      <w:pPr>
        <w:pStyle w:val="BodyTextIndent3"/>
        <w:rPr/>
      </w:pPr>
      <w:r>
        <w:rPr/>
        <w:t>EPMI and MDEA and the Cities will execute master gas and power purchase and sale agreements to facilitate these transactions.</w:t>
      </w:r>
    </w:p>
    <w:p>
      <w:pPr>
        <w:pStyle w:val="BodyTextIndent3"/>
        <w:rPr>
          <w:u w:val="single"/>
        </w:rPr>
      </w:pPr>
      <w:r>
        <w:rPr>
          <w:u w:val="single"/>
        </w:rPr>
      </w:r>
    </w:p>
    <w:p>
      <w:pPr>
        <w:pStyle w:val="BodyTextIndent3"/>
        <w:rPr>
          <w:u w:val="single"/>
        </w:rPr>
      </w:pPr>
      <w:r>
        <w:rPr>
          <w:u w:val="single"/>
        </w:rPr>
        <w:t>Obligations During the Term of the Agreement</w:t>
      </w:r>
    </w:p>
    <w:p>
      <w:pPr>
        <w:pStyle w:val="BodyTextIndent3"/>
        <w:rPr/>
      </w:pPr>
      <w:r>
        <w:rPr/>
        <w:t>EPMI will engage in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owned generation assets to sell Products to the wholesale market.  This market intelligence will from time to time warrant a change to either or both the Marketing Strategy and Risk Trading Policy.  MDEA will be responsible for approving any change to these documents.</w:t>
      </w:r>
    </w:p>
    <w:p>
      <w:pPr>
        <w:pStyle w:val="BodyTextIndent3"/>
        <w:rPr/>
      </w:pPr>
      <w:r>
        <w:rPr/>
      </w:r>
    </w:p>
    <w:p>
      <w:pPr>
        <w:pStyle w:val="BodyTextIndent3"/>
        <w:rPr/>
      </w:pPr>
      <w:r>
        <w:rPr/>
        <w:t>During the initial term of the agreement, EPMI will be the primary counterparty of MDEA for gas and power transactions.  EPMI will assist MDEA in securing additional master agreements with other wholesale gas and power market entities, as necessary.</w:t>
      </w:r>
    </w:p>
    <w:p>
      <w:pPr>
        <w:pStyle w:val="Normal"/>
        <w:ind w:start="360" w:end="0"/>
        <w:rPr/>
      </w:pPr>
      <w:r>
        <w:rPr/>
      </w:r>
    </w:p>
    <w:p>
      <w:pPr>
        <w:pStyle w:val="Normal"/>
        <w:ind w:start="360" w:end="0"/>
        <w:rPr/>
      </w:pPr>
      <w:r>
        <w:rPr/>
      </w:r>
    </w:p>
    <w:p>
      <w:pPr>
        <w:pStyle w:val="Heading2"/>
        <w:ind w:hanging="0" w:start="360" w:end="0"/>
        <w:jc w:val="start"/>
        <w:rPr>
          <w:b/>
          <w:bCs/>
        </w:rPr>
      </w:pPr>
      <w:r>
        <w:rPr>
          <w:b/>
          <w:bCs/>
        </w:rPr>
        <w:t>Owned Resource Management</w:t>
      </w:r>
    </w:p>
    <w:p>
      <w:pPr>
        <w:pStyle w:val="Normal"/>
        <w:numPr>
          <w:ilvl w:val="0"/>
          <w:numId w:val="7"/>
        </w:numPr>
        <w:rPr/>
      </w:pPr>
      <w:r>
        <w:rPr/>
        <w:t>Make recommendations concerning economic dispatch of generation assets</w:t>
      </w:r>
    </w:p>
    <w:p>
      <w:pPr>
        <w:pStyle w:val="Normal"/>
        <w:rPr/>
      </w:pPr>
      <w:r>
        <w:rPr/>
      </w:r>
    </w:p>
    <w:p>
      <w:pPr>
        <w:pStyle w:val="Heading9"/>
        <w:rPr/>
      </w:pPr>
      <w:r>
        <w:rPr/>
        <w:t>Obligations During Startup</w:t>
      </w:r>
    </w:p>
    <w:p>
      <w:pPr>
        <w:pStyle w:val="Normal"/>
        <w:ind w:start="720" w:end="0"/>
        <w:rPr/>
      </w:pPr>
      <w:r>
        <w:rPr/>
        <w:t xml:space="preserve">EPMI will assist MDEA with making economic dispatch decisions regarding the Cities owned generation assets.  EPMI will assist MDEA with the development of a generation stack model that will include operating data specific to the generation assets provided by MDEA including, but not necessarily limited to, startup/shut down costs, and fixed and variable operation and maintenance costs.   The model will incorporate the operating costs provided by MDEA and calculate an estimated energy production cost for the aggregated generation assets. </w:t>
      </w:r>
    </w:p>
    <w:p>
      <w:pPr>
        <w:pStyle w:val="Normal"/>
        <w:ind w:start="720" w:end="0"/>
        <w:rPr/>
      </w:pPr>
      <w:r>
        <w:rPr/>
      </w:r>
    </w:p>
    <w:p>
      <w:pPr>
        <w:pStyle w:val="Heading9"/>
        <w:rPr/>
      </w:pPr>
      <w:r>
        <w:rPr/>
        <w:t>Obligations During the Term of the Agreement</w:t>
      </w:r>
    </w:p>
    <w:p>
      <w:pPr>
        <w:pStyle w:val="Normal"/>
        <w:ind w:start="720" w:end="0"/>
        <w:rPr/>
      </w:pPr>
      <w:r>
        <w:rPr/>
        <w:t xml:space="preserve">During the term of the agreement, EPMI will assist MDEA by providing gas market pricing information, energy market pricing information, energy load forecasting, and other information agreed upon by the Parties.  MDEA will utilize the generation stack model and report the target production cost to EPMI on a daily basis.  Considering the unit availability report and the target production cost, EPMI will evaluate power and gas market conditions and make recommendations to MDEA concerning purchase of market power and/or purchasing market gas and generating power to serve the MDEA native load.   </w:t>
      </w:r>
    </w:p>
    <w:p>
      <w:pPr>
        <w:pStyle w:val="Normal"/>
        <w:ind w:start="720" w:end="0"/>
        <w:rPr/>
      </w:pPr>
      <w:r>
        <w:rPr/>
      </w:r>
    </w:p>
    <w:p>
      <w:pPr>
        <w:pStyle w:val="Normal"/>
        <w:numPr>
          <w:ilvl w:val="0"/>
          <w:numId w:val="7"/>
        </w:numPr>
        <w:rPr/>
      </w:pPr>
      <w:r>
        <w:rPr/>
        <w:t>Conduct basic engineering review and recommendations for optimization of power generation equipment</w:t>
      </w:r>
    </w:p>
    <w:p>
      <w:pPr>
        <w:pStyle w:val="Normal"/>
        <w:rPr/>
      </w:pPr>
      <w:r>
        <w:rPr/>
      </w:r>
    </w:p>
    <w:p>
      <w:pPr>
        <w:pStyle w:val="Heading9"/>
        <w:rPr/>
      </w:pPr>
      <w:r>
        <w:rPr/>
        <w:t>Obligations During the Term of the Agreement</w:t>
      </w:r>
    </w:p>
    <w:p>
      <w:pPr>
        <w:pStyle w:val="Normal"/>
        <w:ind w:start="720" w:end="0"/>
        <w:rPr/>
      </w:pPr>
      <w:r>
        <w:rPr/>
        <w:t>EPMI engineers will review operations and owned generation assets at each of the Cities facilities and make recommendations for optimization of generation equipment including, but not necessarily limited to review of maintenance and equipment upgrade records, review operating data, review spare parts inventory, insulation inspection, and review operating run-time parameters with respect to equipment specifications.  Based on the above reviews, EPMI will make equipment optimization recommendations to MDEA, as feasible.</w:t>
      </w:r>
    </w:p>
    <w:p>
      <w:pPr>
        <w:pStyle w:val="Normal"/>
        <w:rPr/>
      </w:pPr>
      <w:r>
        <w:rPr/>
      </w:r>
    </w:p>
    <w:p>
      <w:pPr>
        <w:pStyle w:val="Normal"/>
        <w:numPr>
          <w:ilvl w:val="0"/>
          <w:numId w:val="7"/>
        </w:numPr>
        <w:rPr/>
      </w:pPr>
      <w:r>
        <w:rPr/>
        <w:t>Risk management services</w:t>
      </w:r>
    </w:p>
    <w:p>
      <w:pPr>
        <w:pStyle w:val="Normal"/>
        <w:rPr/>
      </w:pPr>
      <w:r>
        <w:rPr/>
      </w:r>
    </w:p>
    <w:p>
      <w:pPr>
        <w:pStyle w:val="Heading9"/>
        <w:rPr/>
      </w:pPr>
      <w:r>
        <w:rPr/>
        <w:t>Obligations During the Term of the Agreement</w:t>
      </w:r>
    </w:p>
    <w:p>
      <w:pPr>
        <w:pStyle w:val="Normal"/>
        <w:ind w:start="720" w:end="0"/>
        <w:rPr/>
      </w:pPr>
      <w:r>
        <w:rPr/>
        <w:t>As Asset Manager for MDEA,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p>
    <w:p>
      <w:pPr>
        <w:pStyle w:val="Normal"/>
        <w:rPr/>
      </w:pPr>
      <w:r>
        <w:rPr/>
      </w:r>
    </w:p>
    <w:p>
      <w:pPr>
        <w:pStyle w:val="Normal"/>
        <w:numPr>
          <w:ilvl w:val="0"/>
          <w:numId w:val="7"/>
        </w:numPr>
        <w:rPr/>
      </w:pPr>
      <w:r>
        <w:rPr/>
        <w:t>24 hour trading of power</w:t>
      </w:r>
    </w:p>
    <w:p>
      <w:pPr>
        <w:pStyle w:val="Normal"/>
        <w:rPr/>
      </w:pPr>
      <w:r>
        <w:rPr/>
      </w:r>
    </w:p>
    <w:p>
      <w:pPr>
        <w:pStyle w:val="Heading9"/>
        <w:rPr/>
      </w:pPr>
      <w:r>
        <w:rPr/>
        <w:t>Obligations During the Term of the Agreement</w:t>
      </w:r>
    </w:p>
    <w:p>
      <w:pPr>
        <w:pStyle w:val="Normal"/>
        <w:ind w:start="720" w:end="0"/>
        <w:rPr/>
      </w:pPr>
      <w:r>
        <w:rPr/>
        <w:t xml:space="preserve">EPMI will staff and maintain a 24-hour power-trading desk to provide MDEA the flexibility of buying and selling Products on an hourly basis.  The EPMI 24-hour trading desk will be available to MDEA by e-mail, fax, and telephone. </w:t>
      </w:r>
    </w:p>
    <w:p>
      <w:pPr>
        <w:pStyle w:val="Normal"/>
        <w:rPr>
          <w:b/>
          <w:bCs/>
        </w:rPr>
      </w:pPr>
      <w:r>
        <w:rPr>
          <w:b/>
          <w:bCs/>
        </w:rPr>
      </w:r>
    </w:p>
    <w:p>
      <w:pPr>
        <w:pStyle w:val="Heading2"/>
        <w:ind w:hanging="0" w:start="360" w:end="0"/>
        <w:rPr>
          <w:b/>
          <w:bCs/>
        </w:rPr>
      </w:pPr>
      <w:r>
        <w:rPr>
          <w:b/>
          <w:bCs/>
        </w:rPr>
        <w:t>Hardware/Software Installation and Setup</w:t>
      </w:r>
    </w:p>
    <w:p>
      <w:pPr>
        <w:pStyle w:val="BodyTextIndent"/>
        <w:ind w:start="720" w:end="0"/>
        <w:rPr/>
      </w:pPr>
      <w:r>
        <w:rPr/>
        <w:t xml:space="preserve">EPMI will monitor MDEA operational parameters in Houston via a dedicated data connection between the Clarksdale control room and the EPMI control room in Houston, Texas.  </w:t>
      </w:r>
    </w:p>
    <w:p>
      <w:pPr>
        <w:pStyle w:val="BodyTextIndent"/>
        <w:rPr/>
      </w:pPr>
      <w:r>
        <w:rPr/>
      </w:r>
    </w:p>
    <w:p>
      <w:pPr>
        <w:pStyle w:val="BodyTextIndent"/>
        <w:ind w:start="720" w:end="0"/>
        <w:rPr>
          <w:u w:val="single"/>
        </w:rPr>
      </w:pPr>
      <w:r>
        <w:rPr>
          <w:u w:val="single"/>
        </w:rPr>
        <w:t>Obligations During Startup</w:t>
      </w:r>
    </w:p>
    <w:p>
      <w:pPr>
        <w:pStyle w:val="BodyTextIndent"/>
        <w:ind w:start="720" w:end="0"/>
        <w:rPr/>
      </w:pPr>
      <w:r>
        <w:rPr/>
        <w:t>EPMI will provide the dedicated data connection, a T-1 circuit using frame relay protocol, between the Clarksdale plant and Enron’s corporate network including the installation and configuration of necessary routers and switches.  EPMI will develop operational and communications procedures between EPMI and MDEA.</w:t>
      </w:r>
    </w:p>
    <w:p>
      <w:pPr>
        <w:pStyle w:val="BodyTextIndent"/>
        <w:rPr/>
      </w:pPr>
      <w:r>
        <w:rPr/>
      </w:r>
    </w:p>
    <w:p>
      <w:pPr>
        <w:pStyle w:val="Normal"/>
        <w:ind w:start="720" w:end="0"/>
        <w:rPr/>
      </w:pPr>
      <w:r>
        <w:rPr/>
      </w:r>
    </w:p>
    <w:p>
      <w:pPr>
        <w:pStyle w:val="BodyTextIndent"/>
        <w:ind w:start="720" w:end="0"/>
        <w:rPr/>
      </w:pPr>
      <w:r>
        <w:rPr/>
        <w:t>EPMI will deliver, setup and install an application server in the Clarksdale control room running Plant Information-Data Archive from OSI Software, Inc. (PI).  EPMI will connect the PI server to the MDEA Programmable Logic Controller (PLC) via a MODBUS interface.  EPMI will connect the PI server to Enron’s PI server via a PI to PI interface and the frame relay protocol on the T-1 circuit.  MDEA will configure the PLC to collect operational parameters from the Clarksdale and Yazoo City plants and provide for all data communications between the two plants.  EPMI will create the operational databases and develop an internet-based data site.  The internet-based system will consist of web pages accessible through logon identification and passwords.</w:t>
      </w:r>
    </w:p>
    <w:p>
      <w:pPr>
        <w:pStyle w:val="BodyTextIndent"/>
        <w:rPr/>
      </w:pPr>
      <w:r>
        <w:rPr/>
      </w:r>
    </w:p>
    <w:p>
      <w:pPr>
        <w:pStyle w:val="BodyTextIndent"/>
        <w:ind w:start="720" w:end="0"/>
        <w:rPr>
          <w:u w:val="single"/>
        </w:rPr>
      </w:pPr>
      <w:r>
        <w:rPr>
          <w:u w:val="single"/>
        </w:rPr>
        <w:t>Obligations During the Term of the Agreement</w:t>
      </w:r>
    </w:p>
    <w:p>
      <w:pPr>
        <w:pStyle w:val="BodyTextIndent"/>
        <w:ind w:start="720" w:end="0"/>
        <w:rPr/>
      </w:pPr>
      <w:r>
        <w:rPr/>
        <w:t xml:space="preserve">EPMI will maintain PI databases, display screens and application software needed to monitor and display MDEA operational parameters.  EPMI will also maintain Internet based system to allow MDEA personnel to view the operations data collected.  </w:t>
      </w:r>
    </w:p>
    <w:p>
      <w:pPr>
        <w:pStyle w:val="Normal"/>
        <w:ind w:start="360" w:end="0"/>
        <w:rPr/>
      </w:pPr>
      <w:r>
        <w:rPr/>
      </w:r>
    </w:p>
    <w:p>
      <w:pPr>
        <w:pStyle w:val="Heading2"/>
        <w:ind w:hanging="0" w:start="360" w:end="0"/>
        <w:rPr>
          <w:b/>
          <w:bCs/>
        </w:rPr>
      </w:pPr>
      <w:r>
        <w:rPr>
          <w:b/>
          <w:bCs/>
        </w:rPr>
      </w:r>
      <w:r>
        <w:br w:type="page"/>
      </w:r>
    </w:p>
    <w:p>
      <w:pPr>
        <w:pStyle w:val="Normal"/>
        <w:rPr/>
      </w:pPr>
      <w:r>
        <w:rPr/>
        <w:t>Exhibit 3</w:t>
      </w:r>
    </w:p>
    <w:p>
      <w:pPr>
        <w:pStyle w:val="Heading2"/>
        <w:ind w:hanging="0" w:end="0"/>
        <w:jc w:val="center"/>
        <w:rPr>
          <w:u w:val="single"/>
        </w:rPr>
      </w:pPr>
      <w:r>
        <w:rPr>
          <w:u w:val="single"/>
        </w:rPr>
        <w:t>SCHEDULING SERVICES</w:t>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numPr>
          <w:ilvl w:val="0"/>
          <w:numId w:val="2"/>
        </w:numPr>
        <w:rPr/>
      </w:pPr>
      <w:r>
        <w:rPr/>
        <w:t>NERC tagging and scheduling</w:t>
      </w:r>
    </w:p>
    <w:p>
      <w:pPr>
        <w:pStyle w:val="Normal"/>
        <w:rPr/>
      </w:pPr>
      <w:r>
        <w:rPr/>
      </w:r>
    </w:p>
    <w:p>
      <w:pPr>
        <w:pStyle w:val="Heading9"/>
        <w:rPr/>
      </w:pPr>
      <w:r>
        <w:rPr/>
        <w:t>Obligations During Startup</w:t>
      </w:r>
    </w:p>
    <w:p>
      <w:pPr>
        <w:pStyle w:val="Normal"/>
        <w:ind w:start="720" w:end="0"/>
        <w:rPr/>
      </w:pPr>
      <w:r>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Normal"/>
        <w:ind w:start="720" w:end="0"/>
        <w:rPr/>
      </w:pPr>
      <w:r>
        <w:rPr/>
      </w:r>
    </w:p>
    <w:p>
      <w:pPr>
        <w:pStyle w:val="Heading9"/>
        <w:rPr/>
      </w:pPr>
      <w:r>
        <w:rPr/>
        <w:t>Obligations During Term of the Agreement</w:t>
      </w:r>
    </w:p>
    <w:p>
      <w:pPr>
        <w:pStyle w:val="Normal"/>
        <w:ind w:start="720" w:end="0"/>
        <w:rPr/>
      </w:pPr>
      <w:r>
        <w:rPr/>
        <w:t>EPMI will reserve transmission for MDEA energy on Entergy’s OASIS, and complete the tagging process on the OATI system unless otherwise agreed to between EPMI and MDEA.</w:t>
      </w:r>
    </w:p>
    <w:p>
      <w:pPr>
        <w:pStyle w:val="Normal"/>
        <w:rPr/>
      </w:pPr>
      <w:r>
        <w:rPr/>
      </w:r>
    </w:p>
    <w:p>
      <w:pPr>
        <w:pStyle w:val="Normal"/>
        <w:numPr>
          <w:ilvl w:val="0"/>
          <w:numId w:val="2"/>
        </w:numPr>
        <w:rPr/>
      </w:pPr>
      <w:r>
        <w:rPr/>
        <w:t>Arrange for ancillary services</w:t>
      </w:r>
    </w:p>
    <w:p>
      <w:pPr>
        <w:pStyle w:val="Normal"/>
        <w:rPr/>
      </w:pPr>
      <w:r>
        <w:rPr/>
      </w:r>
    </w:p>
    <w:p>
      <w:pPr>
        <w:pStyle w:val="Normal"/>
        <w:ind w:start="720" w:end="0"/>
        <w:rPr/>
      </w:pPr>
      <w:r>
        <w:rPr/>
        <w:t>Ancillary services are defined in the Entergy transmission tariff and include the following services:  1) scheduling, system control and dispatch service; 2) reactive supply and voltage control; 3) regulation and frequency response; 4) energy imbalance service; 5) operating reserve- spinning reserve service; and 6) operating reserve – supplemental reserve service.  MDEA is a network service transmission customer of Entergy and ancillary services will be provided under the network service agreement.</w:t>
      </w:r>
    </w:p>
    <w:p>
      <w:pPr>
        <w:pStyle w:val="Normal"/>
        <w:ind w:start="720" w:end="0"/>
        <w:rPr/>
      </w:pPr>
      <w:r>
        <w:rPr/>
      </w:r>
    </w:p>
    <w:p>
      <w:pPr>
        <w:pStyle w:val="Heading9"/>
        <w:rPr/>
      </w:pPr>
      <w:r>
        <w:rPr/>
        <w:t>Obligations During the Term of the Agreement</w:t>
      </w:r>
    </w:p>
    <w:p>
      <w:pPr>
        <w:pStyle w:val="Normal"/>
        <w:ind w:start="720" w:end="0"/>
        <w:rPr/>
      </w:pPr>
      <w:r>
        <w:rPr/>
        <w:t>During the term of this agreement, EPMI will talk with other utilities/ancillary service providers within SPP and evaluate the feasibility of entering into agreements by which some or all of the ancillary services are sourced outside of Entergy.  EPMI will manage energy imbalance with the objective of minimizing the imbalance penalties defined in Schedule 4 of the Entergy transmission tariff.</w:t>
      </w:r>
    </w:p>
    <w:p>
      <w:pPr>
        <w:pStyle w:val="Normal"/>
        <w:rPr/>
      </w:pPr>
      <w:r>
        <w:rPr/>
      </w:r>
    </w:p>
    <w:p>
      <w:pPr>
        <w:pStyle w:val="Normal"/>
        <w:numPr>
          <w:ilvl w:val="0"/>
          <w:numId w:val="2"/>
        </w:numPr>
        <w:rPr/>
      </w:pPr>
      <w:r>
        <w:rPr/>
        <w:t>Satisfy all of the SPP protocol requirements to become a Scheduling Entity</w:t>
      </w:r>
    </w:p>
    <w:p>
      <w:pPr>
        <w:pStyle w:val="Normal"/>
        <w:ind w:start="990" w:end="0"/>
        <w:jc w:val="both"/>
        <w:rPr>
          <w:sz w:val="22"/>
        </w:rPr>
      </w:pPr>
      <w:r>
        <w:rPr>
          <w:sz w:val="22"/>
        </w:rPr>
      </w:r>
    </w:p>
    <w:p>
      <w:pPr>
        <w:pStyle w:val="Normal"/>
        <w:numPr>
          <w:ilvl w:val="0"/>
          <w:numId w:val="4"/>
        </w:numPr>
        <w:tabs>
          <w:tab w:val="clear" w:pos="720"/>
          <w:tab w:val="left" w:pos="2430" w:leader="none"/>
        </w:tabs>
        <w:jc w:val="both"/>
        <w:rPr>
          <w:sz w:val="22"/>
        </w:rPr>
      </w:pPr>
      <w:r>
        <w:rPr>
          <w:sz w:val="22"/>
        </w:rPr>
        <w:t xml:space="preserve">Proof of registration and certification requirements; </w:t>
      </w:r>
    </w:p>
    <w:p>
      <w:pPr>
        <w:pStyle w:val="Normal"/>
        <w:numPr>
          <w:ilvl w:val="0"/>
          <w:numId w:val="4"/>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4"/>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4"/>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4"/>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4"/>
        </w:numPr>
        <w:tabs>
          <w:tab w:val="clear" w:pos="720"/>
          <w:tab w:val="left" w:pos="2430" w:leader="none"/>
        </w:tabs>
        <w:jc w:val="both"/>
        <w:rPr>
          <w:sz w:val="22"/>
        </w:rPr>
      </w:pPr>
      <w:r>
        <w:rPr>
          <w:sz w:val="22"/>
        </w:rPr>
        <w:t>Submit schedules for supply, load, and transmission capacity from all entities it serves;</w:t>
      </w:r>
    </w:p>
    <w:p>
      <w:pPr>
        <w:pStyle w:val="Normal"/>
        <w:numPr>
          <w:ilvl w:val="0"/>
          <w:numId w:val="4"/>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4"/>
        </w:numPr>
        <w:tabs>
          <w:tab w:val="clear" w:pos="720"/>
          <w:tab w:val="left" w:pos="2430" w:leader="none"/>
        </w:tabs>
        <w:jc w:val="both"/>
        <w:rPr>
          <w:sz w:val="22"/>
        </w:rPr>
      </w:pPr>
      <w:r>
        <w:rPr>
          <w:sz w:val="22"/>
        </w:rPr>
        <w:t>Dispatch and communicate emergency orders from the ISO.</w:t>
      </w:r>
    </w:p>
    <w:p>
      <w:pPr>
        <w:pStyle w:val="Normal"/>
        <w:ind w:start="360" w:end="0"/>
        <w:rPr>
          <w:sz w:val="22"/>
        </w:rPr>
      </w:pPr>
      <w:r>
        <w:rPr>
          <w:sz w:val="22"/>
        </w:rPr>
      </w:r>
    </w:p>
    <w:p>
      <w:pPr>
        <w:pStyle w:val="Normal"/>
        <w:ind w:start="360" w:end="0"/>
        <w:rPr/>
      </w:pPr>
      <w:r>
        <w:rPr/>
        <w:t>EPMI will participate in market testing in SPP, SERC, or successor RTO(s) or NERC regions with regard to scheduling services, as necessary.</w:t>
      </w:r>
    </w:p>
    <w:p>
      <w:pPr>
        <w:pStyle w:val="Index1"/>
        <w:rPr/>
      </w:pPr>
      <w:r>
        <w:rPr/>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EXHIBIT_Schedule_and_Asset_Management-098d49463bef02f5df4ebf943c68c4521fdcf900382323d1a309a0899522976b.doc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paragraph" w:styleId="Heading9">
    <w:name w:val="heading 9"/>
    <w:basedOn w:val="Normal"/>
    <w:next w:val="Normal"/>
    <w:qFormat/>
    <w:pPr>
      <w:keepNext w:val="true"/>
      <w:numPr>
        <w:ilvl w:val="8"/>
        <w:numId w:val="1"/>
      </w:numPr>
      <w:ind w:hanging="0" w:start="720" w:end="0"/>
      <w:outlineLvl w:val="8"/>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b w:val="false"/>
      <w:i w:val="false"/>
      <w:caps/>
      <w:strike w:val="false"/>
      <w:dstrike w:val="false"/>
      <w:outline w:val="false"/>
      <w:shadow w:val="false"/>
      <w:vanish w:val="false"/>
      <w:color w:val="auto"/>
      <w:position w:val="0"/>
      <w:sz w:val="24"/>
      <w:u w:val="none"/>
      <w:vertAlign w:val="baseline"/>
    </w:rPr>
  </w:style>
  <w:style w:type="character" w:styleId="WW8Num140z1">
    <w:name w:val="WW8Num14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4z1">
    <w:name w:val="WW8Num144z1"/>
    <w:qFormat/>
    <w:rPr>
      <w:b w:val="false"/>
      <w:i w:val="false"/>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b w:val="false"/>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4z1">
    <w:name w:val="WW8Num164z1"/>
    <w:qFormat/>
    <w:rPr>
      <w:rFonts w:ascii="Times New Roman" w:hAnsi="Times New Roman" w:cs="Times New Roman"/>
      <w:sz w:val="24"/>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rFonts w:ascii="Times New Roman" w:hAnsi="Times New Roman" w:cs="Times New Roman"/>
      <w:b w:val="false"/>
      <w:i w:val="false"/>
      <w:sz w:val="24"/>
    </w:rPr>
  </w:style>
  <w:style w:type="character" w:styleId="WW8Num166z1">
    <w:name w:val="WW8Num166z1"/>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b w:val="false"/>
      <w:i w:val="false"/>
    </w:rPr>
  </w:style>
  <w:style w:type="character" w:styleId="WW8Num170z0">
    <w:name w:val="WW8Num170z0"/>
    <w:qFormat/>
    <w:rPr>
      <w:rFonts w:ascii="Times New Roman" w:hAnsi="Times New Roman" w:cs="Times New Roman"/>
      <w:b w:val="false"/>
      <w:i w:val="false"/>
      <w:sz w:val="24"/>
      <w:u w:val="none"/>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u w:val="none"/>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rFonts w:ascii="Times New Roman" w:hAnsi="Times New Roman" w:cs="Times New Roman"/>
      <w:b w:val="false"/>
      <w:i w:val="false"/>
      <w:sz w:val="24"/>
      <w:u w:val="none"/>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Times New Roman" w:hAnsi="Times New Roman" w:cs="Times New Roman"/>
      <w:b/>
      <w:i w:val="false"/>
      <w:caps/>
      <w:sz w:val="24"/>
    </w:rPr>
  </w:style>
  <w:style w:type="character" w:styleId="WW8Num203z1">
    <w:name w:val="WW8Num203z1"/>
    <w:qFormat/>
    <w:rPr>
      <w:rFonts w:ascii="Times New Roman" w:hAnsi="Times New Roman" w:cs="Times New Roman"/>
      <w:b w:val="false"/>
      <w:i w:val="false"/>
      <w:sz w:val="24"/>
      <w:u w:val="none"/>
    </w:rPr>
  </w:style>
  <w:style w:type="character" w:styleId="WW8Num203z2">
    <w:name w:val="WW8Num203z2"/>
    <w:qFormat/>
    <w:rPr>
      <w:rFonts w:ascii="Times New Roman" w:hAnsi="Times New Roman" w:cs="Times New Roman"/>
      <w:b w:val="false"/>
      <w:i w:val="false"/>
      <w:sz w:val="24"/>
    </w:rPr>
  </w:style>
  <w:style w:type="character" w:styleId="WW8Num203z5">
    <w:name w:val="WW8Num203z5"/>
    <w:qFormat/>
    <w:rPr>
      <w:rFonts w:ascii="Times New Roman" w:hAnsi="Times New Roman" w:cs="Times New Roman"/>
      <w:b/>
      <w:i w:val="false"/>
      <w:sz w:val="24"/>
      <w:u w:val="none"/>
    </w:rPr>
  </w:style>
  <w:style w:type="character" w:styleId="WW8Num204z0">
    <w:name w:val="WW8Num204z0"/>
    <w:qFormat/>
    <w:rPr/>
  </w:style>
  <w:style w:type="character" w:styleId="WW8Num205z0">
    <w:name w:val="WW8Num205z0"/>
    <w:qFormat/>
    <w:rPr>
      <w:i w:val="false"/>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Times New Roman" w:hAnsi="Times New Roman" w:cs="Times New Roman"/>
      <w:b w:val="false"/>
      <w:i w:val="false"/>
      <w:sz w:val="24"/>
    </w:rPr>
  </w:style>
  <w:style w:type="character" w:styleId="WW8Num229z1">
    <w:name w:val="WW8Num229z1"/>
    <w:qFormat/>
    <w:rPr/>
  </w:style>
  <w:style w:type="character" w:styleId="WW8Num230z0">
    <w:name w:val="WW8Num230z0"/>
    <w:qFormat/>
    <w:rPr>
      <w:rFonts w:ascii="Symbol" w:hAnsi="Symbol" w:cs="Symbol"/>
    </w:rPr>
  </w:style>
  <w:style w:type="character" w:styleId="WW8Num231z0">
    <w:name w:val="WW8Num231z0"/>
    <w:qFormat/>
    <w:rPr/>
  </w:style>
  <w:style w:type="character" w:styleId="WW8Num231z1">
    <w:name w:val="WW8Num231z1"/>
    <w:qFormat/>
    <w:rPr>
      <w:rFonts w:ascii="Times New Roman" w:hAnsi="Times New Roman" w:cs="Times New Roman"/>
      <w:sz w:val="24"/>
    </w:rPr>
  </w:style>
  <w:style w:type="character" w:styleId="WW8Num232z0">
    <w:name w:val="WW8Num232z0"/>
    <w:qFormat/>
    <w:rPr>
      <w:u w:val="single"/>
    </w:rPr>
  </w:style>
  <w:style w:type="character" w:styleId="WW8Num233z0">
    <w:name w:val="WW8Num233z0"/>
    <w:qFormat/>
    <w:rPr/>
  </w:style>
  <w:style w:type="character" w:styleId="WW8Num234z0">
    <w:name w:val="WW8Num234z0"/>
    <w:qFormat/>
    <w:rPr>
      <w:b w:val="false"/>
      <w:i w:val="false"/>
    </w:rPr>
  </w:style>
  <w:style w:type="character" w:styleId="WW8Num234z2">
    <w:name w:val="WW8Num234z2"/>
    <w:qFormat/>
    <w:rPr/>
  </w:style>
  <w:style w:type="character" w:styleId="WW8Num235z0">
    <w:name w:val="WW8Num235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u w:val="none"/>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1z0">
    <w:name w:val="WW8Num261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b w:val="false"/>
      <w:i w:val="false"/>
    </w:rPr>
  </w:style>
  <w:style w:type="character" w:styleId="WW8Num268z2">
    <w:name w:val="WW8Num268z2"/>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5"/>
      </w:numPr>
      <w:spacing w:before="0" w:after="240"/>
      <w:outlineLvl w:val="0"/>
    </w:pPr>
    <w:rPr>
      <w:szCs w:val="20"/>
    </w:rPr>
  </w:style>
  <w:style w:type="paragraph" w:styleId="OutlineL2">
    <w:name w:val="Outline_L2"/>
    <w:basedOn w:val="OutlineL1"/>
    <w:next w:val="NumContinue"/>
    <w:qFormat/>
    <w:pPr>
      <w:keepNext w:val="false"/>
      <w:numPr>
        <w:ilvl w:val="0"/>
        <w:numId w:val="3"/>
      </w:numPr>
      <w:ind w:hanging="720" w:start="1440" w:end="0"/>
      <w:outlineLvl w:val="1"/>
    </w:pPr>
    <w:rPr/>
  </w:style>
  <w:style w:type="paragraph" w:styleId="OutlineL3">
    <w:name w:val="Outline_L3"/>
    <w:basedOn w:val="OutlineL2"/>
    <w:next w:val="NumContinue"/>
    <w:qFormat/>
    <w:pPr>
      <w:numPr>
        <w:ilvl w:val="0"/>
        <w:numId w:val="3"/>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3"/>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3"/>
      </w:numPr>
      <w:ind w:hanging="360" w:start="360" w:end="0"/>
      <w:outlineLvl w:val="4"/>
    </w:pPr>
    <w:rPr/>
  </w:style>
  <w:style w:type="paragraph" w:styleId="OutlineL6">
    <w:name w:val="Outline_L6"/>
    <w:basedOn w:val="OutlineL5"/>
    <w:next w:val="NumContinue"/>
    <w:qFormat/>
    <w:pPr>
      <w:numPr>
        <w:ilvl w:val="0"/>
        <w:numId w:val="3"/>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3"/>
      </w:numPr>
      <w:ind w:hanging="360" w:start="360" w:end="0"/>
      <w:outlineLvl w:val="6"/>
    </w:pPr>
    <w:rPr/>
  </w:style>
  <w:style w:type="paragraph" w:styleId="OutlineL8">
    <w:name w:val="Outline_L8"/>
    <w:basedOn w:val="OutlineL7"/>
    <w:next w:val="NumContinue"/>
    <w:qFormat/>
    <w:pPr>
      <w:numPr>
        <w:ilvl w:val="0"/>
        <w:numId w:val="3"/>
      </w:numPr>
      <w:ind w:hanging="360" w:start="360" w:end="0"/>
      <w:outlineLvl w:val="7"/>
    </w:pPr>
    <w:rPr/>
  </w:style>
  <w:style w:type="paragraph" w:styleId="OutlineL9">
    <w:name w:val="Outline_L9"/>
    <w:basedOn w:val="OutlineL8"/>
    <w:next w:val="NumContinue"/>
    <w:qFormat/>
    <w:pPr>
      <w:numPr>
        <w:ilvl w:val="0"/>
        <w:numId w:val="3"/>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z w:val="20"/>
      <w:szCs w:val="20"/>
    </w:rPr>
  </w:style>
  <w:style w:type="paragraph" w:styleId="BodyTextIndent3">
    <w:name w:val="Body Text Indent 3"/>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2001-05-01T19:27:00Z</dcterms:created>
  <dc:creator>kmann</dc:creator>
  <dc:description/>
  <dc:language>en-CA</dc:language>
  <cp:lastModifiedBy>rrorscha</cp:lastModifiedBy>
  <cp:lastPrinted>2001-05-07T18:09:00Z</cp:lastPrinted>
  <dcterms:modified xsi:type="dcterms:W3CDTF">2001-05-07T20:42:00Z</dcterms:modified>
  <cp:revision>23</cp:revision>
  <dc:subject/>
  <dc:title>EXHIBIT A</dc:title>
</cp:coreProperties>
</file>