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24"/>
          <w:u w:val="none"/>
        </w:rPr>
      </w:pPr>
      <w:r>
        <w:rPr>
          <w:sz w:val="24"/>
          <w:u w:val="none"/>
        </w:rPr>
        <w:t>EXHIBIT B</w:t>
      </w:r>
    </w:p>
    <w:p>
      <w:pPr>
        <w:pStyle w:val="Heading2"/>
        <w:ind w:hanging="0" w:start="0"/>
        <w:jc w:val="center"/>
        <w:rPr>
          <w:sz w:val="24"/>
          <w:u w:val="none"/>
        </w:rPr>
      </w:pPr>
      <w:r>
        <w:rPr>
          <w:sz w:val="24"/>
          <w:u w:val="none"/>
        </w:rPr>
        <w:t>TRADING POLICY</w:t>
      </w:r>
    </w:p>
    <w:p>
      <w:pPr>
        <w:pStyle w:val="Heading"/>
        <w:rPr>
          <w:sz w:val="24"/>
          <w:u w:val="single"/>
        </w:rPr>
      </w:pPr>
      <w:r>
        <w:rPr>
          <w:sz w:val="24"/>
          <w:u w:val="single"/>
        </w:rPr>
      </w:r>
    </w:p>
    <w:p>
      <w:pPr>
        <w:pStyle w:val="Normal"/>
        <w:jc w:val="center"/>
        <w:rPr>
          <w:b/>
          <w:bCs/>
          <w:sz w:val="28"/>
          <w:u w:val="single"/>
        </w:rPr>
      </w:pPr>
      <w:r>
        <w:rPr>
          <w:b/>
          <w:bCs/>
          <w:sz w:val="28"/>
          <w:u w:val="single"/>
        </w:rPr>
      </w:r>
    </w:p>
    <w:p>
      <w:pPr>
        <w:pStyle w:val="Normal"/>
        <w:tabs>
          <w:tab w:val="clear" w:pos="720"/>
          <w:tab w:val="left" w:pos="735" w:leader="none"/>
          <w:tab w:val="right" w:pos="1545" w:leader="none"/>
        </w:tabs>
        <w:jc w:val="both"/>
        <w:rPr>
          <w:b/>
          <w:sz w:val="28"/>
        </w:rPr>
      </w:pPr>
      <w:r>
        <w:rPr>
          <w:b/>
          <w:sz w:val="28"/>
        </w:rPr>
        <w:t>INTRODUCTION</w:t>
      </w:r>
    </w:p>
    <w:p>
      <w:pPr>
        <w:pStyle w:val="Normal"/>
        <w:jc w:val="both"/>
        <w:rPr>
          <w:b/>
          <w:sz w:val="28"/>
        </w:rPr>
      </w:pPr>
      <w:r>
        <w:rPr>
          <w:b/>
          <w:sz w:val="28"/>
        </w:rPr>
      </w:r>
    </w:p>
    <w:p>
      <w:pPr>
        <w:pStyle w:val="Normal"/>
        <w:jc w:val="both"/>
        <w:rPr/>
      </w:pPr>
      <w:r>
        <w:rPr/>
        <w:t>EPMI and MDEA will work to manage and optimize serving Native Load and dispatching Facilities including (1) the associated commodity pricing, imbalance, and delivery risks, and (2) market opportunities.  This Trading Policy (the “Policy”) establishes the controls, policies, and guidelines to govern and manage the purchases, sales, and marketing of Products, and balancing services.  This Policy has been reviewed and approved by MDEA and its governing bodies as defined in the Agreement.</w:t>
      </w:r>
    </w:p>
    <w:p>
      <w:pPr>
        <w:pStyle w:val="Normal"/>
        <w:jc w:val="both"/>
        <w:rPr/>
      </w:pPr>
      <w:r>
        <w:rPr/>
      </w:r>
    </w:p>
    <w:p>
      <w:pPr>
        <w:pStyle w:val="Normal"/>
        <w:jc w:val="both"/>
        <w:rPr/>
      </w:pPr>
      <w:r>
        <w:rPr/>
        <w:t>The Marketing Committee shall oversee implementation of this Policy.  The Marketing Committee shall review this Policy at least annually to determine necessary revisions, amendments or updates in order to adapt to changes in the market, risk appetite, or business processes.  Valid modifications to this policy shall be made in writing, executed by the Parties, and adopted as a revised Exhibit B to the Agreement entitled Revised Trading Policy.  The Policy governs the activities and transactions of EPMI and MDEA.  EPMI and MDEA shall operate within the limits established in the Policy.</w:t>
      </w:r>
    </w:p>
    <w:p>
      <w:pPr>
        <w:pStyle w:val="Normal"/>
        <w:jc w:val="both"/>
        <w:rPr/>
      </w:pPr>
      <w:r>
        <w:rPr/>
      </w:r>
    </w:p>
    <w:p>
      <w:pPr>
        <w:pStyle w:val="BodyText3"/>
        <w:rPr>
          <w:szCs w:val="24"/>
        </w:rPr>
      </w:pPr>
      <w:r>
        <w:rPr>
          <w:szCs w:val="24"/>
        </w:rPr>
        <w:t xml:space="preserve">For purposes of this policy, activities and transactions are classified as either (1) hourly/daily and short term or (2) long term.  Controls are established accordingly. </w:t>
      </w:r>
    </w:p>
    <w:p>
      <w:pPr>
        <w:pStyle w:val="Normal"/>
        <w:jc w:val="both"/>
        <w:rPr>
          <w:szCs w:val="24"/>
        </w:rPr>
      </w:pPr>
      <w:r>
        <w:rPr>
          <w:szCs w:val="24"/>
        </w:rPr>
      </w:r>
    </w:p>
    <w:p>
      <w:pPr>
        <w:pStyle w:val="Normal"/>
        <w:jc w:val="both"/>
        <w:rPr/>
      </w:pPr>
      <w:r>
        <w:rPr/>
      </w:r>
    </w:p>
    <w:p>
      <w:pPr>
        <w:pStyle w:val="Normal"/>
        <w:jc w:val="both"/>
        <w:rPr>
          <w:b/>
          <w:sz w:val="28"/>
        </w:rPr>
      </w:pPr>
      <w:r>
        <w:rPr>
          <w:b/>
          <w:sz w:val="28"/>
        </w:rPr>
        <w:t xml:space="preserve">HOURLY/DAILY TRADING AND SHORT TERM TRADING POLICY </w:t>
      </w:r>
    </w:p>
    <w:p>
      <w:pPr>
        <w:pStyle w:val="Normal"/>
        <w:tabs>
          <w:tab w:val="left" w:pos="0" w:leader="none"/>
          <w:tab w:val="left" w:pos="720" w:leader="none"/>
        </w:tabs>
        <w:ind w:start="360" w:end="0"/>
        <w:jc w:val="both"/>
        <w:rPr>
          <w:b/>
          <w:sz w:val="28"/>
        </w:rPr>
      </w:pPr>
      <w:r>
        <w:rPr>
          <w:b/>
          <w:sz w:val="28"/>
        </w:rPr>
      </w:r>
    </w:p>
    <w:p>
      <w:pPr>
        <w:pStyle w:val="Normal"/>
        <w:tabs>
          <w:tab w:val="clear" w:pos="720"/>
          <w:tab w:val="left" w:pos="0" w:leader="none"/>
        </w:tabs>
        <w:ind w:hanging="720" w:start="720" w:end="0"/>
        <w:jc w:val="both"/>
        <w:rPr/>
      </w:pPr>
      <w:r>
        <w:rPr>
          <w:b/>
          <w:sz w:val="28"/>
        </w:rPr>
        <w:t xml:space="preserve">I. </w:t>
        <w:tab/>
      </w:r>
      <w:r>
        <w:rPr>
          <w:b/>
        </w:rPr>
        <w:t>Responsibilities of EPMI and MDEA</w:t>
      </w:r>
    </w:p>
    <w:p>
      <w:pPr>
        <w:pStyle w:val="Normal"/>
        <w:tabs>
          <w:tab w:val="left" w:pos="0" w:leader="none"/>
          <w:tab w:val="left" w:pos="720" w:leader="none"/>
        </w:tabs>
        <w:ind w:start="720" w:end="0"/>
        <w:jc w:val="both"/>
        <w:rPr>
          <w:b/>
        </w:rPr>
      </w:pPr>
      <w:r>
        <w:rPr>
          <w:b/>
        </w:rPr>
      </w:r>
    </w:p>
    <w:p>
      <w:pPr>
        <w:pStyle w:val="Normal"/>
        <w:ind w:start="720" w:end="0"/>
        <w:jc w:val="both"/>
        <w:rPr/>
      </w:pPr>
      <w:r>
        <w:rPr/>
        <w:t xml:space="preserve">EPMI and MDEA will oversee the hourly/daily and short term trading activities, within the scope and guidelines established by the Agreement including this Policy. </w:t>
      </w:r>
    </w:p>
    <w:p>
      <w:pPr>
        <w:pStyle w:val="Normal"/>
        <w:ind w:start="720" w:end="0"/>
        <w:jc w:val="both"/>
        <w:rPr/>
      </w:pPr>
      <w:r>
        <w:rPr/>
      </w:r>
    </w:p>
    <w:p>
      <w:pPr>
        <w:pStyle w:val="Normal"/>
        <w:numPr>
          <w:ilvl w:val="0"/>
          <w:numId w:val="5"/>
        </w:numPr>
        <w:tabs>
          <w:tab w:val="clear" w:pos="720"/>
          <w:tab w:val="right" w:pos="2880" w:leader="none"/>
        </w:tabs>
        <w:jc w:val="both"/>
        <w:rPr>
          <w:b/>
        </w:rPr>
      </w:pPr>
      <w:r>
        <w:rPr>
          <w:b/>
        </w:rPr>
        <w:t>Authorized Traders</w:t>
      </w:r>
    </w:p>
    <w:p>
      <w:pPr>
        <w:pStyle w:val="Normal"/>
        <w:tabs>
          <w:tab w:val="clear" w:pos="720"/>
          <w:tab w:val="right" w:pos="2880" w:leader="none"/>
        </w:tabs>
        <w:ind w:start="360" w:end="0"/>
        <w:jc w:val="both"/>
        <w:rPr>
          <w:b/>
          <w:u w:val="single"/>
        </w:rPr>
      </w:pPr>
      <w:r>
        <w:rPr>
          <w:b/>
          <w:u w:val="single"/>
        </w:rPr>
      </w:r>
    </w:p>
    <w:p>
      <w:pPr>
        <w:pStyle w:val="Normal"/>
        <w:ind w:start="720" w:end="0"/>
        <w:jc w:val="both"/>
        <w:rPr/>
      </w:pPr>
      <w:r>
        <w:rPr/>
        <w:t>MDEA and EPMI shall notify the Marketing Committee of those individuals authorized to trade and make trading decisions on behalf of EPMI and MDEA regarding this Agreement. Authorized personnel will execute trades in full compliance with this Policy.   Employees participating in 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jc w:val="both"/>
        <w:rPr/>
      </w:pPr>
      <w:r>
        <w:rPr/>
      </w:r>
    </w:p>
    <w:p>
      <w:pPr>
        <w:pStyle w:val="Heading6"/>
        <w:numPr>
          <w:ilvl w:val="0"/>
          <w:numId w:val="5"/>
        </w:numPr>
        <w:ind w:hanging="0" w:start="0"/>
        <w:jc w:val="both"/>
        <w:rPr>
          <w:u w:val="none"/>
        </w:rPr>
      </w:pPr>
      <w:r>
        <w:rPr>
          <w:u w:val="none"/>
          <w:rPrChange w:id="0" w:author="Unknown" w:date="0-00-00T00:00:00Z"/>
        </w:rPr>
        <w:t>Authority to Transact</w:t>
      </w:r>
    </w:p>
    <w:p>
      <w:pPr>
        <w:pStyle w:val="Normal"/>
        <w:ind w:start="720" w:end="0"/>
        <w:jc w:val="both"/>
        <w:rPr>
          <w:u w:val="none"/>
        </w:rPr>
      </w:pPr>
      <w:r>
        <w:rPr>
          <w:u w:val="none"/>
        </w:rPr>
      </w:r>
    </w:p>
    <w:p>
      <w:pPr>
        <w:pStyle w:val="BodyText3"/>
        <w:ind w:start="720" w:end="0"/>
        <w:rPr>
          <w:szCs w:val="24"/>
        </w:rPr>
      </w:pPr>
      <w:r>
        <w:rPr>
          <w:szCs w:val="24"/>
        </w:rPr>
        <w:t xml:space="preserve">Daily and Hourly Trading Transactions and Short Term Trading Transactions, whether originated by EPMI or MDEA, shall be structured, evaluated, and approved as defined in the Agreement and this Policy.  </w:t>
      </w:r>
    </w:p>
    <w:p>
      <w:pPr>
        <w:pStyle w:val="Normal"/>
        <w:ind w:start="720" w:end="0"/>
        <w:jc w:val="both"/>
        <w:rPr>
          <w:szCs w:val="24"/>
        </w:rPr>
      </w:pPr>
      <w:r>
        <w:rPr>
          <w:szCs w:val="24"/>
        </w:rPr>
      </w:r>
    </w:p>
    <w:p>
      <w:pPr>
        <w:pStyle w:val="BodyTextIndent2"/>
        <w:ind w:hanging="360" w:start="1080" w:end="0"/>
        <w:rPr>
          <w:rFonts w:ascii="Times New Roman" w:hAnsi="Times New Roman" w:cs="Times New Roman"/>
          <w:szCs w:val="24"/>
        </w:rPr>
      </w:pPr>
      <w:r>
        <w:rPr>
          <w:rFonts w:cs="Times New Roman" w:ascii="Times New Roman" w:hAnsi="Times New Roman"/>
          <w:szCs w:val="24"/>
        </w:rPr>
        <w:t>1.</w:t>
        <w:tab/>
        <w:t xml:space="preserve">Where prior risk/approval limits are defined in Schedule B, then the Authorized Trader(s) shall have authority to transact in the sole discretion of EPMI.  </w:t>
      </w:r>
    </w:p>
    <w:p>
      <w:pPr>
        <w:pStyle w:val="Normal"/>
        <w:ind w:hanging="360" w:start="1080" w:end="0"/>
        <w:jc w:val="both"/>
        <w:rPr>
          <w:rFonts w:ascii="Times New Roman" w:hAnsi="Times New Roman" w:cs="Times New Roman"/>
          <w:szCs w:val="24"/>
        </w:rPr>
      </w:pPr>
      <w:r>
        <w:rPr>
          <w:rFonts w:cs="Times New Roman"/>
          <w:szCs w:val="24"/>
        </w:rPr>
      </w:r>
    </w:p>
    <w:p>
      <w:pPr>
        <w:pStyle w:val="Normal"/>
        <w:ind w:hanging="360" w:start="1080" w:end="0"/>
        <w:jc w:val="both"/>
        <w:rPr/>
      </w:pPr>
      <w:r>
        <w:rPr/>
        <w:t>2.</w:t>
        <w:tab/>
        <w:t xml:space="preserve">Unless prior approval limits are specifically defined in Schedule B, then approvals for each transaction shall be obtained from MDEA’s Energy Coordinator, and EPMI’s management, as appropriate, with the exception that: </w:t>
      </w:r>
    </w:p>
    <w:p>
      <w:pPr>
        <w:pStyle w:val="Normal"/>
        <w:ind w:hanging="360" w:start="1080" w:end="0"/>
        <w:jc w:val="both"/>
        <w:rPr/>
      </w:pPr>
      <w:r>
        <w:rPr/>
      </w:r>
    </w:p>
    <w:p>
      <w:pPr>
        <w:pStyle w:val="Normal"/>
        <w:ind w:hanging="360" w:start="1080" w:end="0"/>
        <w:jc w:val="both"/>
        <w:rPr/>
      </w:pPr>
      <w:r>
        <w:rPr/>
        <w:t>3.</w:t>
        <w:tab/>
        <w:t>If emergency conditions exist, and/or standard communication or approvals are not possible, then the traders conducting Hourly/Daily or Short Term Trading shall have the authority to transact in order to mitigate such emergency situation.</w:t>
      </w:r>
    </w:p>
    <w:p>
      <w:pPr>
        <w:pStyle w:val="Normal"/>
        <w:ind w:hanging="360" w:start="1080" w:end="0"/>
        <w:jc w:val="both"/>
        <w:rPr/>
      </w:pPr>
      <w:r>
        <w:rPr/>
      </w:r>
    </w:p>
    <w:p>
      <w:pPr>
        <w:pStyle w:val="Normal"/>
        <w:ind w:hanging="360" w:start="1080" w:end="0"/>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b/>
        </w:rPr>
      </w:pPr>
      <w:r>
        <w:rPr>
          <w:b/>
        </w:rPr>
        <w:t>I.</w:t>
        <w:tab/>
        <w:t>Responsibilities of EPMI and MDEA</w:t>
      </w:r>
    </w:p>
    <w:p>
      <w:pPr>
        <w:pStyle w:val="Normal"/>
        <w:ind w:hanging="720" w:start="720" w:end="0"/>
        <w:jc w:val="both"/>
        <w:rPr/>
      </w:pPr>
      <w:r>
        <w:rPr/>
      </w:r>
    </w:p>
    <w:p>
      <w:pPr>
        <w:pStyle w:val="Normal"/>
        <w:ind w:start="720" w:end="0"/>
        <w:jc w:val="both"/>
        <w:rPr>
          <w:lang w:val="en-CA" w:eastAsia="en-CA"/>
        </w:rPr>
      </w:pPr>
      <w:r>
        <w:rPr>
          <w:lang w:val="en-CA" w:eastAsia="en-CA"/>
        </w:rPr>
        <w:t xml:space="preserve">Collaboration is required between MDEA and EPMI regarding Long Term Marketing, including any Structured Transactions, to achieve the best results for MDEA.  EPMI and MDEA </w:t>
      </w:r>
      <w:r>
        <w:rPr/>
        <w:t>will oversee long term marketing activities, within the scope and guidelines established by the Agreement including this Policy.</w:t>
      </w:r>
    </w:p>
    <w:p>
      <w:pPr>
        <w:pStyle w:val="Normal"/>
        <w:ind w:hanging="720" w:start="720" w:end="0"/>
        <w:jc w:val="both"/>
        <w:rPr>
          <w:lang w:val="en-CA" w:eastAsia="en-CA"/>
        </w:rPr>
      </w:pPr>
      <w:r>
        <w:rPr>
          <w:lang w:val="en-CA" w:eastAsia="en-CA"/>
        </w:rPr>
      </w:r>
    </w:p>
    <w:p>
      <w:pPr>
        <w:pStyle w:val="Normal"/>
        <w:jc w:val="both"/>
        <w:rPr>
          <w:b/>
          <w:bCs/>
        </w:rPr>
      </w:pPr>
      <w:r>
        <w:rPr>
          <w:b/>
          <w:bCs/>
        </w:rPr>
        <w:t xml:space="preserve">II.  </w:t>
        <w:tab/>
        <w:t>Authorized Marketers</w:t>
      </w:r>
    </w:p>
    <w:p>
      <w:pPr>
        <w:pStyle w:val="Normal"/>
        <w:jc w:val="both"/>
        <w:rPr>
          <w:b/>
          <w:bCs/>
        </w:rPr>
      </w:pPr>
      <w:r>
        <w:rPr>
          <w:b/>
          <w:bCs/>
        </w:rPr>
      </w:r>
    </w:p>
    <w:p>
      <w:pPr>
        <w:pStyle w:val="Normal"/>
        <w:ind w:start="720" w:end="0"/>
        <w:jc w:val="both"/>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jc w:val="both"/>
        <w:rPr>
          <w:b/>
          <w:bCs/>
        </w:rPr>
      </w:pPr>
      <w:r>
        <w:rPr>
          <w:b/>
          <w:bCs/>
        </w:rPr>
      </w:r>
    </w:p>
    <w:p>
      <w:pPr>
        <w:pStyle w:val="Normal"/>
        <w:ind w:hanging="720" w:start="720" w:end="0"/>
        <w:jc w:val="both"/>
        <w:rPr>
          <w:b/>
          <w:bCs/>
        </w:rPr>
      </w:pPr>
      <w:r>
        <w:rPr>
          <w:b/>
          <w:bCs/>
        </w:rPr>
        <w:t>III.</w:t>
        <w:tab/>
        <w:t>Authority to Transact</w:t>
      </w:r>
    </w:p>
    <w:p>
      <w:pPr>
        <w:pStyle w:val="Normal"/>
        <w:ind w:start="720" w:end="0"/>
        <w:jc w:val="both"/>
        <w:rPr>
          <w:b/>
          <w:bCs/>
        </w:rPr>
      </w:pPr>
      <w:r>
        <w:rPr>
          <w:b/>
          <w:bCs/>
        </w:rPr>
      </w:r>
    </w:p>
    <w:p>
      <w:pPr>
        <w:pStyle w:val="Normal"/>
        <w:ind w:start="720" w:end="0"/>
        <w:jc w:val="both"/>
        <w:rPr/>
      </w:pPr>
      <w:r>
        <w:rPr/>
        <w:t>Long term transactions, whether originated by EPMI or MDEA, shall be structured, evaluated, and approved as defined in the Agreement and this Policy.  Where prior risk/approval limits are defined in Schedule B, then the Authorized Trader(s) shall have authority to transact in the sole discretion of EPMI.  Unless prior approval limits are specifically defined in Schedule B, then approvals for each long term transaction shall be obtained as appropriate for the scope of the transaction (1) by MDEA or its governing bodies, and (2) EPMI’s management.</w:t>
      </w:r>
    </w:p>
    <w:p>
      <w:pPr>
        <w:pStyle w:val="Normal"/>
        <w:ind w:start="720" w:end="0"/>
        <w:jc w:val="both"/>
        <w:rPr/>
      </w:pPr>
      <w:r>
        <w:rPr/>
      </w:r>
    </w:p>
    <w:p>
      <w:pPr>
        <w:pStyle w:val="Normal"/>
        <w:ind w:start="720" w:end="0"/>
        <w:jc w:val="both"/>
        <w:rPr/>
      </w:pPr>
      <w:r>
        <w:rPr/>
      </w:r>
    </w:p>
    <w:p>
      <w:pPr>
        <w:pStyle w:val="Normal"/>
        <w:jc w:val="both"/>
        <w:rPr>
          <w:b/>
          <w:bCs/>
          <w:sz w:val="28"/>
        </w:rPr>
      </w:pPr>
      <w:r>
        <w:rPr>
          <w:b/>
          <w:bCs/>
          <w:sz w:val="28"/>
        </w:rPr>
        <w:t>TRANSACTION RISK COMPONENTS</w:t>
      </w:r>
    </w:p>
    <w:p>
      <w:pPr>
        <w:pStyle w:val="Normal"/>
        <w:jc w:val="both"/>
        <w:rPr>
          <w:b/>
          <w:bCs/>
          <w:sz w:val="28"/>
          <w:u w:val="single"/>
        </w:rPr>
      </w:pPr>
      <w:r>
        <w:rPr>
          <w:b/>
          <w:bCs/>
          <w:sz w:val="28"/>
          <w:u w:val="single"/>
        </w:rPr>
      </w:r>
    </w:p>
    <w:p>
      <w:pPr>
        <w:pStyle w:val="Heading8"/>
        <w:ind w:hanging="0" w:start="0"/>
        <w:jc w:val="both"/>
        <w:rPr/>
      </w:pPr>
      <w:r>
        <w:rPr>
          <w:rPrChange w:id="0" w:author="Unknown" w:date="0-00-00T00:00:00Z"/>
        </w:rPr>
        <w:t>I.</w:t>
        <w:tab/>
        <w:t>Trading Portfolio</w:t>
      </w:r>
    </w:p>
    <w:p>
      <w:pPr>
        <w:pStyle w:val="Normal"/>
        <w:jc w:val="both"/>
        <w:rPr>
          <w:b/>
          <w:u w:val="single"/>
        </w:rPr>
      </w:pPr>
      <w:r>
        <w:rPr>
          <w:b/>
          <w:u w:val="single"/>
        </w:rPr>
      </w:r>
    </w:p>
    <w:p>
      <w:pPr>
        <w:pStyle w:val="Normal"/>
        <w:ind w:start="720" w:end="0"/>
        <w:jc w:val="both"/>
        <w:rPr/>
      </w:pPr>
      <w:r>
        <w:rPr/>
        <w:t xml:space="preserve">EPMI will track MDEA’s business on a portfolio basis.  The portfolio is made up of groups of transactions.  Transactions consist of groups of components.  Components of transactions in the portfolio may be grouped for the purpose of measuring positions and adherence to limits defined herein.  These components are outlined below and their limits are provided in Schedule B.  The </w:t>
      </w:r>
      <w:r>
        <w:rPr>
          <w:b/>
        </w:rPr>
        <w:t>most restrictive</w:t>
      </w:r>
      <w:r>
        <w:rPr/>
        <w:t xml:space="preserve"> limit in the attached Schedules shall always apply. </w:t>
      </w:r>
    </w:p>
    <w:p>
      <w:pPr>
        <w:pStyle w:val="Normal"/>
        <w:ind w:start="720" w:end="0"/>
        <w:jc w:val="both"/>
        <w:rPr/>
      </w:pPr>
      <w:r>
        <w:rPr/>
      </w:r>
    </w:p>
    <w:p>
      <w:pPr>
        <w:pStyle w:val="Normal"/>
        <w:jc w:val="both"/>
        <w:rPr>
          <w:b/>
          <w:bCs/>
        </w:rPr>
      </w:pPr>
      <w:r>
        <w:rPr>
          <w:b/>
          <w:bCs/>
        </w:rPr>
        <w:t>II.</w:t>
        <w:tab/>
        <w:t>Transaction Components</w:t>
      </w:r>
    </w:p>
    <w:p>
      <w:pPr>
        <w:pStyle w:val="Normal"/>
        <w:jc w:val="both"/>
        <w:rPr>
          <w:b/>
          <w:bCs/>
        </w:rPr>
      </w:pPr>
      <w:r>
        <w:rPr>
          <w:b/>
          <w:bCs/>
        </w:rPr>
      </w:r>
    </w:p>
    <w:p>
      <w:pPr>
        <w:pStyle w:val="Normal"/>
        <w:numPr>
          <w:ilvl w:val="0"/>
          <w:numId w:val="4"/>
        </w:numPr>
        <w:tabs>
          <w:tab w:val="clear" w:pos="720"/>
          <w:tab w:val="left" w:pos="648" w:leader="none"/>
          <w:tab w:val="right" w:pos="8086" w:leader="none"/>
        </w:tabs>
        <w:jc w:val="both"/>
        <w:rPr/>
      </w:pPr>
      <w:r>
        <w:rPr>
          <w:b/>
        </w:rPr>
        <w:t>Index</w:t>
      </w:r>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4"/>
        </w:numPr>
        <w:tabs>
          <w:tab w:val="clear" w:pos="720"/>
          <w:tab w:val="left" w:pos="643" w:leader="none"/>
          <w:tab w:val="right" w:pos="8109" w:leader="none"/>
        </w:tabs>
        <w:jc w:val="both"/>
        <w:rPr/>
      </w:pPr>
      <w:r>
        <w:rPr>
          <w:b/>
        </w:rPr>
        <w:t xml:space="preserve">Basis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4"/>
        </w:numPr>
        <w:tabs>
          <w:tab w:val="clear" w:pos="720"/>
          <w:tab w:val="left" w:pos="643" w:leader="none"/>
          <w:tab w:val="right" w:pos="8109" w:leader="none"/>
        </w:tabs>
        <w:jc w:val="both"/>
        <w:rPr/>
      </w:pPr>
      <w:r>
        <w:rPr>
          <w:b/>
        </w:rPr>
        <w:t xml:space="preserve">Fixed Price </w:t>
      </w:r>
      <w:r>
        <w:rPr/>
        <w:noBreakHyphen/>
        <w:t xml:space="preserve"> Aggregates all fixed price positions, including fixed price options and cash month transactions.</w:t>
      </w:r>
    </w:p>
    <w:p>
      <w:pPr>
        <w:pStyle w:val="Normal"/>
        <w:tabs>
          <w:tab w:val="clear" w:pos="720"/>
          <w:tab w:val="left" w:pos="643" w:leader="none"/>
          <w:tab w:val="right" w:pos="8109" w:leader="none"/>
        </w:tabs>
        <w:ind w:start="720" w:end="0"/>
        <w:jc w:val="both"/>
        <w:rPr/>
      </w:pPr>
      <w:r>
        <w:rPr/>
      </w:r>
    </w:p>
    <w:p>
      <w:pPr>
        <w:pStyle w:val="Normal"/>
        <w:numPr>
          <w:ilvl w:val="0"/>
          <w:numId w:val="4"/>
        </w:numPr>
        <w:tabs>
          <w:tab w:val="clear" w:pos="720"/>
          <w:tab w:val="left" w:pos="643" w:leader="none"/>
          <w:tab w:val="right" w:pos="8109" w:leader="none"/>
        </w:tabs>
        <w:jc w:val="both"/>
        <w:rPr>
          <w:b/>
        </w:rPr>
      </w:pPr>
      <w:r>
        <w:rPr>
          <w:b/>
        </w:rPr>
        <w:t xml:space="preserve">Transmission/Transportation </w:t>
      </w:r>
      <w:r>
        <w:rPr/>
        <w:noBreakHyphen/>
        <w:t xml:space="preserve"> Aggregates the Transportation and Transmission contract obligations, including interruptible/non-firm and firm commitments.</w:t>
      </w:r>
    </w:p>
    <w:p>
      <w:pPr>
        <w:pStyle w:val="Heading4"/>
        <w:ind w:hanging="0" w:start="0"/>
        <w:jc w:val="both"/>
        <w:rPr>
          <w:b w:val="false"/>
        </w:rPr>
      </w:pPr>
      <w:r>
        <w:rPr>
          <w:b w:val="false"/>
        </w:rPr>
      </w:r>
    </w:p>
    <w:p>
      <w:pPr>
        <w:pStyle w:val="Normal"/>
        <w:jc w:val="both"/>
        <w:rPr>
          <w:b/>
          <w:bCs/>
        </w:rPr>
      </w:pPr>
      <w:r>
        <w:rPr>
          <w:b/>
          <w:bCs/>
        </w:rPr>
        <w:t>III.</w:t>
        <w:tab/>
        <w:t>Grouping Trading Components and Measuring Positions</w:t>
      </w:r>
    </w:p>
    <w:p>
      <w:pPr>
        <w:pStyle w:val="Normal"/>
        <w:ind w:start="720" w:end="0"/>
        <w:jc w:val="both"/>
        <w:rPr>
          <w:b/>
          <w:bCs/>
        </w:rPr>
      </w:pPr>
      <w:r>
        <w:rPr>
          <w:b/>
          <w:bCs/>
        </w:rPr>
      </w:r>
    </w:p>
    <w:p>
      <w:pPr>
        <w:pStyle w:val="Normal"/>
        <w:ind w:start="720" w:end="0"/>
        <w:jc w:val="both"/>
        <w:rPr/>
      </w:pPr>
      <w:r>
        <w:rPr/>
        <w:t>For purposes of measuring positions against limits, portfolios will be grouped into three major risk type portfolios as follows:</w:t>
      </w:r>
    </w:p>
    <w:p>
      <w:pPr>
        <w:pStyle w:val="Normal"/>
        <w:tabs>
          <w:tab w:val="left" w:pos="720" w:leader="none"/>
          <w:tab w:val="left" w:pos="1080" w:leader="none"/>
          <w:tab w:val="right" w:pos="8104" w:leader="none"/>
        </w:tabs>
        <w:ind w:start="720" w:end="0"/>
        <w:jc w:val="both"/>
        <w:rPr/>
      </w:pPr>
      <w:r>
        <w:rPr/>
        <w:tab/>
      </w:r>
    </w:p>
    <w:p>
      <w:pPr>
        <w:pStyle w:val="Normal"/>
        <w:numPr>
          <w:ilvl w:val="0"/>
          <w:numId w:val="7"/>
        </w:numPr>
        <w:tabs>
          <w:tab w:val="left" w:pos="720" w:leader="none"/>
          <w:tab w:val="left" w:pos="1080" w:leader="none"/>
          <w:tab w:val="right" w:pos="8104" w:leader="none"/>
        </w:tabs>
        <w:ind w:hanging="0" w:start="720" w:end="0"/>
        <w:jc w:val="both"/>
        <w:rPr/>
      </w:pPr>
      <w:r>
        <w:rPr>
          <w:b/>
        </w:rPr>
        <w:t xml:space="preserve">Price </w:t>
      </w:r>
      <w:r>
        <w:rPr/>
        <w:t>– Fixed Price Portfolio</w:t>
      </w:r>
    </w:p>
    <w:p>
      <w:pPr>
        <w:pStyle w:val="Normal"/>
        <w:tabs>
          <w:tab w:val="left" w:pos="720" w:leader="none"/>
          <w:tab w:val="left" w:pos="1080" w:leader="none"/>
          <w:tab w:val="right" w:pos="8104" w:leader="none"/>
        </w:tabs>
        <w:ind w:start="720" w:end="0"/>
        <w:jc w:val="both"/>
        <w:rPr>
          <w:b/>
          <w:u w:val="single"/>
        </w:rPr>
      </w:pPr>
      <w:r>
        <w:rPr>
          <w:b/>
          <w:u w:val="single"/>
        </w:rPr>
      </w:r>
    </w:p>
    <w:p>
      <w:pPr>
        <w:pStyle w:val="Normal"/>
        <w:numPr>
          <w:ilvl w:val="0"/>
          <w:numId w:val="7"/>
        </w:numPr>
        <w:tabs>
          <w:tab w:val="left" w:pos="720" w:leader="none"/>
          <w:tab w:val="left" w:pos="1080" w:leader="none"/>
          <w:tab w:val="right" w:pos="8104" w:leader="none"/>
        </w:tabs>
        <w:ind w:hanging="0" w:start="720" w:end="0"/>
        <w:jc w:val="both"/>
        <w:rPr/>
      </w:pPr>
      <w:r>
        <w:rPr>
          <w:b/>
        </w:rPr>
        <w:t xml:space="preserve">Basis - </w:t>
      </w:r>
      <w:r>
        <w:rPr/>
        <w:t>Basis Portfolio, Transmission/Transportation Portfolio</w:t>
      </w:r>
    </w:p>
    <w:p>
      <w:pPr>
        <w:pStyle w:val="Normal"/>
        <w:tabs>
          <w:tab w:val="left" w:pos="720" w:leader="none"/>
          <w:tab w:val="left" w:pos="1080" w:leader="none"/>
          <w:tab w:val="right" w:pos="8104" w:leader="none"/>
        </w:tabs>
        <w:ind w:start="720" w:end="0"/>
        <w:jc w:val="both"/>
        <w:rPr/>
      </w:pPr>
      <w:r>
        <w:rPr/>
      </w:r>
    </w:p>
    <w:p>
      <w:pPr>
        <w:pStyle w:val="Normal"/>
        <w:numPr>
          <w:ilvl w:val="0"/>
          <w:numId w:val="7"/>
        </w:numPr>
        <w:tabs>
          <w:tab w:val="left" w:pos="720" w:leader="none"/>
          <w:tab w:val="left" w:pos="1080" w:leader="none"/>
          <w:tab w:val="right" w:pos="8104" w:leader="none"/>
        </w:tabs>
        <w:ind w:hanging="0" w:start="720" w:end="0"/>
        <w:jc w:val="both"/>
        <w:rPr/>
      </w:pPr>
      <w:r>
        <w:rPr>
          <w:b/>
        </w:rPr>
        <w:t>Cash/Index -</w:t>
      </w:r>
      <w:r>
        <w:rPr/>
        <w:t xml:space="preserve"> Cash Month Portfolio, Index Portfolio</w:t>
      </w:r>
    </w:p>
    <w:p>
      <w:pPr>
        <w:pStyle w:val="Normal"/>
        <w:tabs>
          <w:tab w:val="left" w:pos="720" w:leader="none"/>
          <w:tab w:val="left" w:pos="1080" w:leader="none"/>
          <w:tab w:val="right" w:pos="8104" w:leader="none"/>
        </w:tabs>
        <w:ind w:start="720" w:end="0"/>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rPr>
      </w:pPr>
      <w:r>
        <w:rPr>
          <w:b/>
          <w:sz w:val="28"/>
        </w:rPr>
        <w:t>TRADING COMPLIANCE</w:t>
      </w:r>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
    </w:p>
    <w:p>
      <w:pPr>
        <w:pStyle w:val="Normal"/>
        <w:jc w:val="both"/>
        <w:rPr>
          <w:b/>
          <w:u w:val="single"/>
        </w:rPr>
      </w:pPr>
      <w:r>
        <w:rPr>
          <w:b/>
          <w:u w:val="single"/>
        </w:rPr>
      </w:r>
    </w:p>
    <w:p>
      <w:pPr>
        <w:pStyle w:val="Normal"/>
        <w:numPr>
          <w:ilvl w:val="0"/>
          <w:numId w:val="2"/>
        </w:numPr>
        <w:jc w:val="both"/>
        <w:rPr>
          <w:bCs/>
        </w:rPr>
      </w:pPr>
      <w:r>
        <w:rPr>
          <w:b/>
        </w:rPr>
        <w:t>Long Term Marketing</w:t>
      </w:r>
      <w:r>
        <w:rPr>
          <w:bCs/>
        </w:rPr>
        <w:t xml:space="preserve"> - EPMI and MDEA will perform analysis, structuring, and approvals for individual transactions.</w:t>
      </w:r>
    </w:p>
    <w:p>
      <w:pPr>
        <w:pStyle w:val="Normal"/>
        <w:jc w:val="both"/>
        <w:rPr>
          <w:bCs/>
        </w:rPr>
      </w:pPr>
      <w:r>
        <w:rPr>
          <w:bCs/>
        </w:rPr>
      </w:r>
    </w:p>
    <w:p>
      <w:pPr>
        <w:pStyle w:val="Normal"/>
        <w:jc w:val="both"/>
        <w:rPr>
          <w:b/>
          <w:bCs/>
        </w:rPr>
      </w:pPr>
      <w:r>
        <w:rPr/>
        <w:t xml:space="preserve"> </w:t>
      </w:r>
    </w:p>
    <w:p>
      <w:pPr>
        <w:pStyle w:val="Normal"/>
        <w:jc w:val="both"/>
        <w:rPr>
          <w:b/>
          <w:bCs/>
          <w:sz w:val="28"/>
        </w:rPr>
      </w:pPr>
      <w:r>
        <w:rPr>
          <w:b/>
          <w:bCs/>
          <w:sz w:val="28"/>
        </w:rPr>
        <w:t>EXPOSURE LIMITS AND MEASUREMENTS</w:t>
      </w:r>
    </w:p>
    <w:p>
      <w:pPr>
        <w:pStyle w:val="Normal"/>
        <w:jc w:val="both"/>
        <w:rPr>
          <w:b/>
          <w:bCs/>
          <w:sz w:val="28"/>
        </w:rPr>
      </w:pPr>
      <w:r>
        <w:rPr>
          <w:b/>
          <w:bCs/>
          <w:sz w:val="28"/>
        </w:rPr>
      </w:r>
    </w:p>
    <w:p>
      <w:pPr>
        <w:pStyle w:val="Normal"/>
        <w:jc w:val="both"/>
        <w:rPr>
          <w:b/>
        </w:rPr>
      </w:pPr>
      <w:r>
        <w:rPr>
          <w:b/>
        </w:rPr>
        <w:t>I.</w:t>
        <w:tab/>
        <w:t>Introduction</w:t>
      </w:r>
    </w:p>
    <w:p>
      <w:pPr>
        <w:pStyle w:val="Normal"/>
        <w:ind w:start="720" w:end="0"/>
        <w:jc w:val="both"/>
        <w:rPr>
          <w:b/>
        </w:rPr>
      </w:pPr>
      <w:r>
        <w:rPr>
          <w:b/>
        </w:rPr>
      </w:r>
    </w:p>
    <w:p>
      <w:pPr>
        <w:pStyle w:val="Normal"/>
        <w:ind w:start="720" w:end="0"/>
        <w:jc w:val="both"/>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ind w:start="720" w:end="0"/>
        <w:jc w:val="both"/>
        <w:rPr>
          <w:b/>
        </w:rPr>
      </w:pPr>
      <w:r>
        <w:rPr>
          <w:b/>
        </w:rPr>
      </w:r>
    </w:p>
    <w:p>
      <w:pPr>
        <w:pStyle w:val="Normal"/>
        <w:tabs>
          <w:tab w:val="clear" w:pos="720"/>
          <w:tab w:val="left" w:pos="744" w:leader="none"/>
          <w:tab w:val="right" w:pos="2683" w:leader="none"/>
        </w:tabs>
        <w:jc w:val="both"/>
        <w:rPr>
          <w:b/>
        </w:rPr>
      </w:pPr>
      <w:r>
        <w:rPr>
          <w:b/>
        </w:rPr>
        <w:t>II.</w:t>
        <w:tab/>
        <w:t>Commodities Authorized To Trade (Schedule A)</w:t>
      </w:r>
    </w:p>
    <w:p>
      <w:pPr>
        <w:pStyle w:val="Normal"/>
        <w:ind w:start="720" w:end="0"/>
        <w:jc w:val="both"/>
        <w:rPr>
          <w:b/>
        </w:rPr>
      </w:pPr>
      <w:r>
        <w:rPr>
          <w:b/>
        </w:rPr>
      </w:r>
    </w:p>
    <w:p>
      <w:pPr>
        <w:pStyle w:val="Normal"/>
        <w:ind w:start="720" w:end="0"/>
        <w:jc w:val="both"/>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jc w:val="both"/>
        <w:rPr>
          <w:b/>
        </w:rPr>
      </w:pPr>
      <w:r>
        <w:rPr>
          <w:b/>
        </w:rPr>
      </w:r>
    </w:p>
    <w:p>
      <w:pPr>
        <w:pStyle w:val="Normal"/>
        <w:tabs>
          <w:tab w:val="clear" w:pos="720"/>
          <w:tab w:val="left" w:pos="744" w:leader="none"/>
          <w:tab w:val="right" w:pos="2683" w:leader="none"/>
        </w:tabs>
        <w:ind w:hanging="720" w:start="720" w:end="0"/>
        <w:jc w:val="both"/>
        <w:rPr>
          <w:b/>
        </w:rPr>
      </w:pPr>
      <w:r>
        <w:rPr>
          <w:b/>
        </w:rPr>
        <w:t>III.</w:t>
        <w:tab/>
        <w:t>Limits for Volumetric, Term, Commodity Type, and Price Components  (Schedule B)</w:t>
      </w:r>
    </w:p>
    <w:p>
      <w:pPr>
        <w:pStyle w:val="Normal"/>
        <w:tabs>
          <w:tab w:val="clear" w:pos="720"/>
          <w:tab w:val="left" w:pos="744" w:leader="none"/>
          <w:tab w:val="right" w:pos="3273" w:leader="none"/>
        </w:tabs>
        <w:ind w:start="720" w:end="0"/>
        <w:jc w:val="both"/>
        <w:rPr>
          <w:b/>
        </w:rPr>
      </w:pPr>
      <w:r>
        <w:rPr>
          <w:b/>
        </w:rPr>
      </w:r>
    </w:p>
    <w:p>
      <w:pPr>
        <w:pStyle w:val="Normal"/>
        <w:tabs>
          <w:tab w:val="clear" w:pos="720"/>
          <w:tab w:val="left" w:pos="744" w:leader="none"/>
          <w:tab w:val="right" w:pos="3273" w:leader="none"/>
        </w:tabs>
        <w:ind w:start="720" w:end="0"/>
        <w:jc w:val="both"/>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jc w:val="both"/>
        <w:rPr>
          <w:b/>
          <w:sz w:val="28"/>
        </w:rPr>
      </w:pPr>
      <w:r>
        <w:rPr>
          <w:b/>
          <w:sz w:val="28"/>
        </w:rPr>
        <w:tab/>
      </w:r>
      <w:r>
        <w:br w:type="page"/>
      </w:r>
    </w:p>
    <w:p>
      <w:pPr>
        <w:pStyle w:val="Normal"/>
        <w:tabs>
          <w:tab w:val="clear" w:pos="720"/>
          <w:tab w:val="right" w:pos="2095" w:leader="none"/>
        </w:tabs>
        <w:jc w:val="center"/>
        <w:rPr>
          <w:b/>
        </w:rPr>
      </w:pPr>
      <w:r>
        <w:rPr>
          <w:b/>
        </w:rPr>
        <w:t>SCHEDULE A to EXHIBIT B</w:t>
      </w:r>
    </w:p>
    <w:p>
      <w:pPr>
        <w:pStyle w:val="Normal"/>
        <w:tabs>
          <w:tab w:val="clear" w:pos="720"/>
          <w:tab w:val="right" w:pos="2095" w:leader="none"/>
        </w:tabs>
        <w:jc w:val="center"/>
        <w:rPr>
          <w:b/>
        </w:rPr>
      </w:pPr>
      <w:r>
        <w:rPr>
          <w:b/>
        </w:rPr>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jc w:val="both"/>
        <w:rPr>
          <w:b/>
        </w:rPr>
      </w:pPr>
      <w:r>
        <w:rPr>
          <w:b/>
        </w:rPr>
      </w:r>
    </w:p>
    <w:p>
      <w:pPr>
        <w:pStyle w:val="Normal"/>
        <w:tabs>
          <w:tab w:val="clear" w:pos="720"/>
          <w:tab w:val="left" w:pos="470" w:leader="none"/>
        </w:tabs>
        <w:jc w:val="both"/>
        <w:rPr/>
      </w:pPr>
      <w:r>
        <w:rPr/>
        <w:t xml:space="preserve">MDEA and EPMI are authorized to trade the following commodities. </w:t>
      </w:r>
    </w:p>
    <w:p>
      <w:pPr>
        <w:pStyle w:val="Normal"/>
        <w:tabs>
          <w:tab w:val="clear" w:pos="720"/>
          <w:tab w:val="right" w:pos="3122" w:leader="none"/>
        </w:tabs>
        <w:jc w:val="both"/>
        <w:rPr/>
      </w:pPr>
      <w:r>
        <w:rPr/>
      </w:r>
    </w:p>
    <w:p>
      <w:pPr>
        <w:pStyle w:val="Normal"/>
        <w:tabs>
          <w:tab w:val="clear" w:pos="720"/>
          <w:tab w:val="right" w:pos="1749" w:leader="none"/>
        </w:tabs>
        <w:jc w:val="both"/>
        <w:rPr>
          <w:b/>
        </w:rPr>
      </w:pPr>
      <w:r>
        <w:rPr>
          <w:b/>
          <w:i/>
          <w:u w:val="single"/>
        </w:rPr>
        <w:t>POWER</w:t>
      </w:r>
    </w:p>
    <w:p>
      <w:pPr>
        <w:pStyle w:val="Normal"/>
        <w:numPr>
          <w:ilvl w:val="0"/>
          <w:numId w:val="8"/>
        </w:numPr>
        <w:tabs>
          <w:tab w:val="clear" w:pos="720"/>
          <w:tab w:val="right" w:pos="1260" w:leader="none"/>
        </w:tabs>
        <w:ind w:hanging="540" w:start="1260" w:end="0"/>
        <w:jc w:val="both"/>
        <w:rPr/>
      </w:pPr>
      <w:r>
        <w:rPr/>
        <w:t>Unit Contingent energy for power sales</w:t>
      </w:r>
    </w:p>
    <w:p>
      <w:pPr>
        <w:pStyle w:val="Normal"/>
        <w:numPr>
          <w:ilvl w:val="0"/>
          <w:numId w:val="8"/>
        </w:numPr>
        <w:tabs>
          <w:tab w:val="clear" w:pos="720"/>
          <w:tab w:val="right" w:pos="1260" w:leader="none"/>
        </w:tabs>
        <w:ind w:hanging="540" w:start="1260" w:end="0"/>
        <w:jc w:val="both"/>
        <w:rPr/>
      </w:pPr>
      <w:r>
        <w:rPr/>
        <w:t>Unit Contingent, system firm, firm LD energy (long term) for serving Native Load</w:t>
      </w:r>
    </w:p>
    <w:p>
      <w:pPr>
        <w:pStyle w:val="Normal"/>
        <w:numPr>
          <w:ilvl w:val="0"/>
          <w:numId w:val="8"/>
        </w:numPr>
        <w:tabs>
          <w:tab w:val="clear" w:pos="720"/>
          <w:tab w:val="right" w:pos="1260" w:leader="none"/>
        </w:tabs>
        <w:ind w:hanging="540" w:start="1260" w:end="0"/>
        <w:jc w:val="both"/>
        <w:rPr>
          <w:b/>
          <w:i/>
          <w:i/>
          <w:u w:val="single"/>
        </w:rPr>
      </w:pPr>
      <w:r>
        <w:rPr/>
        <w:t>Capacity (including Regulatory Capacity)</w:t>
      </w:r>
    </w:p>
    <w:p>
      <w:pPr>
        <w:pStyle w:val="Normal"/>
        <w:numPr>
          <w:ilvl w:val="0"/>
          <w:numId w:val="8"/>
        </w:numPr>
        <w:tabs>
          <w:tab w:val="clear" w:pos="720"/>
          <w:tab w:val="right" w:pos="1260" w:leader="none"/>
        </w:tabs>
        <w:ind w:hanging="540" w:start="1260" w:end="0"/>
        <w:jc w:val="both"/>
        <w:rPr>
          <w:b/>
          <w:i/>
          <w:i/>
          <w:u w:val="single"/>
        </w:rPr>
      </w:pPr>
      <w:r>
        <w:rPr/>
        <w:t>Sales and/or purchases as part of Redispatch Transactions</w:t>
      </w:r>
    </w:p>
    <w:p>
      <w:pPr>
        <w:pStyle w:val="Normal"/>
        <w:numPr>
          <w:ilvl w:val="0"/>
          <w:numId w:val="8"/>
        </w:numPr>
        <w:tabs>
          <w:tab w:val="clear" w:pos="720"/>
          <w:tab w:val="right" w:pos="1260" w:leader="none"/>
        </w:tabs>
        <w:ind w:hanging="540" w:start="1260" w:end="0"/>
        <w:jc w:val="both"/>
        <w:rPr>
          <w:b/>
          <w:i/>
          <w:i/>
          <w:u w:val="single"/>
        </w:rPr>
      </w:pPr>
      <w:r>
        <w:rPr/>
        <w:t>Unit Contingent energy purchases (within defined limitations)</w:t>
      </w:r>
    </w:p>
    <w:p>
      <w:pPr>
        <w:pStyle w:val="Normal"/>
        <w:tabs>
          <w:tab w:val="clear" w:pos="720"/>
          <w:tab w:val="right" w:pos="1570" w:leader="none"/>
        </w:tabs>
        <w:jc w:val="both"/>
        <w:rPr>
          <w:b/>
          <w:i/>
          <w:i/>
          <w:u w:val="single"/>
        </w:rPr>
      </w:pPr>
      <w:r>
        <w:rPr>
          <w:b/>
          <w:i/>
          <w:u w:val="single"/>
        </w:rPr>
      </w:r>
    </w:p>
    <w:p>
      <w:pPr>
        <w:pStyle w:val="Normal"/>
        <w:tabs>
          <w:tab w:val="clear" w:pos="720"/>
          <w:tab w:val="right" w:pos="1570" w:leader="none"/>
        </w:tabs>
        <w:jc w:val="both"/>
        <w:rPr/>
      </w:pPr>
      <w:r>
        <w:rPr>
          <w:b/>
          <w:i/>
          <w:u w:val="single"/>
        </w:rPr>
        <w:t>TRANSMISSION</w:t>
      </w:r>
      <w:r>
        <w:rPr>
          <w:bCs/>
          <w:iCs/>
        </w:rPr>
        <w:t xml:space="preserve">  </w:t>
      </w:r>
    </w:p>
    <w:p>
      <w:pPr>
        <w:pStyle w:val="Normal"/>
        <w:tabs>
          <w:tab w:val="clear" w:pos="720"/>
          <w:tab w:val="right" w:pos="1570" w:leader="none"/>
        </w:tabs>
        <w:jc w:val="both"/>
        <w:rPr>
          <w:bCs/>
          <w:iCs/>
        </w:rPr>
      </w:pPr>
      <w:r>
        <w:rPr>
          <w:bCs/>
          <w:iCs/>
        </w:rPr>
        <w:t>(Note:  This section excludes MDEA’s existing Network Services agreement, which shall only be used for energy deliveries to MDEA)</w:t>
      </w:r>
    </w:p>
    <w:p>
      <w:pPr>
        <w:pStyle w:val="Normal"/>
        <w:numPr>
          <w:ilvl w:val="0"/>
          <w:numId w:val="8"/>
        </w:numPr>
        <w:tabs>
          <w:tab w:val="clear" w:pos="720"/>
          <w:tab w:val="right" w:pos="1260" w:leader="none"/>
        </w:tabs>
        <w:ind w:hanging="540" w:start="1260" w:end="0"/>
        <w:jc w:val="both"/>
        <w:rPr/>
      </w:pPr>
      <w:r>
        <w:rPr/>
        <w:t>Firm point-to-point transmission</w:t>
      </w:r>
    </w:p>
    <w:p>
      <w:pPr>
        <w:pStyle w:val="Normal"/>
        <w:numPr>
          <w:ilvl w:val="0"/>
          <w:numId w:val="8"/>
        </w:numPr>
        <w:tabs>
          <w:tab w:val="clear" w:pos="720"/>
          <w:tab w:val="right" w:pos="1260" w:leader="none"/>
        </w:tabs>
        <w:ind w:hanging="540" w:start="1260" w:end="0"/>
        <w:jc w:val="both"/>
        <w:rPr/>
      </w:pPr>
      <w:r>
        <w:rPr/>
        <w:t>Non-firm point-to-point transmission</w:t>
      </w:r>
    </w:p>
    <w:p>
      <w:pPr>
        <w:pStyle w:val="Normal"/>
        <w:tabs>
          <w:tab w:val="clear" w:pos="720"/>
          <w:tab w:val="right" w:pos="1260" w:leader="none"/>
        </w:tabs>
        <w:ind w:start="720" w:end="0"/>
        <w:jc w:val="both"/>
        <w:rPr/>
      </w:pPr>
      <w:r>
        <w:rPr/>
      </w:r>
    </w:p>
    <w:p>
      <w:pPr>
        <w:pStyle w:val="Normal"/>
        <w:tabs>
          <w:tab w:val="clear" w:pos="720"/>
          <w:tab w:val="right" w:pos="1570" w:leader="none"/>
        </w:tabs>
        <w:jc w:val="both"/>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jc w:val="both"/>
        <w:rPr/>
      </w:pPr>
      <w:r>
        <w:rPr/>
        <w:t>Natural Gas – wellhead or delivered</w:t>
      </w:r>
    </w:p>
    <w:p>
      <w:pPr>
        <w:pStyle w:val="Normal"/>
        <w:numPr>
          <w:ilvl w:val="0"/>
          <w:numId w:val="3"/>
        </w:numPr>
        <w:tabs>
          <w:tab w:val="clear" w:pos="720"/>
          <w:tab w:val="right" w:pos="1260" w:leader="none"/>
          <w:tab w:val="right" w:pos="6120" w:leader="none"/>
        </w:tabs>
        <w:ind w:hanging="0" w:start="720" w:end="0"/>
        <w:jc w:val="both"/>
        <w:rPr/>
      </w:pPr>
      <w:r>
        <w:rPr/>
        <w:t>Gas transportation</w:t>
      </w:r>
    </w:p>
    <w:p>
      <w:pPr>
        <w:pStyle w:val="Normal"/>
        <w:tabs>
          <w:tab w:val="clear" w:pos="720"/>
          <w:tab w:val="right" w:pos="1570" w:leader="none"/>
        </w:tabs>
        <w:ind w:start="4320" w:end="0"/>
        <w:jc w:val="both"/>
        <w:rPr>
          <w:b/>
        </w:rPr>
      </w:pPr>
      <w:r>
        <w:rPr>
          <w:b/>
        </w:rPr>
      </w:r>
    </w:p>
    <w:p>
      <w:pPr>
        <w:pStyle w:val="Normal"/>
        <w:tabs>
          <w:tab w:val="clear" w:pos="720"/>
          <w:tab w:val="right" w:pos="3542" w:leader="none"/>
        </w:tabs>
        <w:jc w:val="both"/>
        <w:rPr>
          <w:b/>
          <w:i/>
          <w:i/>
          <w:u w:val="single"/>
        </w:rPr>
      </w:pPr>
      <w:r>
        <w:rPr>
          <w:b/>
          <w:i/>
          <w:u w:val="single"/>
        </w:rPr>
        <w:t xml:space="preserve">ANCILLARY SERVICES </w:t>
      </w:r>
    </w:p>
    <w:p>
      <w:pPr>
        <w:pStyle w:val="Normal"/>
        <w:tabs>
          <w:tab w:val="clear" w:pos="720"/>
          <w:tab w:val="right" w:pos="1260" w:leader="none"/>
        </w:tabs>
        <w:jc w:val="both"/>
        <w:rPr>
          <w:bCs/>
          <w:iCs/>
        </w:rPr>
      </w:pPr>
      <w:r>
        <w:rPr>
          <w:bCs/>
          <w:iCs/>
        </w:rPr>
        <w:t>(Note: Regulatory approval required before MDEA can sell ancillary services.  No regulatory approval required to self-provide ancillary services.)</w:t>
      </w:r>
    </w:p>
    <w:p>
      <w:pPr>
        <w:pStyle w:val="Normal"/>
        <w:numPr>
          <w:ilvl w:val="0"/>
          <w:numId w:val="8"/>
        </w:numPr>
        <w:tabs>
          <w:tab w:val="clear" w:pos="720"/>
          <w:tab w:val="right" w:pos="1260" w:leader="none"/>
        </w:tabs>
        <w:ind w:hanging="540" w:start="1260" w:end="0"/>
        <w:jc w:val="both"/>
        <w:rPr/>
      </w:pPr>
      <w:r>
        <w:rPr/>
        <w:t>Scheduling, System Control, and Dispatch Service</w:t>
      </w:r>
    </w:p>
    <w:p>
      <w:pPr>
        <w:pStyle w:val="Normal"/>
        <w:numPr>
          <w:ilvl w:val="0"/>
          <w:numId w:val="8"/>
        </w:numPr>
        <w:tabs>
          <w:tab w:val="clear" w:pos="720"/>
          <w:tab w:val="right" w:pos="1260" w:leader="none"/>
        </w:tabs>
        <w:ind w:hanging="540" w:start="1260" w:end="0"/>
        <w:jc w:val="both"/>
        <w:rPr/>
      </w:pPr>
      <w:r>
        <w:rPr/>
        <w:t>Reactive Supply and Voltage Control</w:t>
      </w:r>
    </w:p>
    <w:p>
      <w:pPr>
        <w:pStyle w:val="Normal"/>
        <w:numPr>
          <w:ilvl w:val="0"/>
          <w:numId w:val="8"/>
        </w:numPr>
        <w:tabs>
          <w:tab w:val="clear" w:pos="720"/>
          <w:tab w:val="right" w:pos="1260" w:leader="none"/>
        </w:tabs>
        <w:ind w:hanging="540" w:start="1260" w:end="0"/>
        <w:jc w:val="both"/>
        <w:rPr/>
      </w:pPr>
      <w:r>
        <w:rPr/>
        <w:t>Regulation and Frequency Response</w:t>
      </w:r>
    </w:p>
    <w:p>
      <w:pPr>
        <w:pStyle w:val="Normal"/>
        <w:numPr>
          <w:ilvl w:val="0"/>
          <w:numId w:val="8"/>
        </w:numPr>
        <w:tabs>
          <w:tab w:val="clear" w:pos="720"/>
          <w:tab w:val="right" w:pos="1260" w:leader="none"/>
        </w:tabs>
        <w:ind w:hanging="540" w:start="1260" w:end="0"/>
        <w:jc w:val="both"/>
        <w:rPr/>
      </w:pPr>
      <w:r>
        <w:rPr/>
        <w:t>Energy Imbalance Service</w:t>
      </w:r>
    </w:p>
    <w:p>
      <w:pPr>
        <w:pStyle w:val="Normal"/>
        <w:numPr>
          <w:ilvl w:val="0"/>
          <w:numId w:val="8"/>
        </w:numPr>
        <w:tabs>
          <w:tab w:val="clear" w:pos="720"/>
          <w:tab w:val="right" w:pos="1260" w:leader="none"/>
        </w:tabs>
        <w:ind w:hanging="540" w:start="1260" w:end="0"/>
        <w:jc w:val="both"/>
        <w:rPr/>
      </w:pPr>
      <w:r>
        <w:rPr/>
        <w:t>Operating Reserve – Spinning Reserve Service</w:t>
      </w:r>
    </w:p>
    <w:p>
      <w:pPr>
        <w:pStyle w:val="Normal"/>
        <w:numPr>
          <w:ilvl w:val="0"/>
          <w:numId w:val="8"/>
        </w:numPr>
        <w:tabs>
          <w:tab w:val="clear" w:pos="720"/>
          <w:tab w:val="right" w:pos="1260" w:leader="none"/>
        </w:tabs>
        <w:ind w:hanging="540" w:start="1260" w:end="0"/>
        <w:jc w:val="both"/>
        <w:rPr/>
      </w:pPr>
      <w:r>
        <w:rPr/>
        <w:t>Operating Reserve – Supplemental Reserve Service</w:t>
      </w:r>
    </w:p>
    <w:p>
      <w:pPr>
        <w:pStyle w:val="Normal"/>
        <w:tabs>
          <w:tab w:val="clear" w:pos="720"/>
          <w:tab w:val="right" w:pos="1749" w:leader="none"/>
        </w:tabs>
        <w:jc w:val="both"/>
        <w:rPr>
          <w:b/>
        </w:rPr>
      </w:pPr>
      <w:r>
        <w:rPr>
          <w:b/>
        </w:rPr>
      </w:r>
    </w:p>
    <w:p>
      <w:pPr>
        <w:pStyle w:val="Normal"/>
        <w:tabs>
          <w:tab w:val="clear" w:pos="720"/>
          <w:tab w:val="right" w:pos="1749" w:leader="none"/>
        </w:tabs>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r>
    </w:p>
    <w:p>
      <w:pPr>
        <w:pStyle w:val="BodyText"/>
        <w:rPr/>
      </w:pPr>
      <w:r>
        <w:rPr>
          <w:rPrChange w:id="0" w:author="Unknown" w:date="0-00-00T00:00:00Z"/>
        </w:rPr>
        <w:t>SCHEDULE B to EXHIBIT B</w:t>
      </w:r>
    </w:p>
    <w:p>
      <w:pPr>
        <w:pStyle w:val="BodyText"/>
        <w:rPr/>
      </w:pPr>
      <w:r>
        <w:rPr>
          <w:rPrChange w:id="0" w:author="Unknown" w:date="0-00-00T00:00:00Z"/>
        </w:rPr>
        <w:t>RISK LIMITS FOR VOLUMETRIC, TERM, COMMODITY TYPE, AND PRICE COMPONENTS</w:t>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Energy Sales and Purchases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6"/>
        </w:numPr>
        <w:tabs>
          <w:tab w:val="clear" w:pos="720"/>
          <w:tab w:val="left" w:pos="1170" w:leader="none"/>
        </w:tabs>
        <w:rPr/>
      </w:pPr>
      <w:r>
        <w:rPr/>
        <w:t>Up to 4 days over weekend and holiday periods.</w:t>
      </w:r>
    </w:p>
    <w:p>
      <w:pPr>
        <w:pStyle w:val="Normal"/>
        <w:numPr>
          <w:ilvl w:val="0"/>
          <w:numId w:val="6"/>
        </w:numPr>
        <w:tabs>
          <w:tab w:val="clear" w:pos="720"/>
          <w:tab w:val="left" w:pos="1170" w:leader="none"/>
        </w:tabs>
        <w:rPr/>
      </w:pPr>
      <w:r>
        <w:rPr/>
        <w:t>No specific limits.  To be determined case by case.</w:t>
      </w:r>
    </w:p>
    <w:p>
      <w:pPr>
        <w:pStyle w:val="Normal"/>
        <w:numPr>
          <w:ilvl w:val="0"/>
          <w:numId w:val="6"/>
        </w:numPr>
        <w:tabs>
          <w:tab w:val="clear" w:pos="720"/>
          <w:tab w:val="left" w:pos="1170" w:leader="none"/>
        </w:tabs>
        <w:rPr/>
      </w:pPr>
      <w:r>
        <w:rPr/>
        <w:t>No specific limits on a daily or round the clock basis.</w:t>
      </w:r>
    </w:p>
    <w:p>
      <w:pPr>
        <w:pStyle w:val="Normal"/>
        <w:tabs>
          <w:tab w:val="clear" w:pos="720"/>
          <w:tab w:val="left" w:pos="1170" w:leader="none"/>
        </w:tabs>
        <w:ind w:start="720" w:end="0"/>
        <w:rPr/>
      </w:pPr>
      <w:r>
        <w:rPr/>
        <w:t>(5) Up to daily load projections and/or daily Facility availabilities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left" w:pos="1170" w:leader="none"/>
        </w:tabs>
        <w:ind w:start="720" w:end="0"/>
        <w:rPr/>
      </w:pPr>
      <w:r>
        <w:rPr/>
        <w:t>(5) Up to daily load projections and/or daily Facility availabilities</w:t>
      </w:r>
    </w:p>
    <w:p>
      <w:pPr>
        <w:pStyle w:val="BodyTextIndent"/>
        <w:rPr/>
      </w:pPr>
      <w:r>
        <w:rPr/>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pPr>
      <w:r>
        <w:rPr/>
      </w:r>
      <w:r>
        <w:br w:type="page"/>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(6)</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t>(6) Up to daily Facility availabilities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left" w:pos="1170" w:leader="none"/>
        </w:tabs>
        <w:ind w:start="720" w:end="0"/>
        <w:rPr/>
      </w:pPr>
      <w:r>
        <w:rPr/>
      </w:r>
      <w:r>
        <w:br w:type="page"/>
      </w:r>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808"/>
        <w:gridCol w:w="1350"/>
        <w:gridCol w:w="1350"/>
        <w:gridCol w:w="1350"/>
        <w:gridCol w:w="1350"/>
        <w:gridCol w:w="1350"/>
        <w:gridCol w:w="1458"/>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keepNext w:val="true"/>
              <w:keepLines/>
              <w:tabs>
                <w:tab w:val="clear" w:pos="720"/>
                <w:tab w:val="right" w:pos="990" w:leader="none"/>
              </w:tabs>
              <w:jc w:val="center"/>
              <w:rPr>
                <w:b/>
              </w:rPr>
            </w:pPr>
            <w:r>
              <w:rPr>
                <w:b/>
              </w:rPr>
              <w:t>Up to</w:t>
            </w:r>
          </w:p>
          <w:p>
            <w:pPr>
              <w:pStyle w:val="Normal"/>
              <w:keepNext w:val="true"/>
              <w:keepLines/>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Scheduling, System Control, and Dispatch Service</w:t>
            </w:r>
          </w:p>
        </w:tc>
        <w:tc>
          <w:tcPr>
            <w:tcW w:w="1350" w:type="dxa"/>
            <w:tcBorders>
              <w:top w:val="single" w:sz="4" w:space="0" w:color="000000"/>
              <w:start w:val="single" w:sz="4" w:space="0" w:color="000000"/>
              <w:bottom w:val="single" w:sz="4" w:space="0" w:color="000000"/>
              <w:end w:val="single" w:sz="4" w:space="0" w:color="000000"/>
            </w:tcBorders>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Reactive Supply and Voltage Control</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and Frequency Response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snapToGrid w:val="false"/>
              <w:rPr>
                <w:rFonts w:ascii="Times New Roman" w:hAnsi="Times New Roman" w:eastAsia="MS Mincho;ＭＳ 明朝" w:cs="Times New Roman"/>
                <w:sz w:val="24"/>
              </w:rPr>
            </w:pPr>
            <w:r>
              <w:rPr>
                <w:rFonts w:eastAsia="MS Mincho;ＭＳ 明朝" w:cs="Times New Roman" w:ascii="Times New Roman" w:hAnsi="Times New Roman"/>
                <w:sz w:val="24"/>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Energy Imbalance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Spinning Reserve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Supplemental Reserve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(7)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w:t>
      </w:r>
    </w:p>
    <w:p>
      <w:pPr>
        <w:pStyle w:val="Normal"/>
        <w:ind w:start="-180" w:end="0"/>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DefaultText"/>
        <w:widowControl/>
        <w:overflowPunct w:val="true"/>
        <w:autoSpaceDE w:val="true"/>
        <w:textAlignment w:val="auto"/>
        <w:rPr>
          <w:szCs w:val="24"/>
        </w:rPr>
      </w:pPr>
      <w:r>
        <w:rPr>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r>
  </w:p>
  <w:p>
    <w:pPr>
      <w:pStyle w:val="Footer"/>
      <w:rPr>
        <w:sz w:val="16"/>
      </w:rPr>
    </w:pPr>
    <w:r>
      <w:rPr>
        <w:sz w:val="16"/>
      </w:rPr>
      <w:fldChar w:fldCharType="begin"/>
    </w:r>
    <w:r>
      <w:rPr>
        <w:sz w:val="16"/>
      </w:rPr>
      <w:instrText xml:space="preserve"> FILENAME </w:instrText>
    </w:r>
    <w:r>
      <w:rPr>
        <w:sz w:val="16"/>
      </w:rPr>
      <w:fldChar w:fldCharType="separate"/>
    </w:r>
    <w:r>
      <w:rPr>
        <w:sz w:val="16"/>
      </w:rPr>
      <w:t>EXHIBIT_B___MDEA_Trading_and_Risk_Policy_v10.doc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rPr>
        <w:i w:val="false"/>
        <w:b w:val="false"/>
      </w:rPr>
    </w:lvl>
  </w:abstractNum>
  <w:abstractNum w:abstractNumId="5">
    <w:lvl w:ilvl="0">
      <w:start w:val="2"/>
      <w:numFmt w:val="upperRoman"/>
      <w:lvlText w:val="%1."/>
      <w:lvlJc w:val="start"/>
      <w:pPr>
        <w:tabs>
          <w:tab w:val="num" w:pos="720"/>
        </w:tabs>
        <w:ind w:start="720" w:hanging="720"/>
      </w:pPr>
      <w:rPr>
        <w:u w:val="none"/>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1020"/>
        </w:tabs>
        <w:ind w:start="1020" w:hanging="360"/>
      </w:pPr>
      <w:rPr/>
    </w:lvl>
  </w:abstractNum>
  <w:abstractNum w:abstractNumId="8">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990" w:leader="none"/>
      </w:tabs>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b/>
      <w:sz w:val="32"/>
      <w:u w:val="single"/>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b/>
      <w:sz w:val="32"/>
    </w:rPr>
  </w:style>
  <w:style w:type="paragraph" w:styleId="Heading6">
    <w:name w:val="heading 6"/>
    <w:basedOn w:val="Normal"/>
    <w:next w:val="Normal"/>
    <w:qFormat/>
    <w:pPr>
      <w:keepNext w:val="true"/>
      <w:numPr>
        <w:ilvl w:val="0"/>
        <w:numId w:val="5"/>
      </w:numPr>
      <w:outlineLvl w:val="5"/>
    </w:pPr>
    <w:rPr>
      <w:b/>
      <w:bCs/>
      <w:u w:val="single"/>
    </w:rPr>
  </w:style>
  <w:style w:type="paragraph" w:styleId="Heading7">
    <w:name w:val="heading 7"/>
    <w:basedOn w:val="Normal"/>
    <w:next w:val="Normal"/>
    <w:qFormat/>
    <w:pPr>
      <w:keepNext w:val="true"/>
      <w:numPr>
        <w:ilvl w:val="6"/>
        <w:numId w:val="1"/>
      </w:numPr>
      <w:jc w:val="center"/>
      <w:outlineLvl w:val="6"/>
    </w:pPr>
    <w:rPr>
      <w:b/>
      <w:bCs/>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jc w:val="center"/>
      <w:outlineLvl w:val="8"/>
    </w:pPr>
    <w:rPr>
      <w:b/>
      <w:bCs/>
      <w:sz w:val="28"/>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rFonts w:ascii="Times New Roman" w:hAnsi="Times New Roman" w:cs="Times New Roman"/>
      <w:b w:val="false"/>
      <w:i w:val="false"/>
      <w:sz w:val="24"/>
      <w:u w:val="none"/>
    </w:rPr>
  </w:style>
  <w:style w:type="character" w:styleId="WW8Num58z0">
    <w:name w:val="WW8Num58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4z0">
    <w:name w:val="WW8Num94z0"/>
    <w:qFormat/>
    <w:rPr/>
  </w:style>
  <w:style w:type="character" w:styleId="WW8Num95z0">
    <w:name w:val="WW8Num95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b w:val="false"/>
      <w:i w:val="false"/>
    </w:rPr>
  </w:style>
  <w:style w:type="character" w:styleId="WW8Num103z0">
    <w:name w:val="WW8Num103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b w:val="false"/>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u w:val="non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u w:val="none"/>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Times New Roman Bold" w:hAnsi="Times New Roman Bold" w:cs="BauerBodoni-Bold;Arial Rounded MT Bold"/>
      <w:b/>
      <w:i w:val="false"/>
      <w:sz w:val="24"/>
    </w:rPr>
  </w:style>
  <w:style w:type="character" w:styleId="WW8Num123z1">
    <w:name w:val="WW8Num123z1"/>
    <w:qFormat/>
    <w:rPr>
      <w:rFonts w:ascii="Times New Roman" w:hAnsi="Times New Roman" w:cs="Times New Roman"/>
      <w:b w:val="false"/>
      <w:i w:val="false"/>
      <w:sz w:val="24"/>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b w:val="false"/>
      <w:i w:val="false"/>
    </w:rPr>
  </w:style>
  <w:style w:type="character" w:styleId="WW8Num137z2">
    <w:name w:val="WW8Num137z2"/>
    <w:qFormat/>
    <w:rPr/>
  </w:style>
  <w:style w:type="character" w:styleId="WW8Num138z0">
    <w:name w:val="WW8Num138z0"/>
    <w:qFormat/>
    <w:rPr/>
  </w:style>
  <w:style w:type="character" w:styleId="WW8Num139z0">
    <w:name w:val="WW8Num139z0"/>
    <w:qFormat/>
    <w:rPr>
      <w:b/>
    </w:rPr>
  </w:style>
  <w:style w:type="character" w:styleId="WW8Num140z0">
    <w:name w:val="WW8Num140z0"/>
    <w:qFormat/>
    <w:rPr>
      <w:rFonts w:ascii="Symbol" w:hAnsi="Symbol" w:cs="Symbol"/>
    </w:rPr>
  </w:style>
  <w:style w:type="character" w:styleId="WW8Num141z0">
    <w:name w:val="WW8Num141z0"/>
    <w:qFormat/>
    <w:rPr>
      <w:u w:val="none"/>
    </w:rPr>
  </w:style>
  <w:style w:type="character" w:styleId="WW8Num142z0">
    <w:name w:val="WW8Num142z0"/>
    <w:qFormat/>
    <w:rPr>
      <w:u w:val="none"/>
    </w:rPr>
  </w:style>
  <w:style w:type="character" w:styleId="WW8Num143z0">
    <w:name w:val="WW8Num143z0"/>
    <w:qFormat/>
    <w:rPr>
      <w:b w:val="false"/>
      <w:i w:val="false"/>
    </w:rPr>
  </w:style>
  <w:style w:type="character" w:styleId="WW8Num143z2">
    <w:name w:val="WW8Num143z2"/>
    <w:qFormat/>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val="false"/>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5z1">
    <w:name w:val="WW8Num155z1"/>
    <w:qFormat/>
    <w:rPr>
      <w:rFonts w:ascii="Times" w:hAnsi="Times" w:cs="Times"/>
      <w:b/>
      <w:i w:val="false"/>
      <w:sz w:val="24"/>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i w:val="false"/>
    </w:rPr>
  </w:style>
  <w:style w:type="character" w:styleId="WW8Num166z2">
    <w:name w:val="WW8Num166z2"/>
    <w:qFormat/>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b/>
    </w:rPr>
  </w:style>
  <w:style w:type="character" w:styleId="WW8Num188z0">
    <w:name w:val="WW8Num188z0"/>
    <w:qFormat/>
    <w:rPr/>
  </w:style>
  <w:style w:type="character" w:styleId="WW8Num189z0">
    <w:name w:val="WW8Num189z0"/>
    <w:qFormat/>
    <w:rPr/>
  </w:style>
  <w:style w:type="character" w:styleId="WW8Num190z0">
    <w:name w:val="WW8Num190z0"/>
    <w:qFormat/>
    <w:rPr>
      <w:u w:val="none"/>
    </w:rPr>
  </w:style>
  <w:style w:type="character" w:styleId="WW8Num192z0">
    <w:name w:val="WW8Num192z0"/>
    <w:qFormat/>
    <w:rPr>
      <w:u w:val="none"/>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b w:val="false"/>
      <w:i w:val="false"/>
    </w:rPr>
  </w:style>
  <w:style w:type="character" w:styleId="WW8Num198z1">
    <w:name w:val="WW8Num198z1"/>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u w:val="non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Times New Roman" w:hAnsi="Times New Roman" w:cs="Times New Roman"/>
      <w:b w:val="false"/>
      <w:i w:val="false"/>
      <w:sz w:val="24"/>
    </w:rPr>
  </w:style>
  <w:style w:type="character" w:styleId="WW8Num206z1">
    <w:name w:val="WW8Num206z1"/>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b/>
    </w:rPr>
  </w:style>
  <w:style w:type="character" w:styleId="WW8Num210z0">
    <w:name w:val="WW8Num210z0"/>
    <w:qFormat/>
    <w:rPr>
      <w:b w:val="false"/>
      <w:i w:val="false"/>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1z0">
    <w:name w:val="WW8Num221z0"/>
    <w:qFormat/>
    <w:rPr>
      <w:rFonts w:ascii="Symbol" w:hAnsi="Symbol" w:cs="Symbol"/>
    </w:rPr>
  </w:style>
  <w:style w:type="character" w:styleId="WW8Num222z0">
    <w:name w:val="WW8Num222z0"/>
    <w:qFormat/>
    <w:rPr/>
  </w:style>
  <w:style w:type="character" w:styleId="WW8Num222z1">
    <w:name w:val="WW8Num222z1"/>
    <w:qFormat/>
    <w:rPr>
      <w:b w:val="false"/>
      <w:i w:val="false"/>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b w:val="false"/>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b w:val="false"/>
      <w:i w:val="false"/>
      <w:caps/>
      <w:strike w:val="false"/>
      <w:dstrike w:val="false"/>
      <w:outline w:val="false"/>
      <w:shadow w:val="false"/>
      <w:vanish w:val="false"/>
      <w:color w:val="auto"/>
      <w:position w:val="0"/>
      <w:sz w:val="24"/>
      <w:u w:val="none"/>
      <w:vertAlign w:val="baseline"/>
    </w:rPr>
  </w:style>
  <w:style w:type="character" w:styleId="WW8Num232z1">
    <w:name w:val="WW8Num23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7z1">
    <w:name w:val="WW8Num237z1"/>
    <w:qFormat/>
    <w:rPr>
      <w:b w:val="false"/>
      <w:i w:val="false"/>
    </w:rPr>
  </w:style>
  <w:style w:type="character" w:styleId="WW8Num238z0">
    <w:name w:val="WW8Num238z0"/>
    <w:qFormat/>
    <w:rPr/>
  </w:style>
  <w:style w:type="character" w:styleId="WW8Num238z1">
    <w:name w:val="WW8Num238z1"/>
    <w:qFormat/>
    <w:rPr>
      <w:b w:val="false"/>
      <w:i w:val="false"/>
    </w:rPr>
  </w:style>
  <w:style w:type="character" w:styleId="WW8Num239z0">
    <w:name w:val="WW8Num239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1z0">
    <w:name w:val="WW8Num251z0"/>
    <w:qFormat/>
    <w:rPr>
      <w:b w:val="false"/>
    </w:rPr>
  </w:style>
  <w:style w:type="character" w:styleId="WW8Num253z0">
    <w:name w:val="WW8Num253z0"/>
    <w:qFormat/>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z w:val="24"/>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style>
  <w:style w:type="character" w:styleId="WW8Num267z1">
    <w:name w:val="WW8Num267z1"/>
    <w:qFormat/>
    <w:rPr>
      <w:rFonts w:ascii="Times New Roman" w:hAnsi="Times New Roman" w:cs="Times New Roman"/>
      <w:sz w:val="24"/>
    </w:rPr>
  </w:style>
  <w:style w:type="character" w:styleId="WW8Num268z0">
    <w:name w:val="WW8Num268z0"/>
    <w:qFormat/>
    <w:rPr>
      <w:u w:val="none"/>
    </w:rPr>
  </w:style>
  <w:style w:type="character" w:styleId="WW8Num269z0">
    <w:name w:val="WW8Num269z0"/>
    <w:qFormat/>
    <w:rPr/>
  </w:style>
  <w:style w:type="character" w:styleId="WW8Num269z1">
    <w:name w:val="WW8Num269z1"/>
    <w:qFormat/>
    <w:rPr>
      <w:b w:val="false"/>
      <w:i w:val="false"/>
    </w:rPr>
  </w:style>
  <w:style w:type="character" w:styleId="WW8Num270z0">
    <w:name w:val="WW8Num270z0"/>
    <w:qFormat/>
    <w:rPr/>
  </w:style>
  <w:style w:type="character" w:styleId="WW8Num271z0">
    <w:name w:val="WW8Num271z0"/>
    <w:qFormat/>
    <w:rPr>
      <w:rFonts w:ascii="Times New Roman" w:hAnsi="Times New Roman" w:cs="Times New Roman"/>
      <w:b w:val="false"/>
      <w:i w:val="false"/>
      <w:sz w:val="24"/>
    </w:rPr>
  </w:style>
  <w:style w:type="character" w:styleId="WW8Num271z1">
    <w:name w:val="WW8Num271z1"/>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style>
  <w:style w:type="character" w:styleId="WW8Num274z1">
    <w:name w:val="WW8Num274z1"/>
    <w:qFormat/>
    <w:rPr>
      <w:b w:val="false"/>
      <w:i w:val="false"/>
    </w:rPr>
  </w:style>
  <w:style w:type="character" w:styleId="WW8Num275z0">
    <w:name w:val="WW8Num275z0"/>
    <w:qFormat/>
    <w:rPr>
      <w:rFonts w:ascii="Times New Roman" w:hAnsi="Times New Roman" w:cs="Times New Roman"/>
      <w:b w:val="false"/>
      <w:i w:val="false"/>
      <w:sz w:val="24"/>
      <w:u w:val="none"/>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Times New Roman" w:hAnsi="Times New Roman" w:cs="Times New Roman"/>
      <w:b w:val="false"/>
      <w:i w:val="false"/>
      <w:sz w:val="24"/>
      <w:u w:val="none"/>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style>
  <w:style w:type="character" w:styleId="WW8Num310z0">
    <w:name w:val="WW8Num310z0"/>
    <w:qFormat/>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style>
  <w:style w:type="character" w:styleId="WW8Num317z0">
    <w:name w:val="WW8Num317z0"/>
    <w:qFormat/>
    <w:rPr/>
  </w:style>
  <w:style w:type="character" w:styleId="WW8Num318z0">
    <w:name w:val="WW8Num318z0"/>
    <w:qFormat/>
    <w:rPr>
      <w:rFonts w:ascii="Symbol" w:hAnsi="Symbol" w:cs="Symbol"/>
    </w:rPr>
  </w:style>
  <w:style w:type="character" w:styleId="WW8Num319z0">
    <w:name w:val="WW8Num319z0"/>
    <w:qFormat/>
    <w:rPr/>
  </w:style>
  <w:style w:type="character" w:styleId="WW8Num319z1">
    <w:name w:val="WW8Num319z1"/>
    <w:qFormat/>
    <w:rPr>
      <w:b w:val="false"/>
      <w:i w:val="false"/>
    </w:rPr>
  </w:style>
  <w:style w:type="character" w:styleId="WW8Num320z0">
    <w:name w:val="WW8Num320z0"/>
    <w:qFormat/>
    <w:rPr>
      <w:b w:val="false"/>
      <w:u w:val="none"/>
    </w:rPr>
  </w:style>
  <w:style w:type="character" w:styleId="WW8Num321z0">
    <w:name w:val="WW8Num321z0"/>
    <w:qFormat/>
    <w:rPr>
      <w:rFonts w:ascii="Times New Roman" w:hAnsi="Times New Roman" w:cs="Times New Roman"/>
      <w:b w:val="false"/>
      <w:i w:val="false"/>
      <w:sz w:val="24"/>
      <w:u w:val="none"/>
    </w:rPr>
  </w:style>
  <w:style w:type="character" w:styleId="WW8Num322z0">
    <w:name w:val="WW8Num322z0"/>
    <w:qFormat/>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6z0">
    <w:name w:val="WW8Num326z0"/>
    <w:qFormat/>
    <w:rPr>
      <w:b/>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rFonts w:ascii="Times New Roman" w:hAnsi="Times New Roman" w:cs="Times New Roman"/>
      <w:b/>
      <w:i w:val="false"/>
      <w:caps/>
      <w:sz w:val="24"/>
    </w:rPr>
  </w:style>
  <w:style w:type="character" w:styleId="WW8Num331z1">
    <w:name w:val="WW8Num331z1"/>
    <w:qFormat/>
    <w:rPr>
      <w:rFonts w:ascii="Times New Roman" w:hAnsi="Times New Roman" w:cs="Times New Roman"/>
      <w:b w:val="false"/>
      <w:i w:val="false"/>
      <w:sz w:val="24"/>
      <w:u w:val="none"/>
    </w:rPr>
  </w:style>
  <w:style w:type="character" w:styleId="WW8Num331z2">
    <w:name w:val="WW8Num331z2"/>
    <w:qFormat/>
    <w:rPr>
      <w:rFonts w:ascii="Times New Roman" w:hAnsi="Times New Roman" w:cs="Times New Roman"/>
      <w:b w:val="false"/>
      <w:i w:val="false"/>
      <w:sz w:val="24"/>
    </w:rPr>
  </w:style>
  <w:style w:type="character" w:styleId="WW8Num331z5">
    <w:name w:val="WW8Num331z5"/>
    <w:qFormat/>
    <w:rPr>
      <w:rFonts w:ascii="Times New Roman" w:hAnsi="Times New Roman" w:cs="Times New Roman"/>
      <w:b/>
      <w:i w:val="false"/>
      <w:sz w:val="24"/>
      <w:u w:val="none"/>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Wingdings" w:hAnsi="Wingdings" w:cs="Wingdings"/>
    </w:rPr>
  </w:style>
  <w:style w:type="character" w:styleId="WW8Num335z1">
    <w:name w:val="WW8Num335z1"/>
    <w:qFormat/>
    <w:rPr>
      <w:rFonts w:ascii="Courier New" w:hAnsi="Courier New" w:cs="Courier New"/>
    </w:rPr>
  </w:style>
  <w:style w:type="character" w:styleId="WW8Num335z3">
    <w:name w:val="WW8Num335z3"/>
    <w:qFormat/>
    <w:rPr>
      <w:rFonts w:ascii="Symbol" w:hAnsi="Symbol" w:cs="Symbol"/>
    </w:rPr>
  </w:style>
  <w:style w:type="character" w:styleId="WW8Num336z0">
    <w:name w:val="WW8Num336z0"/>
    <w:qFormat/>
    <w:rPr>
      <w:i w:val="false"/>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2z0">
    <w:name w:val="WW8Num342z0"/>
    <w:qFormat/>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2z0">
    <w:name w:val="WW8Num352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b w:val="false"/>
      <w:i w:val="false"/>
      <w:sz w:val="24"/>
    </w:rPr>
  </w:style>
  <w:style w:type="character" w:styleId="WW8Num366z1">
    <w:name w:val="WW8Num366z1"/>
    <w:qFormat/>
    <w:rPr/>
  </w:style>
  <w:style w:type="character" w:styleId="WW8Num367z0">
    <w:name w:val="WW8Num367z0"/>
    <w:qFormat/>
    <w:rPr>
      <w:rFonts w:ascii="Symbol" w:hAnsi="Symbol" w:cs="Symbol"/>
    </w:rPr>
  </w:style>
  <w:style w:type="character" w:styleId="WW8Num368z0">
    <w:name w:val="WW8Num368z0"/>
    <w:qFormat/>
    <w:rPr/>
  </w:style>
  <w:style w:type="character" w:styleId="WW8Num368z1">
    <w:name w:val="WW8Num368z1"/>
    <w:qFormat/>
    <w:rPr>
      <w:rFonts w:ascii="Times New Roman" w:hAnsi="Times New Roman" w:cs="Times New Roman"/>
      <w:sz w:val="24"/>
    </w:rPr>
  </w:style>
  <w:style w:type="character" w:styleId="WW8Num369z0">
    <w:name w:val="WW8Num369z0"/>
    <w:qFormat/>
    <w:rPr>
      <w:u w:val="single"/>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b w:val="false"/>
      <w:i w:val="false"/>
    </w:rPr>
  </w:style>
  <w:style w:type="character" w:styleId="WW8Num373z2">
    <w:name w:val="WW8Num373z2"/>
    <w:qFormat/>
    <w:rPr/>
  </w:style>
  <w:style w:type="character" w:styleId="WW8Num374z0">
    <w:name w:val="WW8Num374z0"/>
    <w:qFormat/>
    <w:rPr>
      <w:rFonts w:ascii="Symbol" w:hAnsi="Symbol" w:cs="Symbol"/>
    </w:rPr>
  </w:style>
  <w:style w:type="character" w:styleId="WW8Num375z0">
    <w:name w:val="WW8Num375z0"/>
    <w:qFormat/>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b w:val="false"/>
    </w:rPr>
  </w:style>
  <w:style w:type="character" w:styleId="WW8Num378z0">
    <w:name w:val="WW8Num378z0"/>
    <w:qFormat/>
    <w:rPr>
      <w:rFonts w:ascii="Wingdings" w:hAnsi="Wingdings" w:cs="Wingdings"/>
    </w:rPr>
  </w:style>
  <w:style w:type="character" w:styleId="WW8Num378z1">
    <w:name w:val="WW8Num378z1"/>
    <w:qFormat/>
    <w:rPr>
      <w:rFonts w:ascii="Courier New" w:hAnsi="Courier New" w:cs="Courier New"/>
    </w:rPr>
  </w:style>
  <w:style w:type="character" w:styleId="WW8Num378z3">
    <w:name w:val="WW8Num378z3"/>
    <w:qFormat/>
    <w:rPr>
      <w:rFonts w:ascii="Symbol" w:hAnsi="Symbol" w:cs="Symbol"/>
    </w:rPr>
  </w:style>
  <w:style w:type="character" w:styleId="WW8Num380z0">
    <w:name w:val="WW8Num380z0"/>
    <w:qFormat/>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4z0">
    <w:name w:val="WW8Num384z0"/>
    <w:qFormat/>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style>
  <w:style w:type="character" w:styleId="WW8Num388z0">
    <w:name w:val="WW8Num388z0"/>
    <w:qFormat/>
    <w:rPr/>
  </w:style>
  <w:style w:type="character" w:styleId="WW8Num389z0">
    <w:name w:val="WW8Num389z0"/>
    <w:qFormat/>
    <w:rPr/>
  </w:style>
  <w:style w:type="character" w:styleId="WW8Num390z0">
    <w:name w:val="WW8Num390z0"/>
    <w:qFormat/>
    <w:rPr/>
  </w:style>
  <w:style w:type="character" w:styleId="WW8Num391z0">
    <w:name w:val="WW8Num391z0"/>
    <w:qFormat/>
    <w:rPr/>
  </w:style>
  <w:style w:type="character" w:styleId="WW8Num391z1">
    <w:name w:val="WW8Num391z1"/>
    <w:qFormat/>
    <w:rPr>
      <w:b w:val="false"/>
      <w:i w:val="false"/>
    </w:rPr>
  </w:style>
  <w:style w:type="character" w:styleId="WW8Num392z0">
    <w:name w:val="WW8Num392z0"/>
    <w:qFormat/>
    <w:rPr/>
  </w:style>
  <w:style w:type="character" w:styleId="WW8Num393z0">
    <w:name w:val="WW8Num393z0"/>
    <w:qFormat/>
    <w:rPr/>
  </w:style>
  <w:style w:type="character" w:styleId="WW8Num394z0">
    <w:name w:val="WW8Num394z0"/>
    <w:qFormat/>
    <w:rPr/>
  </w:style>
  <w:style w:type="character" w:styleId="WW8Num395z0">
    <w:name w:val="WW8Num395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u w:val="none"/>
    </w:rPr>
  </w:style>
  <w:style w:type="character" w:styleId="WW8Num403z0">
    <w:name w:val="WW8Num403z0"/>
    <w:qFormat/>
    <w:rPr/>
  </w:style>
  <w:style w:type="character" w:styleId="WW8Num404z0">
    <w:name w:val="WW8Num404z0"/>
    <w:qFormat/>
    <w:rPr/>
  </w:style>
  <w:style w:type="character" w:styleId="WW8Num405z0">
    <w:name w:val="WW8Num405z0"/>
    <w:qFormat/>
    <w:rPr>
      <w:rFonts w:ascii="Symbol" w:hAnsi="Symbol" w:cs="Symbol"/>
    </w:rPr>
  </w:style>
  <w:style w:type="character" w:styleId="WW8Num406z0">
    <w:name w:val="WW8Num406z0"/>
    <w:qFormat/>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0z0">
    <w:name w:val="WW8Num410z0"/>
    <w:qFormat/>
    <w:rPr/>
  </w:style>
  <w:style w:type="character" w:styleId="WW8Num411z0">
    <w:name w:val="WW8Num411z0"/>
    <w:qFormat/>
    <w:rPr/>
  </w:style>
  <w:style w:type="character" w:styleId="WW8Num412z0">
    <w:name w:val="WW8Num412z0"/>
    <w:qFormat/>
    <w:rPr>
      <w:u w:val="none"/>
    </w:rPr>
  </w:style>
  <w:style w:type="character" w:styleId="WW8Num413z0">
    <w:name w:val="WW8Num413z0"/>
    <w:qFormat/>
    <w:rPr/>
  </w:style>
  <w:style w:type="character" w:styleId="WW8Num414z0">
    <w:name w:val="WW8Num414z0"/>
    <w:qFormat/>
    <w:rPr>
      <w:b w:val="false"/>
      <w:u w:val="none"/>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style>
  <w:style w:type="character" w:styleId="WW8Num425z0">
    <w:name w:val="WW8Num425z0"/>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color w:val="00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style>
  <w:style w:type="character" w:styleId="WW8Num434z0">
    <w:name w:val="WW8Num434z0"/>
    <w:qFormat/>
    <w:rPr>
      <w:b w:val="false"/>
      <w:i w:val="false"/>
    </w:rPr>
  </w:style>
  <w:style w:type="character" w:styleId="WW8Num434z2">
    <w:name w:val="WW8Num434z2"/>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style>
  <w:style w:type="character" w:styleId="WW8Num445z0">
    <w:name w:val="WW8Num445z0"/>
    <w:qFormat/>
    <w:rPr/>
  </w:style>
  <w:style w:type="character" w:styleId="WW8Num446z0">
    <w:name w:val="WW8Num446z0"/>
    <w:qFormat/>
    <w:rPr/>
  </w:style>
  <w:style w:type="character" w:styleId="WW8Num447z0">
    <w:name w:val="WW8Num447z0"/>
    <w:qFormat/>
    <w:rPr/>
  </w:style>
  <w:style w:type="character" w:styleId="WW8Num448z0">
    <w:name w:val="WW8Num448z0"/>
    <w:qFormat/>
    <w:rPr/>
  </w:style>
  <w:style w:type="character" w:styleId="WW8Num449z0">
    <w:name w:val="WW8Num449z0"/>
    <w:qFormat/>
    <w:rPr/>
  </w:style>
  <w:style w:type="character" w:styleId="WW8Num450z0">
    <w:name w:val="WW8Num450z0"/>
    <w:qFormat/>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style>
  <w:style w:type="character" w:styleId="WW8Num458z0">
    <w:name w:val="WW8Num458z0"/>
    <w:qFormat/>
    <w:rPr/>
  </w:style>
  <w:style w:type="character" w:styleId="WW8Num459z0">
    <w:name w:val="WW8Num459z0"/>
    <w:qFormat/>
    <w:rPr/>
  </w:style>
  <w:style w:type="character" w:styleId="WW8Num460z0">
    <w:name w:val="WW8Num460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val="false"/>
      <w:spacing w:before="120" w:after="120"/>
      <w:jc w:val="center"/>
    </w:pPr>
    <w:rPr>
      <w:b/>
      <w:kern w:val="2"/>
      <w:sz w:val="32"/>
      <w:szCs w:val="20"/>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Subtitle">
    <w:name w:val="Subtitle"/>
    <w:basedOn w:val="Normal"/>
    <w:next w:val="BodyText"/>
    <w:qFormat/>
    <w:pPr>
      <w:widowControl w:val="false"/>
      <w:spacing w:before="120" w:after="120"/>
      <w:jc w:val="center"/>
    </w:pPr>
    <w:rPr>
      <w:szCs w:val="20"/>
    </w:rPr>
  </w:style>
  <w:style w:type="paragraph" w:styleId="PlainText">
    <w:name w:val="Plain Text"/>
    <w:basedOn w:val="Normal"/>
    <w:qFormat/>
    <w:pPr/>
    <w:rPr>
      <w:rFonts w:ascii="Courier New" w:hAnsi="Courier New" w:cs="Courier New"/>
      <w:sz w:val="20"/>
      <w:szCs w:val="20"/>
      <w:lang w:val="en-CA" w:eastAsia="en-CA"/>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BodyTextIndent3">
    <w:name w:val="Body Text Indent 3"/>
    <w:basedOn w:val="Normal"/>
    <w:qFormat/>
    <w:pPr>
      <w:ind w:hanging="36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2001-06-28T12:23:00Z</dcterms:created>
  <dc:creator>David Fairley</dc:creator>
  <dc:description/>
  <dc:language>en-CA</dc:language>
  <cp:lastModifiedBy>David Fairley</cp:lastModifiedBy>
  <cp:lastPrinted>2001-06-28T10:17:00Z</cp:lastPrinted>
  <dcterms:modified xsi:type="dcterms:W3CDTF">2001-06-28T13:03:00Z</dcterms:modified>
  <cp:revision>3</cp:revision>
  <dc:subject/>
  <dc:title>EXHIBIT B</dc:title>
</cp:coreProperties>
</file>