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EXHIBIT B-5 </w:t>
      </w:r>
      <w:r>
        <w:rPr>
          <w:u w:val="single"/>
        </w:rPr>
        <w:t>LIQUIDATED DAMAGES</w:t>
      </w:r>
    </w:p>
    <w:p>
      <w:pPr>
        <w:pStyle w:val="BodyText2"/>
        <w:spacing w:lineRule="auto" w:line="240"/>
        <w:jc w:val="both"/>
        <w:rPr/>
      </w:pPr>
      <w:r>
        <w:rPr>
          <w:rStyle w:val="ParaNum"/>
        </w:rPr>
        <w:t>B.5.1</w:t>
      </w:r>
      <w:r>
        <w:rPr/>
        <w:tab/>
        <w:t>Document Delivery Liquidated Damages (per Section 10.1):</w:t>
      </w:r>
    </w:p>
    <w:p>
      <w:pPr>
        <w:pStyle w:val="Normal"/>
        <w:jc w:val="both"/>
        <w:rPr/>
      </w:pPr>
      <w:r>
        <w:rPr/>
        <w:tab/>
        <w:tab/>
        <w:t>1 through 30 days late - $500.00</w:t>
      </w:r>
    </w:p>
    <w:p>
      <w:pPr>
        <w:pStyle w:val="Normal"/>
        <w:jc w:val="both"/>
        <w:rPr/>
      </w:pPr>
      <w:r>
        <w:rPr/>
        <w:tab/>
        <w:tab/>
        <w:t>31 days and later - $1,000.00</w:t>
      </w:r>
    </w:p>
    <w:p>
      <w:pPr>
        <w:pStyle w:val="Normal"/>
        <w:jc w:val="both"/>
        <w:rPr/>
      </w:pPr>
      <w:r>
        <w:rPr/>
        <w:tab/>
        <w:tab/>
      </w:r>
    </w:p>
    <w:p>
      <w:pPr>
        <w:pStyle w:val="Normal"/>
        <w:jc w:val="both"/>
        <w:rPr/>
      </w:pPr>
      <w:r>
        <w:rPr/>
      </w:r>
    </w:p>
    <w:p>
      <w:pPr>
        <w:pStyle w:val="BodyText2"/>
        <w:spacing w:lineRule="auto" w:line="240"/>
        <w:jc w:val="both"/>
        <w:rPr/>
      </w:pPr>
      <w:r>
        <w:rPr>
          <w:rStyle w:val="ParaNum"/>
        </w:rPr>
        <w:t>B.5.2</w:t>
      </w:r>
      <w:r>
        <w:rPr/>
        <w:tab/>
        <w:t>Delivery Liquidated Damages (per Section 10.3.1):</w:t>
      </w:r>
    </w:p>
    <w:p>
      <w:pPr>
        <w:pStyle w:val="BodyText2"/>
        <w:spacing w:lineRule="auto" w:line="240"/>
        <w:jc w:val="both"/>
        <w:rPr/>
      </w:pPr>
      <w:r>
        <w:rPr/>
      </w:r>
    </w:p>
    <w:p>
      <w:pPr>
        <w:pStyle w:val="BodyText2"/>
        <w:spacing w:lineRule="auto" w:line="240"/>
        <w:jc w:val="both"/>
        <w:rPr/>
      </w:pPr>
      <w:r>
        <w:rPr/>
        <w:t>(a)  For each day that Seller is late is delivering one or more of the Major Components to the Delivery Point, Seller shall pay to Purchaser for each day after the Guaranteed Delivery Date until achieving Delivery of each of the Major Components Delivery Liquidated Damages at the following rate:</w:t>
      </w:r>
    </w:p>
    <w:p>
      <w:pPr>
        <w:pStyle w:val="Normal"/>
        <w:jc w:val="both"/>
        <w:rPr/>
      </w:pPr>
      <w:r>
        <w:rPr/>
        <w:tab/>
        <w:tab/>
        <w:t># Day Late</w:t>
        <w:tab/>
        <w:tab/>
        <w:tab/>
        <w:t>$/Day</w:t>
      </w:r>
    </w:p>
    <w:p>
      <w:pPr>
        <w:pStyle w:val="Normal"/>
        <w:jc w:val="both"/>
        <w:rPr/>
      </w:pPr>
      <w:r>
        <w:rPr>
          <w:rStyle w:val="ParaNum"/>
        </w:rPr>
        <w:tab/>
        <w:tab/>
        <w:t>1-30</w:t>
      </w:r>
      <w:r>
        <w:rPr/>
        <w:tab/>
        <w:tab/>
        <w:tab/>
        <w:tab/>
        <w:t>$15,000</w:t>
      </w:r>
    </w:p>
    <w:p>
      <w:pPr>
        <w:pStyle w:val="Normal"/>
        <w:jc w:val="both"/>
        <w:rPr/>
      </w:pPr>
      <w:r>
        <w:rPr>
          <w:rStyle w:val="ParaNum"/>
        </w:rPr>
        <w:tab/>
        <w:tab/>
        <w:t>31</w:t>
      </w:r>
      <w:r>
        <w:rPr/>
        <w:t xml:space="preserve"> +</w:t>
        <w:tab/>
        <w:tab/>
        <w:tab/>
        <w:tab/>
        <w:t>$25,000</w:t>
      </w:r>
    </w:p>
    <w:p>
      <w:pPr>
        <w:pStyle w:val="Normal"/>
        <w:jc w:val="both"/>
        <w:rPr/>
      </w:pPr>
      <w:r>
        <w:rPr/>
      </w:r>
    </w:p>
    <w:p>
      <w:pPr>
        <w:pStyle w:val="Normal"/>
        <w:numPr>
          <w:ilvl w:val="0"/>
          <w:numId w:val="2"/>
        </w:numPr>
        <w:jc w:val="both"/>
        <w:rPr/>
      </w:pPr>
      <w:r>
        <w:rPr/>
        <w:t>For each day that Seller is late is delivering a non Major Components to the Delivery Point and such non-Major Component lateness is shown by Purchaser to impede the continuous progress of installation or erection of the Unit, Seller shall pay to Purchaser for each day after the later of  (1) the Guaranteed Delivery Date, and (2) commencement of the impedance until achieving Delivery of each of such non Major Component at the following rate:</w:t>
      </w:r>
    </w:p>
    <w:p>
      <w:pPr>
        <w:pStyle w:val="Normal"/>
        <w:ind w:start="360" w:end="0"/>
        <w:jc w:val="both"/>
        <w:rPr/>
      </w:pPr>
      <w:r>
        <w:rPr/>
      </w:r>
    </w:p>
    <w:p>
      <w:pPr>
        <w:pStyle w:val="Normal"/>
        <w:ind w:start="735" w:end="0"/>
        <w:jc w:val="both"/>
        <w:rPr/>
      </w:pPr>
      <w:r>
        <w:rPr/>
        <w:t xml:space="preserve"># </w:t>
        <w:tab/>
        <w:t>Days Late</w:t>
        <w:tab/>
        <w:tab/>
        <w:tab/>
        <w:t>$/Day</w:t>
      </w:r>
    </w:p>
    <w:p>
      <w:pPr>
        <w:pStyle w:val="Normal"/>
        <w:numPr>
          <w:ilvl w:val="1"/>
          <w:numId w:val="1"/>
        </w:numPr>
        <w:jc w:val="both"/>
        <w:rPr>
          <w:rStyle w:val="ParaNum"/>
        </w:rPr>
      </w:pPr>
      <w:r>
        <w:rPr>
          <w:rStyle w:val="ParaNum"/>
        </w:rPr>
        <w:t>$2,500</w:t>
      </w:r>
    </w:p>
    <w:p>
      <w:pPr>
        <w:pStyle w:val="Normal"/>
        <w:ind w:start="1440" w:end="0"/>
        <w:jc w:val="both"/>
        <w:rPr/>
      </w:pPr>
      <w:r>
        <w:rPr>
          <w:rStyle w:val="ParaNum"/>
        </w:rPr>
        <w:t>31 +</w:t>
        <w:tab/>
        <w:tab/>
        <w:tab/>
        <w:tab/>
        <w:t>$5,000</w:t>
      </w:r>
    </w:p>
    <w:p>
      <w:pPr>
        <w:pStyle w:val="Normal"/>
        <w:jc w:val="both"/>
        <w:rPr>
          <w:rStyle w:val="ParaNum"/>
        </w:rPr>
      </w:pPr>
      <w:r>
        <w:rPr/>
      </w:r>
    </w:p>
    <w:p>
      <w:pPr>
        <w:pStyle w:val="Normal"/>
        <w:jc w:val="both"/>
        <w:rPr>
          <w:rStyle w:val="ParaNum"/>
          <w:b/>
          <w:bCs/>
        </w:rPr>
      </w:pPr>
      <w:r>
        <w:rPr>
          <w:rStyle w:val="ParaNum"/>
        </w:rPr>
        <w:tab/>
        <w:t>(c)  In the event that a Major Component  and a non Major Component are late on the same calendar day, the governing Delivery Liquidated Damage amount accessible for that day will be the rate applicable to the Major Component lateness.</w:t>
      </w:r>
    </w:p>
    <w:p>
      <w:pPr>
        <w:pStyle w:val="Normal"/>
        <w:jc w:val="both"/>
        <w:rPr>
          <w:rStyle w:val="ParaNum"/>
          <w:b/>
          <w:bCs/>
        </w:rPr>
      </w:pPr>
      <w:r>
        <w:rPr/>
      </w:r>
    </w:p>
    <w:p>
      <w:pPr>
        <w:pStyle w:val="Normal"/>
        <w:jc w:val="both"/>
        <w:rPr/>
      </w:pPr>
      <w:r>
        <w:rPr>
          <w:rStyle w:val="ParaNum"/>
        </w:rPr>
        <w:t>The following example is provided to illustrate the Section 10.3.1 provisions related to Major Component and non Major Component Delivery Liquidated Damages assessment.</w:t>
      </w:r>
    </w:p>
    <w:p>
      <w:pPr>
        <w:pStyle w:val="Normal"/>
        <w:jc w:val="both"/>
        <w:rPr>
          <w:rStyle w:val="ParaNum"/>
        </w:rPr>
      </w:pPr>
      <w:r>
        <w:rPr/>
      </w:r>
    </w:p>
    <w:p>
      <w:pPr>
        <w:pStyle w:val="BodyText2"/>
        <w:spacing w:lineRule="auto" w:line="240"/>
        <w:rPr/>
      </w:pPr>
      <w:r>
        <w:rPr/>
        <w:t xml:space="preserve">Example: </w:t>
      </w:r>
    </w:p>
    <w:p>
      <w:pPr>
        <w:pStyle w:val="BodyText2"/>
        <w:spacing w:lineRule="auto" w:line="240"/>
        <w:rPr/>
      </w:pPr>
      <w:r>
        <w:rPr/>
        <w:t xml:space="preserve"> </w:t>
      </w:r>
      <w:r>
        <w:rPr>
          <w:u w:val="single"/>
        </w:rPr>
        <w:t>Situation</w:t>
      </w:r>
      <w:r>
        <w:rPr/>
        <w:t xml:space="preserve">: </w:t>
      </w:r>
    </w:p>
    <w:p>
      <w:pPr>
        <w:pStyle w:val="BodyText2"/>
        <w:numPr>
          <w:ilvl w:val="3"/>
          <w:numId w:val="2"/>
        </w:numPr>
        <w:tabs>
          <w:tab w:val="left" w:pos="720" w:leader="none"/>
          <w:tab w:val="left" w:pos="3060" w:leader="none"/>
        </w:tabs>
        <w:spacing w:lineRule="auto" w:line="240"/>
        <w:ind w:hanging="0" w:start="0" w:end="0"/>
        <w:rPr/>
      </w:pPr>
      <w:r>
        <w:rPr/>
        <w:t xml:space="preserve">The Delivery Date of the last Major Component to the Delivery Point is thirty six (36) days after the Guaranteed Delivery Date.  </w:t>
      </w:r>
    </w:p>
    <w:p>
      <w:pPr>
        <w:pStyle w:val="BodyText2"/>
        <w:numPr>
          <w:ilvl w:val="3"/>
          <w:numId w:val="2"/>
        </w:numPr>
        <w:tabs>
          <w:tab w:val="left" w:pos="720" w:leader="none"/>
          <w:tab w:val="left" w:pos="3060" w:leader="none"/>
        </w:tabs>
        <w:spacing w:lineRule="auto" w:line="240"/>
        <w:ind w:hanging="0" w:start="0" w:end="0"/>
        <w:rPr/>
      </w:pPr>
      <w:r>
        <w:rPr/>
        <w:t>The Delivery Date of one non-Major Component to the Delivery Point is sixty (60) days after the Guaranteed Delivery Date.  The first late delivered non-Major Component did not impede installation until the thirtieth (30</w:t>
      </w:r>
      <w:r>
        <w:rPr>
          <w:vertAlign w:val="superscript"/>
        </w:rPr>
        <w:t>th</w:t>
      </w:r>
      <w:r>
        <w:rPr/>
        <w:t xml:space="preserve">) day after the Guaranteed Delivery Date.  </w:t>
      </w:r>
    </w:p>
    <w:p>
      <w:pPr>
        <w:pStyle w:val="BodyText2"/>
        <w:numPr>
          <w:ilvl w:val="3"/>
          <w:numId w:val="2"/>
        </w:numPr>
        <w:tabs>
          <w:tab w:val="left" w:pos="720" w:leader="none"/>
          <w:tab w:val="left" w:pos="3060" w:leader="none"/>
        </w:tabs>
        <w:spacing w:lineRule="auto" w:line="240"/>
        <w:ind w:hanging="0" w:start="0" w:end="0"/>
        <w:rPr/>
      </w:pPr>
      <w:r>
        <w:rPr/>
        <w:t>The Delivery Date of a second non-Major Component is seventy (70) days after the Guaranteed Delivery Date.  The second late delivered non-Major Component did not impede erection until the fiftieth (50</w:t>
      </w:r>
      <w:r>
        <w:rPr>
          <w:vertAlign w:val="superscript"/>
        </w:rPr>
        <w:t>th</w:t>
      </w:r>
      <w:r>
        <w:rPr/>
        <w:t xml:space="preserve">) day after the Guaranteed Delivery Date.  </w:t>
      </w:r>
    </w:p>
    <w:p>
      <w:pPr>
        <w:pStyle w:val="BodyText2"/>
        <w:tabs>
          <w:tab w:val="left" w:pos="720" w:leader="none"/>
        </w:tabs>
        <w:spacing w:lineRule="auto" w:line="240"/>
        <w:rPr/>
      </w:pPr>
      <w:r>
        <w:rPr/>
      </w:r>
    </w:p>
    <w:p>
      <w:pPr>
        <w:pStyle w:val="BodyText2"/>
        <w:tabs>
          <w:tab w:val="left" w:pos="720" w:leader="none"/>
        </w:tabs>
        <w:spacing w:lineRule="auto" w:line="240"/>
        <w:rPr/>
      </w:pPr>
      <w:r>
        <w:rPr/>
        <w:t>Delivery Liquidated Damages Calculation:</w:t>
      </w:r>
    </w:p>
    <w:p>
      <w:pPr>
        <w:pStyle w:val="BodyText2"/>
        <w:tabs>
          <w:tab w:val="left" w:pos="720" w:leader="none"/>
        </w:tabs>
        <w:spacing w:lineRule="auto" w:line="240"/>
        <w:rPr>
          <w:bCs/>
        </w:rPr>
      </w:pPr>
      <w:r>
        <w:rPr>
          <w:bCs/>
        </w:rPr>
        <w:t>Major Component:</w:t>
        <w:tab/>
        <w:tab/>
        <w:tab/>
        <w:t>30days x $15,000.00/day = $750,000.00</w:t>
      </w:r>
    </w:p>
    <w:p>
      <w:pPr>
        <w:pStyle w:val="BodyText2"/>
        <w:tabs>
          <w:tab w:val="left" w:pos="720" w:leader="none"/>
        </w:tabs>
        <w:spacing w:lineRule="auto" w:line="240"/>
        <w:rPr>
          <w:b/>
        </w:rPr>
      </w:pPr>
      <w:r>
        <w:rPr>
          <w:bCs/>
        </w:rPr>
        <w:tab/>
        <w:tab/>
        <w:tab/>
        <w:tab/>
        <w:tab/>
        <w:t xml:space="preserve"> 6days x $25,000/day=        $150,000.00</w:t>
      </w:r>
    </w:p>
    <w:p>
      <w:pPr>
        <w:pStyle w:val="BodyText2"/>
        <w:tabs>
          <w:tab w:val="left" w:pos="720" w:leader="none"/>
        </w:tabs>
        <w:spacing w:lineRule="auto" w:line="240"/>
        <w:rPr>
          <w:b/>
        </w:rPr>
      </w:pPr>
      <w:r>
        <w:rPr>
          <w:b/>
        </w:rPr>
      </w:r>
    </w:p>
    <w:p>
      <w:pPr>
        <w:pStyle w:val="Normal"/>
        <w:tabs>
          <w:tab w:val="left" w:pos="720" w:leader="none"/>
          <w:tab w:val="left" w:pos="1440" w:leader="none"/>
          <w:tab w:val="left" w:pos="2160" w:leader="none"/>
        </w:tabs>
        <w:ind w:hanging="2520" w:start="2520" w:end="0"/>
        <w:rPr>
          <w:sz w:val="22"/>
          <w:szCs w:val="22"/>
        </w:rPr>
      </w:pPr>
      <w:r>
        <w:rPr>
          <w:sz w:val="22"/>
          <w:szCs w:val="22"/>
        </w:rPr>
        <w:t>First non-Major Component:</w:t>
        <w:tab/>
        <w:tab/>
      </w:r>
    </w:p>
    <w:p>
      <w:pPr>
        <w:pStyle w:val="Normal"/>
        <w:tabs>
          <w:tab w:val="left" w:pos="720" w:leader="none"/>
          <w:tab w:val="left" w:pos="1440" w:leader="none"/>
          <w:tab w:val="left" w:pos="2160" w:leader="none"/>
          <w:tab w:val="left" w:pos="2880" w:leader="none"/>
          <w:tab w:val="left" w:pos="3600" w:leader="none"/>
          <w:tab w:val="left" w:pos="4320" w:leader="none"/>
        </w:tabs>
        <w:ind w:hanging="4680" w:start="4680" w:end="0"/>
        <w:rPr>
          <w:sz w:val="22"/>
          <w:szCs w:val="22"/>
        </w:rPr>
      </w:pPr>
      <w:r>
        <w:rPr>
          <w:sz w:val="22"/>
          <w:szCs w:val="22"/>
        </w:rPr>
        <w:tab/>
        <w:t>(Day 1 through 29): 29 days x $0.00/day</w:t>
        <w:tab/>
        <w:tab/>
        <w:t>=  $0.00 (no impedance)</w:t>
      </w:r>
    </w:p>
    <w:p>
      <w:pPr>
        <w:pStyle w:val="Normal"/>
        <w:tabs>
          <w:tab w:val="left" w:pos="720" w:leader="none"/>
          <w:tab w:val="left" w:pos="1440" w:leader="none"/>
          <w:tab w:val="left" w:pos="2160" w:leader="none"/>
          <w:tab w:val="left" w:pos="2880" w:leader="none"/>
          <w:tab w:val="left" w:pos="3600" w:leader="none"/>
          <w:tab w:val="left" w:pos="4320" w:leader="none"/>
        </w:tabs>
        <w:ind w:hanging="5040" w:start="5040" w:end="0"/>
        <w:rPr>
          <w:sz w:val="22"/>
          <w:szCs w:val="22"/>
        </w:rPr>
      </w:pPr>
      <w:r>
        <w:rPr>
          <w:sz w:val="22"/>
          <w:szCs w:val="22"/>
        </w:rPr>
        <w:tab/>
        <w:t>(Day 30 through 35): 6 days x $0.00/day</w:t>
        <w:tab/>
        <w:t>=  $0.00 (concurrent lateness with Major Component Delay)</w:t>
      </w:r>
    </w:p>
    <w:p>
      <w:pPr>
        <w:pStyle w:val="Normal"/>
        <w:tabs>
          <w:tab w:val="left" w:pos="720" w:leader="none"/>
          <w:tab w:val="left" w:pos="1440" w:leader="none"/>
          <w:tab w:val="left" w:pos="2160" w:leader="none"/>
          <w:tab w:val="left" w:pos="2880" w:leader="none"/>
          <w:tab w:val="left" w:pos="3600" w:leader="none"/>
          <w:tab w:val="left" w:pos="4320" w:leader="none"/>
        </w:tabs>
        <w:ind w:hanging="4680" w:start="4680" w:end="0"/>
        <w:rPr>
          <w:sz w:val="22"/>
          <w:szCs w:val="22"/>
        </w:rPr>
      </w:pPr>
      <w:r>
        <w:rPr>
          <w:sz w:val="22"/>
          <w:szCs w:val="22"/>
        </w:rPr>
        <w:tab/>
        <w:t xml:space="preserve">(Day 37 through 60): </w:t>
        <w:tab/>
        <w:t>23days  x $5,000/day</w:t>
        <w:tab/>
        <w:t>=  $115,000</w:t>
      </w:r>
    </w:p>
    <w:p>
      <w:pPr>
        <w:pStyle w:val="Normal"/>
        <w:rPr>
          <w:sz w:val="22"/>
          <w:szCs w:val="22"/>
        </w:rPr>
      </w:pPr>
      <w:r>
        <w:rPr>
          <w:sz w:val="22"/>
          <w:szCs w:val="22"/>
        </w:rPr>
      </w:r>
    </w:p>
    <w:p>
      <w:pPr>
        <w:pStyle w:val="Normal"/>
        <w:rPr>
          <w:sz w:val="22"/>
          <w:szCs w:val="22"/>
        </w:rPr>
      </w:pPr>
      <w:r>
        <w:rPr>
          <w:sz w:val="22"/>
          <w:szCs w:val="22"/>
        </w:rPr>
        <w:t>Second non-Major Component:</w:t>
        <w:tab/>
      </w:r>
    </w:p>
    <w:p>
      <w:pPr>
        <w:pStyle w:val="Normal"/>
        <w:tabs>
          <w:tab w:val="left" w:pos="720" w:leader="none"/>
          <w:tab w:val="left" w:pos="1440" w:leader="none"/>
          <w:tab w:val="left" w:pos="2160" w:leader="none"/>
          <w:tab w:val="left" w:pos="2880" w:leader="none"/>
          <w:tab w:val="left" w:pos="3600" w:leader="none"/>
          <w:tab w:val="left" w:pos="4320" w:leader="none"/>
        </w:tabs>
        <w:ind w:hanging="4680" w:start="4680" w:end="0"/>
        <w:rPr>
          <w:sz w:val="22"/>
          <w:szCs w:val="22"/>
        </w:rPr>
      </w:pPr>
      <w:r>
        <w:rPr>
          <w:sz w:val="22"/>
          <w:szCs w:val="22"/>
        </w:rPr>
        <w:tab/>
        <w:t>(Day 1 through 49): 49  x $0.00</w:t>
        <w:tab/>
        <w:tab/>
        <w:t>=  $0.00 (no impedance)</w:t>
      </w:r>
    </w:p>
    <w:p>
      <w:pPr>
        <w:pStyle w:val="Normal"/>
        <w:tabs>
          <w:tab w:val="left" w:pos="720" w:leader="none"/>
          <w:tab w:val="left" w:pos="1440" w:leader="none"/>
          <w:tab w:val="left" w:pos="2160" w:leader="none"/>
          <w:tab w:val="left" w:pos="2880" w:leader="none"/>
          <w:tab w:val="left" w:pos="3600" w:leader="none"/>
          <w:tab w:val="left" w:pos="4320" w:leader="none"/>
        </w:tabs>
        <w:ind w:hanging="4680" w:start="4680" w:end="0"/>
        <w:rPr>
          <w:sz w:val="22"/>
          <w:szCs w:val="22"/>
        </w:rPr>
      </w:pPr>
      <w:r>
        <w:rPr>
          <w:sz w:val="22"/>
          <w:szCs w:val="22"/>
        </w:rPr>
        <w:tab/>
        <w:t>(Day 50 through 70) 20days x $5,000</w:t>
        <w:tab/>
        <w:t>=  $100,000.00 (concurrent lateness)</w:t>
      </w:r>
    </w:p>
    <w:p>
      <w:pPr>
        <w:pStyle w:val="Normal"/>
        <w:tabs>
          <w:tab w:val="left" w:pos="720" w:leader="none"/>
          <w:tab w:val="left" w:pos="1440" w:leader="none"/>
          <w:tab w:val="left" w:pos="2160" w:leader="none"/>
          <w:tab w:val="left" w:pos="2880" w:leader="none"/>
          <w:tab w:val="left" w:pos="3600" w:leader="none"/>
          <w:tab w:val="left" w:pos="4320" w:leader="none"/>
        </w:tabs>
        <w:ind w:hanging="4680" w:start="4680" w:end="0"/>
        <w:rPr>
          <w:sz w:val="22"/>
          <w:szCs w:val="22"/>
        </w:rPr>
      </w:pPr>
      <w:r>
        <w:rPr>
          <w:sz w:val="22"/>
          <w:szCs w:val="22"/>
        </w:rPr>
        <w:tab/>
      </w:r>
    </w:p>
    <w:p>
      <w:pPr>
        <w:pStyle w:val="Normal"/>
        <w:rPr>
          <w:sz w:val="22"/>
          <w:szCs w:val="22"/>
        </w:rPr>
      </w:pPr>
      <w:r>
        <w:rPr>
          <w:sz w:val="22"/>
          <w:szCs w:val="22"/>
        </w:rPr>
      </w:r>
    </w:p>
    <w:p>
      <w:pPr>
        <w:pStyle w:val="BodyText2"/>
        <w:tabs>
          <w:tab w:val="left" w:pos="720" w:leader="none"/>
        </w:tabs>
        <w:spacing w:lineRule="auto" w:line="240"/>
        <w:rPr>
          <w:b/>
        </w:rPr>
      </w:pPr>
      <w:r>
        <w:rPr>
          <w:sz w:val="22"/>
          <w:szCs w:val="22"/>
        </w:rPr>
        <w:tab/>
        <w:t>Total Delivery Liquidated Damages due</w:t>
        <w:tab/>
        <w:t>= $1,115,000</w:t>
      </w:r>
    </w:p>
    <w:p>
      <w:pPr>
        <w:pStyle w:val="Normal"/>
        <w:tabs>
          <w:tab w:val="left" w:pos="720" w:leader="none"/>
        </w:tabs>
        <w:jc w:val="both"/>
        <w:rPr/>
      </w:pPr>
      <w:r>
        <w:rPr>
          <w:rStyle w:val="ParaNum"/>
          <w:b/>
          <w:bCs/>
        </w:rPr>
        <w:t>]</w:t>
      </w:r>
    </w:p>
    <w:p>
      <w:pPr>
        <w:pStyle w:val="Normal"/>
        <w:tabs>
          <w:tab w:val="left" w:pos="720" w:leader="none"/>
        </w:tabs>
        <w:jc w:val="both"/>
        <w:rPr>
          <w:rStyle w:val="ParaNum"/>
          <w:bCs/>
        </w:rPr>
      </w:pPr>
      <w:r>
        <w:rPr/>
      </w:r>
    </w:p>
    <w:p>
      <w:pPr>
        <w:pStyle w:val="Normal"/>
        <w:tabs>
          <w:tab w:val="left" w:pos="720" w:leader="none"/>
        </w:tabs>
        <w:rPr>
          <w:rStyle w:val="ParaNum"/>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2880"/>
        </w:tabs>
        <w:ind w:start="2880" w:hanging="2880"/>
      </w:pPr>
      <w:rPr/>
    </w:lvl>
    <w:lvl w:ilvl="1">
      <w:start w:val="30"/>
      <w:numFmt w:val="decimal"/>
      <w:lvlText w:val="%1-%2"/>
      <w:lvlJc w:val="start"/>
      <w:pPr>
        <w:tabs>
          <w:tab w:val="num" w:pos="4320"/>
        </w:tabs>
        <w:ind w:start="4320" w:hanging="2880"/>
      </w:pPr>
      <w:rPr/>
    </w:lvl>
    <w:lvl w:ilvl="2">
      <w:start w:val="1"/>
      <w:numFmt w:val="decimal"/>
      <w:lvlText w:val="%1-%2.%3"/>
      <w:lvlJc w:val="start"/>
      <w:pPr>
        <w:tabs>
          <w:tab w:val="num" w:pos="5760"/>
        </w:tabs>
        <w:ind w:start="5760" w:hanging="2880"/>
      </w:pPr>
      <w:rPr/>
    </w:lvl>
    <w:lvl w:ilvl="3">
      <w:start w:val="1"/>
      <w:numFmt w:val="decimal"/>
      <w:lvlText w:val="%1-%2.%3.%4"/>
      <w:lvlJc w:val="start"/>
      <w:pPr>
        <w:tabs>
          <w:tab w:val="num" w:pos="7200"/>
        </w:tabs>
        <w:ind w:start="7200" w:hanging="2880"/>
      </w:pPr>
      <w:rPr/>
    </w:lvl>
    <w:lvl w:ilvl="4">
      <w:start w:val="1"/>
      <w:numFmt w:val="decimal"/>
      <w:lvlText w:val="%1-%2.%3.%4.%5"/>
      <w:lvlJc w:val="start"/>
      <w:pPr>
        <w:tabs>
          <w:tab w:val="num" w:pos="8640"/>
        </w:tabs>
        <w:ind w:start="8640" w:hanging="2880"/>
      </w:pPr>
      <w:rPr/>
    </w:lvl>
    <w:lvl w:ilvl="5">
      <w:start w:val="1"/>
      <w:numFmt w:val="decimal"/>
      <w:lvlText w:val="%1-%2.%3.%4.%5.%6"/>
      <w:lvlJc w:val="start"/>
      <w:pPr>
        <w:tabs>
          <w:tab w:val="num" w:pos="10080"/>
        </w:tabs>
        <w:ind w:start="10080" w:hanging="2880"/>
      </w:pPr>
      <w:rPr/>
    </w:lvl>
    <w:lvl w:ilvl="6">
      <w:start w:val="1"/>
      <w:numFmt w:val="decimal"/>
      <w:lvlText w:val="%1-%2.%3.%4.%5.%6.%7"/>
      <w:lvlJc w:val="start"/>
      <w:pPr>
        <w:tabs>
          <w:tab w:val="num" w:pos="11520"/>
        </w:tabs>
        <w:ind w:start="11520" w:hanging="2880"/>
      </w:pPr>
      <w:rPr/>
    </w:lvl>
    <w:lvl w:ilvl="7">
      <w:start w:val="1"/>
      <w:numFmt w:val="decimal"/>
      <w:lvlText w:val="%1-%2.%3.%4.%5.%6.%7.%8"/>
      <w:lvlJc w:val="start"/>
      <w:pPr>
        <w:tabs>
          <w:tab w:val="num" w:pos="12960"/>
        </w:tabs>
        <w:ind w:start="12960" w:hanging="2880"/>
      </w:pPr>
      <w:rPr/>
    </w:lvl>
    <w:lvl w:ilvl="8">
      <w:start w:val="1"/>
      <w:numFmt w:val="decimal"/>
      <w:lvlText w:val="%1-%2.%3.%4.%5.%6.%7.%8.%9"/>
      <w:lvlJc w:val="start"/>
      <w:pPr>
        <w:tabs>
          <w:tab w:val="num" w:pos="14400"/>
        </w:tabs>
        <w:ind w:start="14400" w:hanging="2880"/>
      </w:pPr>
      <w:rPr/>
    </w:lvl>
  </w:abstractNum>
  <w:abstractNum w:abstractNumId="2">
    <w:lvl w:ilvl="0">
      <w:start w:val="2"/>
      <w:numFmt w:val="lowerLetter"/>
      <w:lvlText w:val="(%1)"/>
      <w:lvlJc w:val="start"/>
      <w:pPr>
        <w:tabs>
          <w:tab w:val="num" w:pos="735"/>
        </w:tabs>
        <w:ind w:start="735" w:hanging="375"/>
      </w:pPr>
      <w:rPr/>
    </w:lvl>
    <w:lvl w:ilvl="1">
      <w:start w:val="1"/>
      <w:numFmt w:val="lowerLetter"/>
      <w:lvlText w:val="%2."/>
      <w:lvlJc w:val="start"/>
      <w:pPr>
        <w:tabs>
          <w:tab w:val="num" w:pos="1440"/>
        </w:tabs>
        <w:ind w:start="1440" w:hanging="360"/>
      </w:pPr>
    </w:lvl>
    <w:lvl w:ilvl="2">
      <w:start w:val="1"/>
      <w:numFmt w:val="decimal"/>
      <w:lvlText w:val="(%3)"/>
      <w:lvlJc w:val="start"/>
      <w:pPr>
        <w:tabs>
          <w:tab w:val="num" w:pos="2340"/>
        </w:tabs>
        <w:ind w:start="2340" w:hanging="360"/>
      </w:pPr>
      <w:rPr/>
    </w:lvl>
    <w:lvl w:ilvl="3">
      <w:start w:val="3"/>
      <w:numFmt w:val="bullet"/>
      <w:lvlText w:val="-"/>
      <w:lvlJc w:val="start"/>
      <w:pPr>
        <w:tabs>
          <w:tab w:val="num" w:pos="2880"/>
        </w:tabs>
        <w:ind w:start="2880" w:hanging="360"/>
      </w:pPr>
      <w:rPr>
        <w:rFonts w:ascii="Times New Roman" w:hAnsi="Times New Roman" w:cs="Times New Roman" w:hint="default"/>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4"/>
      <w:lang w:val="en-US" w:bidi="ar-SA" w:eastAsia="zh-CN"/>
    </w:rPr>
  </w:style>
  <w:style w:type="character" w:styleId="WW8Num1z0">
    <w:name w:val="WW8Num1z0"/>
    <w:qFormat/>
    <w:rPr/>
  </w:style>
  <w:style w:type="character" w:styleId="WW8Num2z0">
    <w:name w:val="WW8Num2z0"/>
    <w:qFormat/>
    <w:rPr/>
  </w:style>
  <w:style w:type="character" w:styleId="WW8Num2z3">
    <w:name w:val="WW8Num2z3"/>
    <w:qFormat/>
    <w:rPr>
      <w:rFonts w:ascii="Times New Roman" w:hAnsi="Times New Roman" w:eastAsia="Times New Roman" w:cs="Times New Roman"/>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paragraph" w:styleId="Heading">
    <w:name w:val="Heading"/>
    <w:basedOn w:val="BodyText"/>
    <w:next w:val="Normal"/>
    <w:qFormat/>
    <w:pPr>
      <w:spacing w:before="0" w:after="240"/>
      <w:jc w:val="center"/>
    </w:pPr>
    <w:rPr>
      <w:rFonts w:ascii="Times New Roman" w:hAnsi="Times New Roman" w:cs="Arial"/>
      <w:b/>
      <w:bCs/>
      <w:caps/>
      <w:sz w:val="24"/>
      <w:szCs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480" w:before="0" w:after="120"/>
    </w:pPr>
    <w:rPr>
      <w:rFonts w:ascii="Times New Roman" w:hAnsi="Times New Roman" w:cs="Times New Roman"/>
      <w:sz w:val="24"/>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2001-06-05T19:03:00Z</dcterms:created>
  <dc:creator>John Rigby</dc:creator>
  <dc:description/>
  <dc:language>en-CA</dc:language>
  <cp:lastModifiedBy>John Rigby</cp:lastModifiedBy>
  <cp:lastPrinted>2001-06-05T16:36:00Z</cp:lastPrinted>
  <dcterms:modified xsi:type="dcterms:W3CDTF">2001-06-05T20:50:00Z</dcterms:modified>
  <cp:revision>2</cp:revision>
  <dc:subject/>
  <dc:title>EXHIBIT B-5 LIQUIDATED DAMAGES</dc:title>
</cp:coreProperties>
</file>