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emf" ContentType="image/x-e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sectPr>
          <w:type w:val="nextPage"/>
          <w:pgSz w:w="12240" w:h="15840"/>
          <w:pgMar w:left="1800" w:right="1800" w:gutter="0" w:header="0" w:top="1440" w:footer="0" w:bottom="1440"/>
          <w:pgNumType w:fmt="decimal"/>
          <w:formProt w:val="false"/>
          <w:textDirection w:val="lrTb"/>
        </w:sectPr>
        <w:pStyle w:val="Normal"/>
        <w:rPr/>
      </w:pPr>
      <w:r>
        <w:rPr/>
        <w:drawing>
          <wp:inline distT="0" distB="0" distL="0" distR="0">
            <wp:extent cx="5480050" cy="74930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49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31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5364"/>
        <w:gridCol w:w="5364"/>
      </w:tblGrid>
      <w:tr>
        <w:trPr>
          <w:tblHeader w:val="true"/>
        </w:trPr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Consumer Protection Measure</w:t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Electric Provision  D 98-03-072</w:t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Gas Provision  D 99-07-015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Pending Legislation to PU Code Section 328.5</w:t>
            </w:r>
          </w:p>
        </w:tc>
      </w:tr>
      <w:tr>
        <w:trPr/>
        <w:tc>
          <w:tcPr>
            <w:tcW w:w="24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Bill Format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Standard Bill Format</w:t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 All charges that are required to appear on the UDC’s bill must also appear on the ESP’s consolidated bill.</w:t>
            </w:r>
            <w:r>
              <w:rPr>
                <w:sz w:val="16"/>
                <w:szCs w:val="16"/>
              </w:rPr>
              <w:t xml:space="preserve"> 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(D.98-03-072, p.96)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 xml:space="preserve">B.  </w:t>
            </w:r>
            <w:r>
              <w:rPr>
                <w:sz w:val="20"/>
                <w:szCs w:val="20"/>
              </w:rPr>
              <w:t>All bills shall contain sufficient detail for the customer to recalculate the bill for accuracy.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(D.98-03-072, p.96)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All bill formats will include the following information:            </w:t>
            </w:r>
            <w:r>
              <w:rPr>
                <w:sz w:val="16"/>
                <w:szCs w:val="16"/>
              </w:rPr>
              <w:t>(D 98-03-072, p  96)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name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number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 meter number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days in the billing cycle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 usage in kWh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possible, prior and current meter read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36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payment is due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 xml:space="preserve">J.  </w:t>
            </w:r>
            <w:r>
              <w:rPr>
                <w:sz w:val="20"/>
                <w:szCs w:val="20"/>
              </w:rPr>
              <w:t>The bill format shall include the charge for the cost of the electricity in cents-per-kilowatt hour.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(D.98-03-072, p.96)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K.  </w:t>
            </w:r>
            <w:r>
              <w:rPr>
                <w:sz w:val="20"/>
                <w:szCs w:val="20"/>
              </w:rPr>
              <w:t xml:space="preserve">The bill format shall include an area for “Other Charges”.  There should be a descriptive heading for each charge.  Any fees are to be separately stated on the bill.  </w:t>
            </w:r>
            <w:r>
              <w:rPr>
                <w:sz w:val="16"/>
                <w:szCs w:val="16"/>
              </w:rPr>
              <w:t>(D 98-03-072, p.97)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Bills must contain “customer rights” information, including:   </w:t>
            </w:r>
            <w:r>
              <w:rPr>
                <w:sz w:val="16"/>
                <w:szCs w:val="16"/>
              </w:rPr>
              <w:t>(D 98-03-072, p.97)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bill is considered past due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deposit that can be requested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Summary of complaint procedures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36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that service cannot be discontinued over a billing dispute if the customer deposits the disputed amount in an escrow account and files a complaint with the CPUC.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number customers may call for billing inquiries or complaints.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36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36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36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20"/>
                <w:tab w:val="left" w:pos="0" w:leader="none"/>
              </w:tabs>
              <w:ind w:hanging="360" w:start="720" w:end="0"/>
              <w:rPr/>
            </w:pPr>
            <w:r>
              <w:rPr>
                <w:sz w:val="20"/>
                <w:szCs w:val="20"/>
              </w:rPr>
              <w:t xml:space="preserve">A description of the availability of low-income assistance programs for qualified customers and how customers can apply for these programs      </w:t>
            </w:r>
            <w:r>
              <w:rPr>
                <w:sz w:val="16"/>
                <w:szCs w:val="16"/>
              </w:rPr>
              <w:t>(D 98-03-072, p.76)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 xml:space="preserve">R.  </w:t>
            </w:r>
            <w:r>
              <w:rPr>
                <w:sz w:val="20"/>
                <w:szCs w:val="20"/>
              </w:rPr>
              <w:t xml:space="preserve">If bills contain charges for services unrelated to the sale of electricity, these charges will appear in a separate area on the bill and they will be separately itemized with a descriptive heading.  </w:t>
            </w:r>
            <w:r>
              <w:rPr>
                <w:sz w:val="16"/>
                <w:szCs w:val="16"/>
              </w:rPr>
              <w:t>(D 98-03-072, p.97, 98)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S.  </w:t>
            </w:r>
            <w:r>
              <w:rPr>
                <w:sz w:val="20"/>
                <w:szCs w:val="20"/>
              </w:rPr>
              <w:t xml:space="preserve">Electrical corporations are to provide a conspicuous notice that if the customer elects to purchase electricity from another provider that they will continue to be liable for payment of CTCs.  </w:t>
            </w:r>
            <w:r>
              <w:rPr>
                <w:sz w:val="16"/>
                <w:szCs w:val="16"/>
              </w:rPr>
              <w:t>(D 98-03-072, p 95)</w:t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 No discussion on this issue.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 xml:space="preserve">B.  </w:t>
            </w:r>
            <w:r>
              <w:rPr>
                <w:sz w:val="20"/>
                <w:szCs w:val="20"/>
              </w:rPr>
              <w:t>No discussion on this issue.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Required elements of bills for CTAs and utilities include:          </w:t>
            </w:r>
            <w:r>
              <w:rPr>
                <w:sz w:val="16"/>
                <w:szCs w:val="16"/>
              </w:rPr>
              <w:t>(D 99-07-015, p 116, 117)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name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Account number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Meter number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Billing period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Commodity usage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and prior meter reads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36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Payment due date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 xml:space="preserve">J.  </w:t>
            </w:r>
            <w:r>
              <w:rPr>
                <w:sz w:val="20"/>
                <w:szCs w:val="20"/>
              </w:rPr>
              <w:t>Commission staff recommended the requirement of a per unit price ($/Therm) in the standard bill format.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(D 98-08-030, p 14)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 xml:space="preserve">K.  </w:t>
            </w:r>
            <w:r>
              <w:rPr>
                <w:sz w:val="20"/>
                <w:szCs w:val="20"/>
              </w:rPr>
              <w:t xml:space="preserve">Description and itemization of charges for other services including unbundled services for consolidated billing, taxes, fees, etc.  Late fees are to be separately stated on the bill.         </w:t>
            </w:r>
            <w:r>
              <w:rPr>
                <w:sz w:val="16"/>
                <w:szCs w:val="16"/>
              </w:rPr>
              <w:t>(D 99-07-015, p 117)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sz w:val="20"/>
                <w:szCs w:val="20"/>
              </w:rPr>
              <w:t xml:space="preserve">Bills must also include:  </w:t>
            </w:r>
            <w:r>
              <w:rPr>
                <w:sz w:val="16"/>
                <w:szCs w:val="16"/>
              </w:rPr>
              <w:t>(D 99-07-015, p 117)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discussed</w:t>
            </w:r>
            <w:r>
              <w:rPr/>
              <w:t>.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Deposit requirement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Complaint procedures for CTA and the CPUC including information on how to contact the CPUC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provision was briefly mentioned by not explicitly mandated as a billing requirement.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36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72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 number and descriptor about who to call regarding inquiries or complaints.  Entities providing consolidated billing must provide the information of both the CTA and the utility.  </w:t>
            </w:r>
          </w:p>
          <w:p>
            <w:pPr>
              <w:pStyle w:val="Normal"/>
              <w:numPr>
                <w:ilvl w:val="0"/>
                <w:numId w:val="0"/>
              </w:numPr>
              <w:ind w:hanging="0" w:start="36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clear" w:pos="720"/>
                <w:tab w:val="left" w:pos="0" w:leader="none"/>
              </w:tabs>
              <w:ind w:hanging="360" w:start="720" w:end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Availability and applicability of low-income programs.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 xml:space="preserve">R.  </w:t>
            </w:r>
            <w:r>
              <w:rPr>
                <w:sz w:val="20"/>
                <w:szCs w:val="20"/>
              </w:rPr>
              <w:t>No specific discussion on this issue.  Partially covered under the discussion of “charges for other services,” above.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sz w:val="20"/>
                <w:szCs w:val="20"/>
              </w:rPr>
              <w:t xml:space="preserve">S.  </w:t>
            </w:r>
            <w:r>
              <w:rPr>
                <w:sz w:val="20"/>
                <w:szCs w:val="20"/>
              </w:rPr>
              <w:t>Not discussed and currently not applicable for gas service customers.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3"/>
      <w:footerReference w:type="default" r:id="rId4"/>
      <w:type w:val="nextPage"/>
      <w:pgSz w:orient="landscape" w:w="15840" w:h="12240"/>
      <w:pgMar w:left="1440" w:right="1440" w:gutter="0" w:header="720" w:top="1530" w:footer="72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/>
        <w:bCs/>
      </w:rPr>
    </w:pPr>
    <w:r>
      <w:rPr>
        <w:b/>
        <w:bCs/>
      </w:rPr>
      <w:tab/>
      <w:t>Subject to Rule 51 of the CPUC Rules of Practice and procedure.</w:t>
    </w:r>
  </w:p>
  <w:p>
    <w:pPr>
      <w:pStyle w:val="Footer"/>
      <w:jc w:val="center"/>
      <w:rPr/>
    </w:pPr>
    <w:r>
      <w:rPr/>
      <w:t>PG&amp;E, April 2000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Consumer Protection Comparison</w:t>
    </w:r>
  </w:p>
  <w:p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Electric Verses Gas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upp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3"/>
      <w:numFmt w:val="upperLetter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2000-04-14T20:01:00Z</dcterms:created>
  <dc:creator>Hemant Agrawal</dc:creator>
  <dc:description/>
  <dc:language>en-CA</dc:language>
  <cp:lastModifiedBy>Hemant Agrawal</cp:lastModifiedBy>
  <cp:lastPrinted>2000-04-13T09:42:00Z</cp:lastPrinted>
  <dcterms:modified xsi:type="dcterms:W3CDTF">2000-04-14T20:04:00Z</dcterms:modified>
  <cp:revision>3</cp:revision>
  <dc:subject/>
  <dc:title> </dc:title>
</cp:coreProperties>
</file>