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EXHIBIT 1</w:t>
      </w:r>
    </w:p>
    <w:p>
      <w:pPr>
        <w:pStyle w:val="Normal"/>
        <w:jc w:val="center"/>
        <w:rPr>
          <w:u w:val="single"/>
        </w:rPr>
      </w:pPr>
      <w:r>
        <w:rPr>
          <w:u w:val="single"/>
        </w:rPr>
        <w:t xml:space="preserve">Facilities </w:t>
      </w:r>
      <w:r>
        <w:br w:type="page"/>
      </w:r>
    </w:p>
    <w:p>
      <w:pPr>
        <w:pStyle w:val="Normal"/>
        <w:jc w:val="center"/>
        <w:rPr/>
      </w:pPr>
      <w:r>
        <w:rPr/>
        <w:t>EXHIBIT 2</w:t>
      </w:r>
    </w:p>
    <w:p>
      <w:pPr>
        <w:pStyle w:val="Normal"/>
        <w:jc w:val="center"/>
        <w:rPr>
          <w:u w:val="single"/>
        </w:rPr>
      </w:pPr>
      <w:r>
        <w:rPr>
          <w:u w:val="single"/>
        </w:rPr>
        <w:t>ASSET MANAGEMENT SERVICES</w:t>
      </w:r>
    </w:p>
    <w:p>
      <w:pPr>
        <w:pStyle w:val="Normal"/>
        <w:jc w:val="center"/>
        <w:rPr>
          <w:u w:val="single"/>
        </w:rPr>
      </w:pPr>
      <w:r>
        <w:rPr>
          <w:u w:val="single"/>
        </w:rPr>
      </w:r>
    </w:p>
    <w:p>
      <w:pPr>
        <w:pStyle w:val="Normal"/>
        <w:ind w:start="360" w:end="0"/>
        <w:jc w:val="center"/>
        <w:rPr/>
      </w:pPr>
      <w:r>
        <w:rPr/>
      </w:r>
    </w:p>
    <w:p>
      <w:pPr>
        <w:pStyle w:val="Normal"/>
        <w:ind w:start="360" w:end="0"/>
        <w:rPr/>
      </w:pPr>
      <w:r>
        <w:rPr/>
        <w:t>EPMI shall perform the following services in accordance with the terms of the Agreement:</w:t>
      </w:r>
    </w:p>
    <w:p>
      <w:pPr>
        <w:pStyle w:val="Heading1"/>
        <w:ind w:hanging="0" w:start="720" w:end="0"/>
        <w:rPr/>
      </w:pPr>
      <w:r>
        <w:rPr/>
      </w:r>
    </w:p>
    <w:p>
      <w:pPr>
        <w:pStyle w:val="Normal"/>
        <w:ind w:start="360" w:end="0"/>
        <w:rPr/>
      </w:pPr>
      <w:r>
        <w:rPr/>
      </w:r>
    </w:p>
    <w:p>
      <w:pPr>
        <w:pStyle w:val="Heading3"/>
        <w:rPr/>
      </w:pPr>
      <w:r>
        <w:rPr/>
        <w:t>Contracted Resources</w:t>
      </w:r>
    </w:p>
    <w:p>
      <w:pPr>
        <w:pStyle w:val="Normal"/>
        <w:ind w:start="360" w:end="0"/>
        <w:rPr/>
      </w:pPr>
      <w:r>
        <w:rPr/>
      </w:r>
    </w:p>
    <w:p>
      <w:pPr>
        <w:pStyle w:val="Normal"/>
        <w:numPr>
          <w:ilvl w:val="0"/>
          <w:numId w:val="10"/>
        </w:numPr>
        <w:rPr/>
      </w:pPr>
      <w:r>
        <w:rPr/>
        <w:t>Manage existing natural gas contracts</w:t>
      </w:r>
    </w:p>
    <w:p>
      <w:pPr>
        <w:pStyle w:val="Normal"/>
        <w:numPr>
          <w:ilvl w:val="0"/>
          <w:numId w:val="10"/>
        </w:numPr>
        <w:rPr/>
      </w:pPr>
      <w:r>
        <w:rPr/>
        <w:t>Make recommendations concerning purchase of fuel</w:t>
      </w:r>
    </w:p>
    <w:p>
      <w:pPr>
        <w:pStyle w:val="Normal"/>
        <w:numPr>
          <w:ilvl w:val="0"/>
          <w:numId w:val="10"/>
        </w:numPr>
        <w:rPr/>
      </w:pPr>
      <w:r>
        <w:rPr/>
        <w:t>Schedule natural gas and fuel oil and transportation; release natural gas for economic reasons</w:t>
      </w:r>
    </w:p>
    <w:p>
      <w:pPr>
        <w:pStyle w:val="Normal"/>
        <w:numPr>
          <w:ilvl w:val="0"/>
          <w:numId w:val="10"/>
        </w:numPr>
        <w:rPr/>
      </w:pPr>
      <w:r>
        <w:rPr/>
        <w:t>Load Forecasting</w:t>
      </w:r>
    </w:p>
    <w:p>
      <w:pPr>
        <w:pStyle w:val="Normal"/>
        <w:numPr>
          <w:ilvl w:val="0"/>
          <w:numId w:val="10"/>
        </w:numPr>
        <w:rPr/>
      </w:pPr>
      <w:r>
        <w:rPr/>
        <w:t>Optimized scheduling of firm contracted power</w:t>
      </w:r>
    </w:p>
    <w:p>
      <w:pPr>
        <w:pStyle w:val="Normal"/>
        <w:numPr>
          <w:ilvl w:val="0"/>
          <w:numId w:val="10"/>
        </w:numPr>
        <w:rPr/>
      </w:pPr>
      <w:r>
        <w:rPr/>
        <w:t>Manage network service contract</w:t>
      </w:r>
    </w:p>
    <w:p>
      <w:pPr>
        <w:pStyle w:val="Normal"/>
        <w:numPr>
          <w:ilvl w:val="0"/>
          <w:numId w:val="10"/>
        </w:numPr>
        <w:rPr/>
      </w:pPr>
      <w:r>
        <w:rPr/>
        <w:t>Arrange for backup and replacement resources</w:t>
      </w:r>
    </w:p>
    <w:p>
      <w:pPr>
        <w:pStyle w:val="Normal"/>
        <w:numPr>
          <w:ilvl w:val="0"/>
          <w:numId w:val="10"/>
        </w:numPr>
        <w:rPr/>
      </w:pPr>
      <w:r>
        <w:rPr/>
        <w:t>Risk management services [need detail]</w:t>
      </w:r>
    </w:p>
    <w:p>
      <w:pPr>
        <w:pStyle w:val="Normal"/>
        <w:numPr>
          <w:ilvl w:val="0"/>
          <w:numId w:val="10"/>
        </w:numPr>
        <w:rPr/>
      </w:pPr>
      <w:r>
        <w:rPr/>
        <w:t xml:space="preserve">24 hour trading of natural gas </w:t>
      </w:r>
    </w:p>
    <w:p>
      <w:pPr>
        <w:pStyle w:val="Normal"/>
        <w:numPr>
          <w:ilvl w:val="0"/>
          <w:numId w:val="10"/>
        </w:numPr>
        <w:rPr/>
      </w:pPr>
      <w:r>
        <w:rPr/>
        <w:t>Long term trading</w:t>
      </w:r>
    </w:p>
    <w:p>
      <w:pPr>
        <w:pStyle w:val="Normal"/>
        <w:ind w:start="360" w:end="0"/>
        <w:rPr/>
      </w:pPr>
      <w:r>
        <w:rPr/>
      </w:r>
    </w:p>
    <w:p>
      <w:pPr>
        <w:pStyle w:val="Heading2"/>
        <w:ind w:hanging="0" w:start="360" w:end="0"/>
        <w:jc w:val="start"/>
        <w:rPr>
          <w:b/>
          <w:bCs/>
        </w:rPr>
      </w:pPr>
      <w:r>
        <w:rPr>
          <w:b/>
          <w:bCs/>
        </w:rPr>
        <w:t>Owned Resource Management</w:t>
      </w:r>
    </w:p>
    <w:p>
      <w:pPr>
        <w:pStyle w:val="Normal"/>
        <w:numPr>
          <w:ilvl w:val="0"/>
          <w:numId w:val="11"/>
        </w:numPr>
        <w:rPr/>
      </w:pPr>
      <w:r>
        <w:rPr/>
        <w:t>Make recommendations concerning economic dispatch of generation assets</w:t>
      </w:r>
    </w:p>
    <w:p>
      <w:pPr>
        <w:pStyle w:val="Normal"/>
        <w:numPr>
          <w:ilvl w:val="0"/>
          <w:numId w:val="11"/>
        </w:numPr>
        <w:rPr/>
      </w:pPr>
      <w:r>
        <w:rPr/>
        <w:t>Conduct basic engineering review and recommendations for optimization of power generation equipment  [need description concerning scope of review]</w:t>
      </w:r>
    </w:p>
    <w:p>
      <w:pPr>
        <w:pStyle w:val="Normal"/>
        <w:numPr>
          <w:ilvl w:val="0"/>
          <w:numId w:val="11"/>
        </w:numPr>
        <w:rPr/>
      </w:pPr>
      <w:r>
        <w:rPr/>
        <w:t>Risk management services [need detail]</w:t>
      </w:r>
    </w:p>
    <w:p>
      <w:pPr>
        <w:pStyle w:val="Normal"/>
        <w:numPr>
          <w:ilvl w:val="0"/>
          <w:numId w:val="11"/>
        </w:numPr>
        <w:rPr/>
      </w:pPr>
      <w:r>
        <w:rPr/>
        <w:t>24 hour trading of power</w:t>
      </w:r>
    </w:p>
    <w:p>
      <w:pPr>
        <w:pStyle w:val="Normal"/>
        <w:numPr>
          <w:ilvl w:val="0"/>
          <w:numId w:val="11"/>
        </w:numPr>
        <w:rPr/>
      </w:pPr>
      <w:r>
        <w:rPr/>
        <w:t>Long term trading</w:t>
      </w:r>
    </w:p>
    <w:p>
      <w:pPr>
        <w:pStyle w:val="Normal"/>
        <w:ind w:start="360" w:end="0"/>
        <w:rPr>
          <w:b/>
          <w:bCs/>
        </w:rPr>
      </w:pPr>
      <w:r>
        <w:rPr>
          <w:b/>
          <w:bCs/>
        </w:rPr>
      </w:r>
    </w:p>
    <w:p>
      <w:pPr>
        <w:pStyle w:val="Heading2"/>
        <w:ind w:hanging="0" w:start="360" w:end="0"/>
        <w:rPr>
          <w:b/>
          <w:bCs/>
        </w:rPr>
      </w:pPr>
      <w:r>
        <w:rPr>
          <w:b/>
          <w:bCs/>
        </w:rPr>
        <w:t>Hardware/Software Installation and Setup</w:t>
      </w:r>
    </w:p>
    <w:p>
      <w:pPr>
        <w:pStyle w:val="Normal"/>
        <w:numPr>
          <w:ilvl w:val="0"/>
          <w:numId w:val="6"/>
        </w:numPr>
        <w:rPr/>
      </w:pPr>
      <w:r>
        <w:rPr/>
        <w:t>Hardware and software monitoring and control systems installation and tie-in to Houston control room</w:t>
      </w:r>
    </w:p>
    <w:p>
      <w:pPr>
        <w:pStyle w:val="Normal"/>
        <w:numPr>
          <w:ilvl w:val="0"/>
          <w:numId w:val="6"/>
        </w:numPr>
        <w:rPr/>
      </w:pPr>
      <w:r>
        <w:rPr/>
        <w:t>Provide and configure/program server and router in Clarksdale control room</w:t>
      </w:r>
    </w:p>
    <w:p>
      <w:pPr>
        <w:pStyle w:val="Normal"/>
        <w:numPr>
          <w:ilvl w:val="0"/>
          <w:numId w:val="6"/>
        </w:numPr>
        <w:rPr/>
      </w:pPr>
      <w:r>
        <w:rPr/>
        <w:t>Arrange for installation of frame relay line to be installed into Clarksdale control room</w:t>
      </w:r>
    </w:p>
    <w:p>
      <w:pPr>
        <w:pStyle w:val="Normal"/>
        <w:numPr>
          <w:ilvl w:val="0"/>
          <w:numId w:val="6"/>
        </w:numPr>
        <w:rPr/>
      </w:pPr>
      <w:r>
        <w:rPr/>
        <w:t>Complete necessary technical work to connect router and server to Clarksdale control room</w:t>
      </w:r>
    </w:p>
    <w:p>
      <w:pPr>
        <w:pStyle w:val="Normal"/>
        <w:numPr>
          <w:ilvl w:val="0"/>
          <w:numId w:val="6"/>
        </w:numPr>
        <w:rPr/>
      </w:pPr>
      <w:r>
        <w:rPr/>
        <w:t xml:space="preserve">Installation of monitoring and control software on remote server in Clarksdale </w:t>
      </w:r>
    </w:p>
    <w:p>
      <w:pPr>
        <w:pStyle w:val="Normal"/>
        <w:numPr>
          <w:ilvl w:val="0"/>
          <w:numId w:val="6"/>
        </w:numPr>
        <w:rPr/>
      </w:pPr>
      <w:r>
        <w:rPr/>
        <w:t>Set-up of internet based monitoring systems</w:t>
      </w:r>
    </w:p>
    <w:p>
      <w:pPr>
        <w:pStyle w:val="Normal"/>
        <w:numPr>
          <w:ilvl w:val="0"/>
          <w:numId w:val="6"/>
        </w:numPr>
        <w:rPr/>
      </w:pPr>
      <w:r>
        <w:rPr/>
        <w:t>Set-up of web site for information access to MDEA</w:t>
      </w:r>
    </w:p>
    <w:p>
      <w:pPr>
        <w:pStyle w:val="Normal"/>
        <w:numPr>
          <w:ilvl w:val="0"/>
          <w:numId w:val="6"/>
        </w:numPr>
        <w:rPr/>
      </w:pPr>
      <w:r>
        <w:rPr/>
        <w:t>Development of operational procedures</w:t>
      </w:r>
    </w:p>
    <w:p>
      <w:pPr>
        <w:pStyle w:val="Normal"/>
        <w:numPr>
          <w:ilvl w:val="0"/>
          <w:numId w:val="6"/>
        </w:numPr>
        <w:rPr/>
      </w:pPr>
      <w:r>
        <w:rPr/>
        <w:t>Hardware, communication line, etc between Clarksdale and Yazoo City to be done by MDEA</w:t>
      </w:r>
      <w:r>
        <w:br w:type="page"/>
      </w:r>
    </w:p>
    <w:p>
      <w:pPr>
        <w:pStyle w:val="Normal"/>
        <w:jc w:val="center"/>
        <w:rPr/>
      </w:pPr>
      <w:r>
        <w:rPr/>
        <w:t>Exhibit 3</w:t>
      </w:r>
    </w:p>
    <w:p>
      <w:pPr>
        <w:pStyle w:val="Heading2"/>
        <w:ind w:hanging="0" w:end="0"/>
        <w:jc w:val="center"/>
        <w:rPr>
          <w:u w:val="single"/>
        </w:rPr>
      </w:pPr>
      <w:r>
        <w:rPr>
          <w:u w:val="single"/>
        </w:rPr>
        <w:t>SCHEDULING SERVICES</w:t>
      </w:r>
    </w:p>
    <w:p>
      <w:pPr>
        <w:pStyle w:val="Normal"/>
        <w:ind w:start="360" w:end="0"/>
        <w:rPr/>
      </w:pPr>
      <w:r>
        <w:rPr/>
        <w:t>EPMI shall perform the following services in accordance with the terms of the Agreement:</w:t>
      </w:r>
    </w:p>
    <w:p>
      <w:pPr>
        <w:pStyle w:val="Heading1"/>
        <w:ind w:hanging="0" w:start="720" w:end="0"/>
        <w:rPr/>
      </w:pPr>
      <w:r>
        <w:rPr/>
      </w:r>
    </w:p>
    <w:p>
      <w:pPr>
        <w:pStyle w:val="Normal"/>
        <w:numPr>
          <w:ilvl w:val="0"/>
          <w:numId w:val="4"/>
        </w:numPr>
        <w:rPr/>
      </w:pPr>
      <w:r>
        <w:rPr/>
        <w:t>Participation in market testing in SPP</w:t>
      </w:r>
    </w:p>
    <w:p>
      <w:pPr>
        <w:pStyle w:val="Normal"/>
        <w:numPr>
          <w:ilvl w:val="0"/>
          <w:numId w:val="4"/>
        </w:numPr>
        <w:rPr/>
      </w:pPr>
      <w:r>
        <w:rPr/>
        <w:t>NERC tagging and scheduling</w:t>
      </w:r>
    </w:p>
    <w:p>
      <w:pPr>
        <w:pStyle w:val="Normal"/>
        <w:numPr>
          <w:ilvl w:val="0"/>
          <w:numId w:val="4"/>
        </w:numPr>
        <w:rPr/>
      </w:pPr>
      <w:r>
        <w:rPr/>
        <w:t>Arrange for ancillary services through Entergy</w:t>
      </w:r>
    </w:p>
    <w:p>
      <w:pPr>
        <w:pStyle w:val="Normal"/>
        <w:numPr>
          <w:ilvl w:val="0"/>
          <w:numId w:val="4"/>
        </w:numPr>
        <w:rPr/>
      </w:pPr>
      <w:r>
        <w:rPr/>
        <w:t>Satisfy all of the SPP protocol requirements for QSE status</w:t>
      </w:r>
    </w:p>
    <w:p>
      <w:pPr>
        <w:pStyle w:val="Normal"/>
        <w:ind w:start="990" w:end="0"/>
        <w:jc w:val="both"/>
        <w:rPr>
          <w:sz w:val="22"/>
        </w:rPr>
      </w:pPr>
      <w:r>
        <w:rPr>
          <w:sz w:val="22"/>
        </w:rPr>
      </w:r>
    </w:p>
    <w:p>
      <w:pPr>
        <w:pStyle w:val="Normal"/>
        <w:numPr>
          <w:ilvl w:val="0"/>
          <w:numId w:val="7"/>
        </w:numPr>
        <w:tabs>
          <w:tab w:val="clear" w:pos="720"/>
          <w:tab w:val="left" w:pos="2430" w:leader="none"/>
        </w:tabs>
        <w:jc w:val="both"/>
        <w:rPr>
          <w:sz w:val="22"/>
        </w:rPr>
      </w:pPr>
      <w:r>
        <w:rPr>
          <w:sz w:val="22"/>
        </w:rPr>
        <w:t xml:space="preserve">Proof of registration and certification requirements; </w:t>
      </w:r>
    </w:p>
    <w:p>
      <w:pPr>
        <w:pStyle w:val="Normal"/>
        <w:numPr>
          <w:ilvl w:val="0"/>
          <w:numId w:val="7"/>
        </w:numPr>
        <w:tabs>
          <w:tab w:val="clear" w:pos="720"/>
          <w:tab w:val="left" w:pos="2430" w:leader="none"/>
        </w:tabs>
        <w:jc w:val="both"/>
        <w:rPr>
          <w:sz w:val="22"/>
        </w:rPr>
      </w:pPr>
      <w:r>
        <w:rPr>
          <w:sz w:val="22"/>
        </w:rPr>
        <w:t>Proof of completion of the Connection Agreement to the SPP Private Network and Site Survey request;</w:t>
      </w:r>
    </w:p>
    <w:p>
      <w:pPr>
        <w:pStyle w:val="Normal"/>
        <w:numPr>
          <w:ilvl w:val="0"/>
          <w:numId w:val="7"/>
        </w:numPr>
        <w:tabs>
          <w:tab w:val="clear" w:pos="720"/>
          <w:tab w:val="left" w:pos="2430" w:leader="none"/>
        </w:tabs>
        <w:jc w:val="both"/>
        <w:rPr>
          <w:sz w:val="22"/>
        </w:rPr>
      </w:pPr>
      <w:r>
        <w:rPr>
          <w:sz w:val="22"/>
        </w:rPr>
        <w:t>Maintain financial security requirements with appropriate indemnification obligations;</w:t>
      </w:r>
    </w:p>
    <w:p>
      <w:pPr>
        <w:pStyle w:val="Normal"/>
        <w:numPr>
          <w:ilvl w:val="0"/>
          <w:numId w:val="7"/>
        </w:numPr>
        <w:tabs>
          <w:tab w:val="clear" w:pos="720"/>
          <w:tab w:val="left" w:pos="2430" w:leader="none"/>
        </w:tabs>
        <w:jc w:val="both"/>
        <w:rPr>
          <w:sz w:val="22"/>
        </w:rPr>
      </w:pPr>
      <w:r>
        <w:rPr>
          <w:sz w:val="22"/>
        </w:rPr>
        <w:t>Maintain a 24-hour, seven day per week scheduling and trading operation with qualified personnel;</w:t>
      </w:r>
    </w:p>
    <w:p>
      <w:pPr>
        <w:pStyle w:val="Normal"/>
        <w:numPr>
          <w:ilvl w:val="0"/>
          <w:numId w:val="7"/>
        </w:numPr>
        <w:tabs>
          <w:tab w:val="clear" w:pos="720"/>
          <w:tab w:val="left" w:pos="2430" w:leader="none"/>
        </w:tabs>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7"/>
        </w:numPr>
        <w:tabs>
          <w:tab w:val="clear" w:pos="720"/>
          <w:tab w:val="left" w:pos="2430" w:leader="none"/>
        </w:tabs>
        <w:jc w:val="both"/>
        <w:rPr>
          <w:sz w:val="22"/>
        </w:rPr>
      </w:pPr>
      <w:r>
        <w:rPr>
          <w:sz w:val="22"/>
        </w:rPr>
        <w:t>Submit “balanced schedules” for supply, load, and transmission capacity from all entities it serves;</w:t>
      </w:r>
    </w:p>
    <w:p>
      <w:pPr>
        <w:pStyle w:val="Normal"/>
        <w:numPr>
          <w:ilvl w:val="0"/>
          <w:numId w:val="7"/>
        </w:numPr>
        <w:tabs>
          <w:tab w:val="clear" w:pos="720"/>
          <w:tab w:val="left" w:pos="2430" w:leader="none"/>
        </w:tabs>
        <w:jc w:val="both"/>
        <w:rPr>
          <w:sz w:val="22"/>
        </w:rPr>
      </w:pPr>
      <w:r>
        <w:rPr>
          <w:sz w:val="22"/>
        </w:rPr>
        <w:t>Submission of ancillary service bids/ offers;</w:t>
      </w:r>
    </w:p>
    <w:p>
      <w:pPr>
        <w:pStyle w:val="Normal"/>
        <w:numPr>
          <w:ilvl w:val="0"/>
          <w:numId w:val="7"/>
        </w:numPr>
        <w:tabs>
          <w:tab w:val="clear" w:pos="720"/>
          <w:tab w:val="left" w:pos="2430" w:leader="none"/>
        </w:tabs>
        <w:jc w:val="both"/>
        <w:rPr>
          <w:sz w:val="22"/>
        </w:rPr>
      </w:pPr>
      <w:r>
        <w:rPr>
          <w:sz w:val="22"/>
        </w:rPr>
        <w:t>Communicate planned outages and report scheduled and forced maintenance outages; and</w:t>
      </w:r>
    </w:p>
    <w:p>
      <w:pPr>
        <w:pStyle w:val="Normal"/>
        <w:numPr>
          <w:ilvl w:val="0"/>
          <w:numId w:val="7"/>
        </w:numPr>
        <w:tabs>
          <w:tab w:val="clear" w:pos="720"/>
          <w:tab w:val="left" w:pos="2430" w:leader="none"/>
        </w:tabs>
        <w:jc w:val="both"/>
        <w:rPr>
          <w:sz w:val="22"/>
        </w:rPr>
      </w:pPr>
      <w:r>
        <w:rPr>
          <w:sz w:val="22"/>
        </w:rPr>
        <w:t>Dispatch and communicate emergency orders from the ISO.</w:t>
      </w:r>
      <w:r>
        <w:br w:type="page"/>
      </w:r>
    </w:p>
    <w:p>
      <w:pPr>
        <w:pStyle w:val="Index1"/>
        <w:jc w:val="center"/>
        <w:rPr/>
      </w:pPr>
      <w:r>
        <w:rPr/>
        <w:t>EXHIBIT []</w:t>
      </w:r>
    </w:p>
    <w:p>
      <w:pPr>
        <w:pStyle w:val="Heading6"/>
        <w:ind w:hanging="0" w:start="0"/>
        <w:rPr/>
      </w:pPr>
      <w:r>
        <w:rPr/>
        <w:t>REPORTS</w:t>
      </w:r>
    </w:p>
    <w:p>
      <w:pPr>
        <w:pStyle w:val="Normal"/>
        <w:jc w:val="center"/>
        <w:rPr/>
      </w:pPr>
      <w:r>
        <w:rPr/>
      </w:r>
    </w:p>
    <w:p>
      <w:pPr>
        <w:pStyle w:val="Normal"/>
        <w:rPr/>
      </w:pPr>
      <w:r>
        <w:rPr/>
        <w:t xml:space="preserve">EPMI will electronically mail or fax the following informational reports to MDEA’s Energy Coordinator the Business Day following the reported day by approximately 3:00 pm CPT.    </w:t>
      </w:r>
    </w:p>
    <w:p>
      <w:pPr>
        <w:pStyle w:val="DefaultText"/>
        <w:widowControl/>
        <w:overflowPunct w:val="true"/>
        <w:autoSpaceDE w:val="true"/>
        <w:spacing w:before="120" w:after="120"/>
        <w:textAlignment w:val="auto"/>
        <w:rPr/>
      </w:pPr>
      <w:r>
        <w:rPr/>
      </w:r>
    </w:p>
    <w:p>
      <w:pPr>
        <w:pStyle w:val="Normal"/>
        <w:numPr>
          <w:ilvl w:val="0"/>
          <w:numId w:val="9"/>
        </w:numPr>
        <w:rPr/>
      </w:pPr>
      <w:r>
        <w:rPr>
          <w:b/>
        </w:rPr>
        <w:t>Profit &amp; Loss, Risk Statement</w:t>
      </w:r>
      <w:r>
        <w:rPr/>
        <w:t xml:space="preserve"> – This statement will track daily and life to date changes in profit and loss as well as various risk indicators for MDEA’s power output for the Term of this Agreement.  These statements shall not include any information about  Existing Transactions.</w:t>
      </w:r>
    </w:p>
    <w:p>
      <w:pPr>
        <w:pStyle w:val="Normal"/>
        <w:numPr>
          <w:ilvl w:val="0"/>
          <w:numId w:val="9"/>
        </w:numPr>
        <w:rPr/>
      </w:pPr>
      <w:r>
        <w:rPr>
          <w:b/>
        </w:rPr>
        <w:t>Position Statement</w:t>
      </w:r>
      <w:r>
        <w:rPr/>
        <w:t xml:space="preserve"> – This statement will track the physical open position for MDEA’s power output for the Term of this Agreement.  These statements shall not include any information about Existing Transactions.</w:t>
      </w:r>
    </w:p>
    <w:p>
      <w:pPr>
        <w:pStyle w:val="Normal"/>
        <w:numPr>
          <w:ilvl w:val="0"/>
          <w:numId w:val="9"/>
        </w:numPr>
        <w:rPr/>
      </w:pPr>
      <w:r>
        <w:rPr>
          <w:b/>
        </w:rPr>
        <w:t>Schedule of Trades</w:t>
      </w:r>
      <w:r>
        <w:rPr/>
        <w:t xml:space="preserve"> – This schedule will track the daily power trades from MDEA.</w:t>
      </w:r>
    </w:p>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jc w:val="both"/>
        <w:textAlignment w:val="auto"/>
        <w:rPr/>
      </w:pPr>
      <w:r>
        <w:rPr/>
        <w:t>WHILE EPMI WILL ENDEAVOR TO PROVIDE RELIABLE INFORMATION IN THE REQUIRED REPORTS, EPMI SHALL NOT RESPONSIBLE FOR ANY INACCURATE INFORMATION OR FOR ANY ACTIONS OR INACTION BY  MDEA BASED ON THESE REPORTS.  MDEA IS EXPECTED TO VERIFY THE ACCURACY OF INFORMATION CONTAINED IN THE REQUIRED REPORTS AND TO PROMPTLY NOTIFY EPMI OF ANY INCONSISTENCY OR ERRORS THAT IT MAY DISCOVER.  IT IS IMPORTANT TO NOTE THAT THESE REPORTS WILL BE BASED ON MARKET INFORMATION THAT EPMI ESTIMATES AND THEREFORE THESE REPORTS ARE ONLY ESTIMATES TO BE USED AS ROUGH INDICATORS AND NOT THOROUGH ANALYSIS THAT COULD BE USED FOR MDEA’S RISK POLICY.  MDEA MUST CONDUCT ITS OWN RISK ANALYSIS TO DETERMINE MDEA’S ACTIONS IN REGARD TO ITS RISK POLICY.  DUE TO EPMI’S PROPRIETARY INFORMATION CONTAINED IN MANY OF THE FORMULAS THAT ARE USED TO CALCULATE THE INFORMATION CONTAINED IN THESE REPORTS, EPMI WILL NOT BE ABLE TO PROVIDE THE NECESSARY DETAILED BACKGROUND INFORMATION IN ORDER FOR MDEA TO ANALYZE HOW THESE REPORT FIGURES WERE CALCULATED.</w:t>
      </w:r>
    </w:p>
    <w:p>
      <w:pPr>
        <w:pStyle w:val="Normal"/>
        <w:jc w:val="center"/>
        <w:rPr>
          <w:u w:val="single"/>
        </w:rPr>
      </w:pPr>
      <w:r>
        <w:rPr>
          <w:u w:val="single"/>
        </w:rPr>
      </w:r>
      <w:r>
        <w:br w:type="page"/>
      </w:r>
    </w:p>
    <w:p>
      <w:pPr>
        <w:pStyle w:val="Normal"/>
        <w:jc w:val="center"/>
        <w:rPr/>
      </w:pPr>
      <w:r>
        <w:rPr/>
        <w:t>EXHIBIT []</w:t>
      </w:r>
    </w:p>
    <w:p>
      <w:pPr>
        <w:pStyle w:val="Heading6"/>
        <w:ind w:hanging="0" w:start="0"/>
        <w:rPr/>
      </w:pPr>
      <w:r>
        <w:rPr/>
        <w:t>HARDWARE AND SOFTWARE TO BE UTILIZED</w:t>
      </w:r>
      <w:r>
        <w:br w:type="page"/>
      </w:r>
    </w:p>
    <w:p>
      <w:pPr>
        <w:pStyle w:val="Normal"/>
        <w:jc w:val="center"/>
        <w:rPr>
          <w:u w:val="single"/>
        </w:rPr>
      </w:pPr>
      <w:r>
        <w:rPr>
          <w:u w:val="single"/>
        </w:rPr>
        <w:t>EXHIBIT E</w:t>
      </w:r>
    </w:p>
    <w:p>
      <w:pPr>
        <w:pStyle w:val="Normal"/>
        <w:tabs>
          <w:tab w:val="clear" w:pos="720"/>
          <w:tab w:val="left" w:pos="6930" w:leader="none"/>
        </w:tabs>
        <w:jc w:val="center"/>
        <w:rPr>
          <w:u w:val="single"/>
        </w:rPr>
      </w:pPr>
      <w:r>
        <w:rPr>
          <w:u w:val="single"/>
        </w:rPr>
        <w:t xml:space="preserve">FORM OF PARENT GUARANTY </w:t>
      </w:r>
      <w:r>
        <w:br w:type="page"/>
      </w:r>
    </w:p>
    <w:p>
      <w:pPr>
        <w:pStyle w:val="Normal"/>
        <w:keepLines/>
        <w:jc w:val="center"/>
        <w:rPr>
          <w:u w:val="single"/>
        </w:rPr>
      </w:pPr>
      <w:r>
        <w:rPr>
          <w:u w:val="single"/>
        </w:rPr>
        <w:t>EXHIBIT F</w:t>
      </w:r>
    </w:p>
    <w:p>
      <w:pPr>
        <w:pStyle w:val="Normal"/>
        <w:keepLines/>
        <w:jc w:val="center"/>
        <w:rPr>
          <w:u w:val="single"/>
        </w:rPr>
      </w:pPr>
      <w:r>
        <w:rPr>
          <w:u w:val="single"/>
        </w:rPr>
        <w:t>ACCOUNTING CHART</w:t>
      </w:r>
      <w:r>
        <w:br w:type="page"/>
      </w:r>
    </w:p>
    <w:p>
      <w:pPr>
        <w:pStyle w:val="Normal"/>
        <w:keepLines/>
        <w:jc w:val="center"/>
        <w:rPr/>
      </w:pPr>
      <w:r>
        <w:rPr/>
        <w:t xml:space="preserve">EXHIBIT </w:t>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t xml:space="preserve">EXHIBIT </w:t>
      </w:r>
    </w:p>
    <w:p>
      <w:pPr>
        <w:pStyle w:val="DefaultText"/>
        <w:widowControl/>
        <w:overflowPunct w:val="true"/>
        <w:autoSpaceDE w:val="true"/>
        <w:spacing w:before="120" w:after="120"/>
        <w:jc w:val="center"/>
        <w:textAlignment w:val="auto"/>
        <w:rPr>
          <w:u w:val="single"/>
        </w:rPr>
      </w:pPr>
      <w:r>
        <w:rPr>
          <w:u w:val="single"/>
        </w:rPr>
        <w:t>EXISTING TRANSACTIONS</w:t>
      </w:r>
    </w:p>
    <w:p>
      <w:pPr>
        <w:pStyle w:val="DefaultText"/>
        <w:widowControl/>
        <w:overflowPunct w:val="true"/>
        <w:autoSpaceDE w:val="true"/>
        <w:spacing w:before="120" w:after="120"/>
        <w:jc w:val="center"/>
        <w:textAlignment w:val="auto"/>
        <w:rPr>
          <w:u w:val="single"/>
        </w:rPr>
      </w:pPr>
      <w:r>
        <w:rPr>
          <w:u w:val="single"/>
        </w:rPr>
      </w:r>
      <w:r>
        <w:br w:type="page"/>
      </w:r>
    </w:p>
    <w:p>
      <w:pPr>
        <w:pStyle w:val="DefaultText"/>
        <w:widowControl/>
        <w:overflowPunct w:val="true"/>
        <w:autoSpaceDE w:val="true"/>
        <w:spacing w:before="120" w:after="120"/>
        <w:jc w:val="center"/>
        <w:textAlignment w:val="auto"/>
        <w:rPr>
          <w:bCs/>
        </w:rPr>
      </w:pPr>
      <w:r>
        <w:rPr>
          <w:bCs/>
        </w:rPr>
        <w:t>EXHIBIT []</w:t>
      </w:r>
    </w:p>
    <w:p>
      <w:pPr>
        <w:pStyle w:val="DefaultText"/>
        <w:widowControl/>
        <w:overflowPunct w:val="true"/>
        <w:autoSpaceDE w:val="true"/>
        <w:spacing w:before="120" w:after="120"/>
        <w:jc w:val="center"/>
        <w:textAlignment w:val="auto"/>
        <w:rPr/>
      </w:pPr>
      <w:r>
        <w:rPr/>
        <w:t>EARLY TERMINATION INCENTIVE</w:t>
      </w:r>
    </w:p>
    <w:p>
      <w:pPr>
        <w:pStyle w:val="DefaultText"/>
        <w:widowControl/>
        <w:overflowPunct w:val="true"/>
        <w:autoSpaceDE w:val="true"/>
        <w:spacing w:before="120" w:after="120"/>
        <w:jc w:val="center"/>
        <w:textAlignment w:val="auto"/>
        <w:rPr/>
      </w:pPr>
      <w:r>
        <w:rPr/>
        <w:t>FEE THRESHOLDS</w:t>
      </w:r>
    </w:p>
    <w:p>
      <w:pPr>
        <w:pStyle w:val="DefaultText"/>
        <w:widowControl/>
        <w:overflowPunct w:val="true"/>
        <w:autoSpaceDE w:val="true"/>
        <w:spacing w:before="120" w:after="120"/>
        <w:jc w:val="center"/>
        <w:textAlignment w:val="auto"/>
        <w:rPr/>
      </w:pPr>
      <w:r>
        <w:rPr/>
      </w:r>
    </w:p>
    <w:p>
      <w:pPr>
        <w:pStyle w:val="DefaultText"/>
        <w:widowControl/>
        <w:numPr>
          <w:ilvl w:val="0"/>
          <w:numId w:val="3"/>
        </w:numPr>
        <w:overflowPunct w:val="true"/>
        <w:autoSpaceDE w:val="true"/>
        <w:spacing w:before="120" w:after="120"/>
        <w:textAlignment w:val="auto"/>
        <w:rPr/>
      </w:pPr>
      <w:r>
        <w:rPr/>
        <w:t>If the termination is effective prior to ____,  2003, the amounts specified in Section 16(b)(3)(a) and (b) shall be revised as set forth below based upon the month in which the termination is effective:</w:t>
      </w:r>
    </w:p>
    <w:tbl>
      <w:tblPr>
        <w:tblW w:w="5148" w:type="dxa"/>
        <w:jc w:val="start"/>
        <w:tblInd w:w="0" w:type="dxa"/>
        <w:tblLayout w:type="fixed"/>
        <w:tblCellMar>
          <w:top w:w="0" w:type="dxa"/>
          <w:start w:w="108" w:type="dxa"/>
          <w:bottom w:w="0" w:type="dxa"/>
          <w:end w:w="108" w:type="dxa"/>
        </w:tblCellMar>
      </w:tblPr>
      <w:tblGrid>
        <w:gridCol w:w="1363"/>
        <w:gridCol w:w="3785"/>
      </w:tblGrid>
      <w:tr>
        <w:trPr/>
        <w:tc>
          <w:tcPr>
            <w:tcW w:w="1363"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Month in which termination is effective</w:t>
            </w:r>
          </w:p>
        </w:tc>
        <w:tc>
          <w:tcPr>
            <w:tcW w:w="3785"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lineRule="auto" w:line="360" w:before="120" w:after="120"/>
              <w:textAlignment w:val="auto"/>
              <w:rPr/>
            </w:pPr>
            <w:r>
              <w:rPr/>
              <w:t>Minimum Incentive Fee Termination Payment</w:t>
            </w:r>
          </w:p>
        </w:tc>
      </w:tr>
      <w:tr>
        <w:trPr/>
        <w:tc>
          <w:tcPr>
            <w:tcW w:w="1363" w:type="dxa"/>
            <w:tcBorders/>
          </w:tcPr>
          <w:p>
            <w:pPr>
              <w:pStyle w:val="DefaultText"/>
              <w:widowControl/>
              <w:overflowPunct w:val="true"/>
              <w:autoSpaceDE w:val="true"/>
              <w:spacing w:before="120" w:after="120"/>
              <w:textAlignment w:val="auto"/>
              <w:rPr/>
            </w:pPr>
            <w:r>
              <w:rPr/>
              <w:t>April,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May,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June,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July,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August,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September,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October,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November,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December,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bl>
    <w:p>
      <w:pPr>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pPr>
    </w:p>
    <w:tbl>
      <w:tblPr>
        <w:tblW w:w="5148" w:type="dxa"/>
        <w:jc w:val="start"/>
        <w:tblInd w:w="0" w:type="dxa"/>
        <w:tblLayout w:type="fixed"/>
        <w:tblCellMar>
          <w:top w:w="0" w:type="dxa"/>
          <w:start w:w="108" w:type="dxa"/>
          <w:bottom w:w="0" w:type="dxa"/>
          <w:end w:w="108" w:type="dxa"/>
        </w:tblCellMar>
      </w:tblPr>
      <w:tblGrid>
        <w:gridCol w:w="1368"/>
        <w:gridCol w:w="3780"/>
      </w:tblGrid>
      <w:tr>
        <w:trPr/>
        <w:tc>
          <w:tcPr>
            <w:tcW w:w="1368" w:type="dxa"/>
            <w:tcBorders/>
          </w:tcPr>
          <w:p>
            <w:pPr>
              <w:pStyle w:val="DefaultText"/>
              <w:widowControl/>
              <w:overflowPunct w:val="true"/>
              <w:autoSpaceDE w:val="true"/>
              <w:spacing w:before="120" w:after="120"/>
              <w:textAlignment w:val="auto"/>
              <w:rPr/>
            </w:pPr>
            <w:r>
              <w:rPr/>
              <w:t>January, 2002</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February</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March</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April</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May</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June</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July</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August</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September</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October</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November</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December</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January, 2003</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February, 2003</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March, 2003</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April, 2003</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napToGrid w:val="false"/>
              <w:spacing w:before="120" w:after="120"/>
              <w:textAlignment w:val="auto"/>
              <w:rPr/>
            </w:pPr>
            <w:r>
              <w:rPr/>
            </w:r>
          </w:p>
        </w:tc>
        <w:tc>
          <w:tcPr>
            <w:tcW w:w="3780" w:type="dxa"/>
            <w:tcBorders/>
          </w:tcPr>
          <w:p>
            <w:pPr>
              <w:pStyle w:val="DefaultText"/>
              <w:widowControl/>
              <w:overflowPunct w:val="true"/>
              <w:autoSpaceDE w:val="true"/>
              <w:snapToGrid w:val="false"/>
              <w:spacing w:before="120" w:after="120"/>
              <w:jc w:val="center"/>
              <w:textAlignment w:val="auto"/>
              <w:rPr/>
            </w:pPr>
            <w:r>
              <w:rPr/>
            </w:r>
          </w:p>
        </w:tc>
      </w:tr>
    </w:tbl>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textAlignment w:val="auto"/>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Exhibit XX</w:t>
      </w:r>
    </w:p>
    <w:p>
      <w:pPr>
        <w:pStyle w:val="Normal"/>
        <w:jc w:val="center"/>
        <w:rPr/>
      </w:pPr>
      <w:r>
        <w:rPr/>
        <w:t>MDEA EPMI Incentive Fee Calculation</w:t>
      </w:r>
    </w:p>
    <w:p>
      <w:pPr>
        <w:pStyle w:val="Normal"/>
        <w:rPr/>
      </w:pPr>
      <w:r>
        <w:rPr/>
      </w:r>
    </w:p>
    <w:p>
      <w:pPr>
        <w:pStyle w:val="Normal"/>
        <w:jc w:val="both"/>
        <w:rPr/>
      </w:pPr>
      <w:r>
        <w:rPr/>
        <w:t>MDEA and EPMI are financially incented to create value within the transaction through Profit and Savings.  MDEA and EPMI will share the Profits and Savings according to the following percentages:</w:t>
      </w:r>
    </w:p>
    <w:p>
      <w:pPr>
        <w:pStyle w:val="Normal"/>
        <w:jc w:val="both"/>
        <w:rPr/>
      </w:pPr>
      <w:r>
        <w:rPr/>
      </w:r>
    </w:p>
    <w:p>
      <w:pPr>
        <w:pStyle w:val="Normal"/>
        <w:numPr>
          <w:ilvl w:val="0"/>
          <w:numId w:val="2"/>
        </w:numPr>
        <w:jc w:val="both"/>
        <w:rPr/>
      </w:pPr>
      <w:r>
        <w:rPr/>
        <w:t>MDEA 60% and</w:t>
      </w:r>
    </w:p>
    <w:p>
      <w:pPr>
        <w:pStyle w:val="Normal"/>
        <w:numPr>
          <w:ilvl w:val="0"/>
          <w:numId w:val="2"/>
        </w:numPr>
        <w:jc w:val="both"/>
        <w:rPr/>
      </w:pPr>
      <w:r>
        <w:rPr/>
        <w:t>EPMI 40%.</w:t>
      </w:r>
    </w:p>
    <w:p>
      <w:pPr>
        <w:pStyle w:val="Normal"/>
        <w:jc w:val="both"/>
        <w:rPr/>
      </w:pPr>
      <w:r>
        <w:rPr/>
      </w:r>
    </w:p>
    <w:p>
      <w:pPr>
        <w:pStyle w:val="Normal"/>
        <w:jc w:val="both"/>
        <w:rPr/>
      </w:pPr>
      <w:r>
        <w:rPr/>
        <w:t xml:space="preserve">Total Daily Profit per MWh is calculated as the sum of the product of MWh sold and the realized market price less the Production Cost. </w:t>
      </w:r>
    </w:p>
    <w:p>
      <w:pPr>
        <w:pStyle w:val="Normal"/>
        <w:jc w:val="both"/>
        <w:rPr/>
      </w:pPr>
      <w:r>
        <w:rPr/>
      </w:r>
    </w:p>
    <w:p>
      <w:pPr>
        <w:pStyle w:val="Normal"/>
        <w:jc w:val="both"/>
        <w:rPr/>
      </w:pPr>
      <w:r>
        <w:rPr/>
        <w:t>Savings per MWh is calculated as the positive difference between (a) the MDEA Production Cost for units that would have run if market power were not purchased to serve system load, and (b) the delivered cost of market power purchased to serve system load.</w:t>
      </w:r>
    </w:p>
    <w:p>
      <w:pPr>
        <w:pStyle w:val="Normal"/>
        <w:jc w:val="both"/>
        <w:rPr/>
      </w:pPr>
      <w:r>
        <w:rPr/>
      </w:r>
    </w:p>
    <w:p>
      <w:pPr>
        <w:pStyle w:val="Normal"/>
        <w:jc w:val="both"/>
        <w:rPr/>
      </w:pPr>
      <w:r>
        <w:rPr/>
        <w:t>Total Daily Savings is the product of (a) the Savings per MWh calculated for the day, times (b) the total MWh for the same day of market power purchased to serve system load.</w:t>
      </w:r>
    </w:p>
    <w:p>
      <w:pPr>
        <w:pStyle w:val="Normal"/>
        <w:jc w:val="both"/>
        <w:rPr/>
      </w:pPr>
      <w:r>
        <w:rPr/>
      </w:r>
    </w:p>
    <w:p>
      <w:pPr>
        <w:pStyle w:val="Normal"/>
        <w:jc w:val="both"/>
        <w:rPr/>
      </w:pPr>
      <w:r>
        <w:rPr/>
        <w:t>Production Cost = [(delivered gas cost x unit heat rate) + VOM] + [unit start charge/MWh block]</w:t>
      </w:r>
    </w:p>
    <w:p>
      <w:pPr>
        <w:pStyle w:val="Normal"/>
        <w:jc w:val="both"/>
        <w:rPr/>
      </w:pPr>
      <w:r>
        <w:rPr/>
      </w:r>
    </w:p>
    <w:p>
      <w:pPr>
        <w:pStyle w:val="Normal"/>
        <w:jc w:val="both"/>
        <w:rPr/>
      </w:pPr>
      <w:r>
        <w:rPr/>
        <w:t xml:space="preserve">Delivered gas cost is the daily, midpoint posting for ________ under the </w:t>
      </w:r>
      <w:r>
        <w:rPr>
          <w:u w:val="single"/>
        </w:rPr>
        <w:t>Gas Daily</w:t>
      </w:r>
      <w:r>
        <w:rPr/>
        <w:t xml:space="preserve"> Daily Price Survey.</w:t>
      </w:r>
    </w:p>
    <w:p>
      <w:pPr>
        <w:pStyle w:val="Normal"/>
        <w:jc w:val="both"/>
        <w:rPr/>
      </w:pPr>
      <w:r>
        <w:rPr/>
      </w:r>
    </w:p>
    <w:p>
      <w:pPr>
        <w:pStyle w:val="Normal"/>
        <w:jc w:val="both"/>
        <w:rPr/>
      </w:pPr>
      <w:r>
        <w:rPr/>
        <w:t>Unit heat rate is the heat rate for each effected unit as specified in Exhibit “1”, Facilities.</w:t>
      </w:r>
    </w:p>
    <w:p>
      <w:pPr>
        <w:pStyle w:val="Normal"/>
        <w:jc w:val="both"/>
        <w:rPr/>
      </w:pPr>
      <w:r>
        <w:rPr/>
      </w:r>
    </w:p>
    <w:p>
      <w:pPr>
        <w:pStyle w:val="Normal"/>
        <w:jc w:val="both"/>
        <w:rPr/>
      </w:pPr>
      <w:r>
        <w:rPr/>
        <w:t>VOM is the variable operation and maintenance cost for operating each effected unit as specified in Exhibit “1”, Facilities.</w:t>
      </w:r>
    </w:p>
    <w:p>
      <w:pPr>
        <w:pStyle w:val="Normal"/>
        <w:jc w:val="both"/>
        <w:rPr/>
      </w:pPr>
      <w:r>
        <w:rPr/>
      </w:r>
    </w:p>
    <w:p>
      <w:pPr>
        <w:pStyle w:val="BodyText"/>
        <w:rPr/>
      </w:pPr>
      <w:r>
        <w:rPr/>
        <w:t>Unit Start Charge is the cost to start-up each effected unit as specified in Exhibit “1”, Facilities, and includes (a) start-up gas quantity required for the effected unit times the delivered gas cost.</w:t>
      </w:r>
    </w:p>
    <w:p>
      <w:pPr>
        <w:pStyle w:val="Normal"/>
        <w:rPr/>
      </w:pPr>
      <w:r>
        <w:rPr/>
      </w:r>
    </w:p>
    <w:p>
      <w:pPr>
        <w:pStyle w:val="Normal"/>
        <w:rPr/>
      </w:pPr>
      <w:r>
        <w:rPr/>
      </w:r>
    </w:p>
    <w:sectPr>
      <w:type w:val="continuous"/>
      <w:pgSz w:w="12240" w:h="15840"/>
      <w:pgMar w:left="1440" w:right="1440" w:gutter="0" w:header="0" w:top="1440" w:footer="432"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12</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spacing w:before="0" w:after="240"/>
      <w:jc w:val="both"/>
      <w:rPr/>
    </w:pPr>
    <w:r>
      <w:rPr/>
      <w:fldChar w:fldCharType="begin"/>
    </w:r>
    <w:r>
      <w:rPr/>
      <w:instrText xml:space="preserve"> FILENAME </w:instrText>
    </w:r>
    <w:r>
      <w:rPr/>
      <w:fldChar w:fldCharType="separate"/>
    </w:r>
    <w:r>
      <w:rPr/>
      <w:t>EXHIBIT_A-5603e3784948e1cb1c49af7bcdd3718a769a01bcc6e6ba7221100ec293772de6.doc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decimal"/>
      <w:lvlText w:val="%1."/>
      <w:lvlJc w:val="start"/>
      <w:pPr>
        <w:tabs>
          <w:tab w:val="num" w:pos="1080"/>
        </w:tabs>
        <w:ind w:start="1080" w:hanging="360"/>
      </w:pPr>
    </w:lvl>
  </w:abstractNum>
  <w:abstractNum w:abstractNumId="8">
    <w:lvl w:ilvl="0">
      <w:start w:val="1"/>
      <w:numFmt w:val="lowerRoman"/>
      <w:lvlText w:val="(%1)"/>
      <w:lvlJc w:val="start"/>
      <w:pPr>
        <w:tabs>
          <w:tab w:val="num" w:pos="2160"/>
        </w:tabs>
        <w:ind w:start="2160" w:hanging="720"/>
      </w:pPr>
      <w:rPr/>
    </w:lvl>
  </w:abstractNum>
  <w:abstractNum w:abstractNumId="9">
    <w:lvl w:ilvl="0">
      <w:start w:val="1"/>
      <w:numFmt w:val="decimal"/>
      <w:lvlText w:val="%1)"/>
      <w:lvlJc w:val="start"/>
      <w:pPr>
        <w:tabs>
          <w:tab w:val="num" w:pos="1080"/>
        </w:tabs>
        <w:ind w:start="1080" w:hanging="360"/>
      </w:pPr>
    </w:lvl>
  </w:abstractNum>
  <w:abstractNum w:abstractNumId="10">
    <w:lvl w:ilvl="0">
      <w:start w:val="1"/>
      <w:numFmt w:val="bullet"/>
      <w:lvlText w:val=""/>
      <w:lvlJc w:val="start"/>
      <w:pPr>
        <w:tabs>
          <w:tab w:val="num" w:pos="1080"/>
        </w:tabs>
        <w:ind w:start="1080" w:hanging="360"/>
      </w:pPr>
      <w:rPr>
        <w:rFonts w:ascii="Symbol" w:hAnsi="Symbol" w:cs="Symbol" w:hint="default"/>
      </w:rPr>
    </w:lvl>
  </w:abstractNum>
  <w:abstractNum w:abstractNumId="11">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BodyText"/>
    <w:qFormat/>
    <w:pPr>
      <w:widowControl w:val="false"/>
      <w:numPr>
        <w:ilvl w:val="1"/>
        <w:numId w:val="1"/>
      </w:numPr>
      <w:tabs>
        <w:tab w:val="clear" w:pos="720"/>
        <w:tab w:val="left" w:pos="1800" w:leader="none"/>
      </w:tabs>
      <w:spacing w:before="0" w:after="240"/>
      <w:ind w:firstLine="1440" w:start="0" w:end="0"/>
      <w:jc w:val="both"/>
      <w:outlineLvl w:val="1"/>
    </w:pPr>
    <w:rPr>
      <w:szCs w:val="20"/>
    </w:rPr>
  </w:style>
  <w:style w:type="paragraph" w:styleId="Heading3">
    <w:name w:val="heading 3"/>
    <w:basedOn w:val="Normal"/>
    <w:next w:val="Normal"/>
    <w:qFormat/>
    <w:pPr>
      <w:keepNext w:val="true"/>
      <w:numPr>
        <w:ilvl w:val="2"/>
        <w:numId w:val="1"/>
      </w:numPr>
      <w:ind w:hanging="0" w:start="360" w:end="0"/>
      <w:outlineLvl w:val="2"/>
    </w:pPr>
    <w:rPr>
      <w:b/>
      <w:bCs/>
    </w:rPr>
  </w:style>
  <w:style w:type="paragraph" w:styleId="Heading4">
    <w:name w:val="heading 4"/>
    <w:basedOn w:val="Normal"/>
    <w:next w:val="Normal"/>
    <w:qFormat/>
    <w:pPr>
      <w:widowControl w:val="false"/>
      <w:numPr>
        <w:ilvl w:val="3"/>
        <w:numId w:val="1"/>
      </w:numPr>
      <w:tabs>
        <w:tab w:val="clear" w:pos="720"/>
        <w:tab w:val="left" w:pos="3240" w:leader="none"/>
      </w:tabs>
      <w:spacing w:before="0" w:after="240"/>
      <w:ind w:firstLine="720" w:start="2160" w:end="0"/>
      <w:jc w:val="both"/>
      <w:outlineLvl w:val="3"/>
    </w:pPr>
    <w:rPr>
      <w:szCs w:val="20"/>
    </w:rPr>
  </w:style>
  <w:style w:type="paragraph" w:styleId="Heading5">
    <w:name w:val="heading 5"/>
    <w:basedOn w:val="Normal"/>
    <w:next w:val="Normal"/>
    <w:qFormat/>
    <w:pPr>
      <w:widowControl w:val="false"/>
      <w:numPr>
        <w:ilvl w:val="4"/>
        <w:numId w:val="1"/>
      </w:numPr>
      <w:tabs>
        <w:tab w:val="clear" w:pos="720"/>
        <w:tab w:val="left" w:pos="3600" w:leader="none"/>
      </w:tabs>
      <w:spacing w:before="120" w:after="120"/>
      <w:ind w:hanging="720" w:start="3600" w:end="0"/>
      <w:jc w:val="both"/>
      <w:outlineLvl w:val="4"/>
    </w:pPr>
    <w:rPr>
      <w:szCs w:val="20"/>
    </w:rPr>
  </w:style>
  <w:style w:type="paragraph" w:styleId="Heading6">
    <w:name w:val="heading 6"/>
    <w:basedOn w:val="Normal"/>
    <w:next w:val="Normal"/>
    <w:qFormat/>
    <w:pPr>
      <w:keepNext w:val="true"/>
      <w:numPr>
        <w:ilvl w:val="5"/>
        <w:numId w:val="1"/>
      </w:numPr>
      <w:jc w:val="center"/>
      <w:outlineLvl w:val="5"/>
    </w:pPr>
    <w:rPr>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Times New Roman Bold" w:hAnsi="Times New Roman Bold" w:cs="BauerBodoni-Bold;Arial Rounded MT Bold"/>
      <w:b/>
      <w:i w:val="false"/>
      <w:sz w:val="24"/>
    </w:rPr>
  </w:style>
  <w:style w:type="character" w:styleId="WW8Num70z1">
    <w:name w:val="WW8Num70z1"/>
    <w:qFormat/>
    <w:rPr>
      <w:rFonts w:ascii="Times New Roman" w:hAnsi="Times New Roman" w:cs="Times New Roman"/>
      <w:b w:val="false"/>
      <w:i w:val="false"/>
      <w:sz w:val="24"/>
    </w:rPr>
  </w:style>
  <w:style w:type="character" w:styleId="WW8Num71z0">
    <w:name w:val="WW8Num71z0"/>
    <w:qFormat/>
    <w:rPr/>
  </w:style>
  <w:style w:type="character" w:styleId="WW8Num72z0">
    <w:name w:val="WW8Num72z0"/>
    <w:qFormat/>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b w:val="false"/>
      <w:i w:val="false"/>
    </w:rPr>
  </w:style>
  <w:style w:type="character" w:styleId="WW8Num81z2">
    <w:name w:val="WW8Num81z2"/>
    <w:qFormat/>
    <w:rPr/>
  </w:style>
  <w:style w:type="character" w:styleId="WW8Num82z0">
    <w:name w:val="WW8Num82z0"/>
    <w:qFormat/>
    <w:rPr/>
  </w:style>
  <w:style w:type="character" w:styleId="WW8Num83z0">
    <w:name w:val="WW8Num83z0"/>
    <w:qFormat/>
    <w:rPr>
      <w:b w:val="false"/>
      <w:i w:val="false"/>
    </w:rPr>
  </w:style>
  <w:style w:type="character" w:styleId="WW8Num83z2">
    <w:name w:val="WW8Num83z2"/>
    <w:qFormat/>
    <w:rPr/>
  </w:style>
  <w:style w:type="character" w:styleId="WW8Num84z0">
    <w:name w:val="WW8Num84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8z1">
    <w:name w:val="WW8Num88z1"/>
    <w:qFormat/>
    <w:rPr>
      <w:b w:val="false"/>
      <w:i w:val="false"/>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1z1">
    <w:name w:val="WW8Num91z1"/>
    <w:qFormat/>
    <w:rPr>
      <w:rFonts w:ascii="Times" w:hAnsi="Times" w:cs="Times"/>
      <w:b/>
      <w:i w:val="false"/>
      <w:sz w:val="24"/>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b w:val="false"/>
      <w:i w:val="false"/>
    </w:rPr>
  </w:style>
  <w:style w:type="character" w:styleId="WW8Num100z2">
    <w:name w:val="WW8Num100z2"/>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b w:val="false"/>
      <w:i w:val="false"/>
    </w:rPr>
  </w:style>
  <w:style w:type="character" w:styleId="WW8Num117z1">
    <w:name w:val="WW8Num117z1"/>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rFonts w:ascii="Times New Roman" w:hAnsi="Times New Roman" w:cs="Times New Roman"/>
      <w:b w:val="false"/>
      <w:i w:val="false"/>
      <w:sz w:val="24"/>
    </w:rPr>
  </w:style>
  <w:style w:type="character" w:styleId="WW8Num122z1">
    <w:name w:val="WW8Num122z1"/>
    <w:qFormat/>
    <w:rPr/>
  </w:style>
  <w:style w:type="character" w:styleId="WW8Num123z0">
    <w:name w:val="WW8Num123z0"/>
    <w:qFormat/>
    <w:rPr>
      <w:b w:val="false"/>
      <w:i w:val="false"/>
    </w:rPr>
  </w:style>
  <w:style w:type="character" w:styleId="WW8Num123z2">
    <w:name w:val="WW8Num123z2"/>
    <w:qFormat/>
    <w:rPr/>
  </w:style>
  <w:style w:type="character" w:styleId="WW8Num124z0">
    <w:name w:val="WW8Num124z0"/>
    <w:qFormat/>
    <w:rPr>
      <w:b w:val="false"/>
      <w:i w:val="false"/>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1z0">
    <w:name w:val="WW8Num131z0"/>
    <w:qFormat/>
    <w:rPr/>
  </w:style>
  <w:style w:type="character" w:styleId="WW8Num131z1">
    <w:name w:val="WW8Num131z1"/>
    <w:qFormat/>
    <w:rPr>
      <w:b w:val="false"/>
      <w:i w:val="false"/>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b w:val="false"/>
      <w:i w:val="false"/>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b w:val="false"/>
      <w:i w:val="false"/>
      <w:caps/>
      <w:strike w:val="false"/>
      <w:dstrike w:val="false"/>
      <w:outline w:val="false"/>
      <w:shadow w:val="false"/>
      <w:vanish w:val="false"/>
      <w:color w:val="auto"/>
      <w:position w:val="0"/>
      <w:sz w:val="24"/>
      <w:u w:val="none"/>
      <w:vertAlign w:val="baseline"/>
    </w:rPr>
  </w:style>
  <w:style w:type="character" w:styleId="WW8Num139z1">
    <w:name w:val="WW8Num13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2z1">
    <w:name w:val="WW8Num142z1"/>
    <w:qFormat/>
    <w:rPr>
      <w:b w:val="false"/>
      <w:i w:val="false"/>
    </w:rPr>
  </w:style>
  <w:style w:type="character" w:styleId="WW8Num143z0">
    <w:name w:val="WW8Num143z0"/>
    <w:qFormat/>
    <w:rPr/>
  </w:style>
  <w:style w:type="character" w:styleId="WW8Num143z1">
    <w:name w:val="WW8Num143z1"/>
    <w:qFormat/>
    <w:rPr>
      <w:b w:val="false"/>
      <w:i w:val="false"/>
    </w:rPr>
  </w:style>
  <w:style w:type="character" w:styleId="WW8Num144z0">
    <w:name w:val="WW8Num144z0"/>
    <w:qFormat/>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style>
  <w:style w:type="character" w:styleId="WW8Num149z0">
    <w:name w:val="WW8Num149z0"/>
    <w:qFormat/>
    <w:rPr/>
  </w:style>
  <w:style w:type="character" w:styleId="WW8Num150z0">
    <w:name w:val="WW8Num150z0"/>
    <w:qFormat/>
    <w:rPr>
      <w:rFonts w:ascii="Symbol" w:hAnsi="Symbol" w:cs="Symbol"/>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2z0">
    <w:name w:val="WW8Num152z0"/>
    <w:qFormat/>
    <w:rPr>
      <w:b w:val="false"/>
    </w:rPr>
  </w:style>
  <w:style w:type="character" w:styleId="WW8Num154z0">
    <w:name w:val="WW8Num154z0"/>
    <w:qFormat/>
    <w:rPr/>
  </w:style>
  <w:style w:type="character" w:styleId="WW8Num155z0">
    <w:name w:val="WW8Num155z0"/>
    <w:qFormat/>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3z0">
    <w:name w:val="WW8Num163z0"/>
    <w:qFormat/>
    <w:rPr/>
  </w:style>
  <w:style w:type="character" w:styleId="WW8Num163z1">
    <w:name w:val="WW8Num163z1"/>
    <w:qFormat/>
    <w:rPr>
      <w:rFonts w:ascii="Times New Roman" w:hAnsi="Times New Roman" w:cs="Times New Roman"/>
      <w:sz w:val="24"/>
    </w:rPr>
  </w:style>
  <w:style w:type="character" w:styleId="WW8Num164z0">
    <w:name w:val="WW8Num164z0"/>
    <w:qFormat/>
    <w:rPr/>
  </w:style>
  <w:style w:type="character" w:styleId="WW8Num164z1">
    <w:name w:val="WW8Num164z1"/>
    <w:qFormat/>
    <w:rPr>
      <w:b w:val="false"/>
      <w:i w:val="false"/>
    </w:rPr>
  </w:style>
  <w:style w:type="character" w:styleId="WW8Num165z0">
    <w:name w:val="WW8Num165z0"/>
    <w:qFormat/>
    <w:rPr>
      <w:rFonts w:ascii="Times New Roman" w:hAnsi="Times New Roman" w:cs="Times New Roman"/>
      <w:b w:val="false"/>
      <w:i w:val="false"/>
      <w:sz w:val="24"/>
    </w:rPr>
  </w:style>
  <w:style w:type="character" w:styleId="WW8Num165z1">
    <w:name w:val="WW8Num165z1"/>
    <w:qFormat/>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style>
  <w:style w:type="character" w:styleId="WW8Num168z1">
    <w:name w:val="WW8Num168z1"/>
    <w:qFormat/>
    <w:rPr>
      <w:b w:val="false"/>
      <w:i w:val="false"/>
    </w:rPr>
  </w:style>
  <w:style w:type="character" w:styleId="WW8Num169z0">
    <w:name w:val="WW8Num169z0"/>
    <w:qFormat/>
    <w:rPr>
      <w:rFonts w:ascii="Times New Roman" w:hAnsi="Times New Roman" w:cs="Times New Roman"/>
      <w:b w:val="false"/>
      <w:i w:val="false"/>
      <w:sz w:val="24"/>
      <w:u w:val="none"/>
    </w:rPr>
  </w:style>
  <w:style w:type="character" w:styleId="WW8Num171z0">
    <w:name w:val="WW8Num171z0"/>
    <w:qFormat/>
    <w:rPr/>
  </w:style>
  <w:style w:type="character" w:styleId="WW8Num172z0">
    <w:name w:val="WW8Num172z0"/>
    <w:qFormat/>
    <w:rPr/>
  </w:style>
  <w:style w:type="character" w:styleId="WW8Num173z0">
    <w:name w:val="WW8Num173z0"/>
    <w:qFormat/>
    <w:rPr>
      <w:rFonts w:ascii="Symbol" w:hAnsi="Symbol" w:cs="Symbol"/>
    </w:rPr>
  </w:style>
  <w:style w:type="character" w:styleId="WW8Num175z0">
    <w:name w:val="WW8Num175z0"/>
    <w:qFormat/>
    <w:rPr/>
  </w:style>
  <w:style w:type="character" w:styleId="WW8Num176z0">
    <w:name w:val="WW8Num176z0"/>
    <w:qFormat/>
    <w:rPr>
      <w:rFonts w:ascii="Times New Roman" w:hAnsi="Times New Roman" w:cs="Times New Roman"/>
      <w:b w:val="false"/>
      <w:i w:val="false"/>
      <w:sz w:val="24"/>
      <w:u w:val="none"/>
    </w:rPr>
  </w:style>
  <w:style w:type="character" w:styleId="WW8Num177z0">
    <w:name w:val="WW8Num177z0"/>
    <w:qFormat/>
    <w:rPr/>
  </w:style>
  <w:style w:type="character" w:styleId="WW8Num179z0">
    <w:name w:val="WW8Num179z0"/>
    <w:qFormat/>
    <w:rPr/>
  </w:style>
  <w:style w:type="character" w:styleId="WW8Num180z0">
    <w:name w:val="WW8Num180z0"/>
    <w:qFormat/>
    <w:rPr/>
  </w:style>
  <w:style w:type="character" w:styleId="WW8Num182z0">
    <w:name w:val="WW8Num182z0"/>
    <w:qFormat/>
    <w:rPr/>
  </w:style>
  <w:style w:type="character" w:styleId="WW8Num183z0">
    <w:name w:val="WW8Num183z0"/>
    <w:qFormat/>
    <w:rPr/>
  </w:style>
  <w:style w:type="character" w:styleId="WW8Num184z0">
    <w:name w:val="WW8Num184z0"/>
    <w:qFormat/>
    <w:rPr>
      <w:rFonts w:ascii="Symbol" w:hAnsi="Symbol" w:cs="Symbol"/>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style>
  <w:style w:type="character" w:styleId="WW8Num190z1">
    <w:name w:val="WW8Num190z1"/>
    <w:qFormat/>
    <w:rPr>
      <w:b w:val="false"/>
      <w:i w:val="false"/>
    </w:rPr>
  </w:style>
  <w:style w:type="character" w:styleId="WW8Num191z0">
    <w:name w:val="WW8Num191z0"/>
    <w:qFormat/>
    <w:rPr>
      <w:rFonts w:ascii="Times New Roman" w:hAnsi="Times New Roman" w:cs="Times New Roman"/>
      <w:b w:val="false"/>
      <w:i w:val="false"/>
      <w:sz w:val="24"/>
      <w:u w:val="none"/>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rFonts w:ascii="Times New Roman" w:hAnsi="Times New Roman" w:cs="Times New Roman"/>
      <w:b/>
      <w:i w:val="false"/>
      <w:caps/>
      <w:sz w:val="24"/>
    </w:rPr>
  </w:style>
  <w:style w:type="character" w:styleId="WW8Num199z1">
    <w:name w:val="WW8Num199z1"/>
    <w:qFormat/>
    <w:rPr>
      <w:rFonts w:ascii="Times New Roman" w:hAnsi="Times New Roman" w:cs="Times New Roman"/>
      <w:b w:val="false"/>
      <w:i w:val="false"/>
      <w:sz w:val="24"/>
      <w:u w:val="none"/>
    </w:rPr>
  </w:style>
  <w:style w:type="character" w:styleId="WW8Num199z2">
    <w:name w:val="WW8Num199z2"/>
    <w:qFormat/>
    <w:rPr>
      <w:rFonts w:ascii="Times New Roman" w:hAnsi="Times New Roman" w:cs="Times New Roman"/>
      <w:b w:val="false"/>
      <w:i w:val="false"/>
      <w:sz w:val="24"/>
    </w:rPr>
  </w:style>
  <w:style w:type="character" w:styleId="WW8Num199z5">
    <w:name w:val="WW8Num199z5"/>
    <w:qFormat/>
    <w:rPr>
      <w:rFonts w:ascii="Times New Roman" w:hAnsi="Times New Roman" w:cs="Times New Roman"/>
      <w:b/>
      <w:i w:val="false"/>
      <w:sz w:val="24"/>
      <w:u w:val="none"/>
    </w:rPr>
  </w:style>
  <w:style w:type="character" w:styleId="WW8Num200z0">
    <w:name w:val="WW8Num200z0"/>
    <w:qFormat/>
    <w:rPr/>
  </w:style>
  <w:style w:type="character" w:styleId="WW8Num201z0">
    <w:name w:val="WW8Num201z0"/>
    <w:qFormat/>
    <w:rPr>
      <w:i w:val="false"/>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7z0">
    <w:name w:val="WW8Num207z0"/>
    <w:qFormat/>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6z0">
    <w:name w:val="WW8Num216z0"/>
    <w:qFormat/>
    <w:rPr/>
  </w:style>
  <w:style w:type="character" w:styleId="WW8Num217z0">
    <w:name w:val="WW8Num217z0"/>
    <w:qFormat/>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style>
  <w:style w:type="character" w:styleId="WW8Num220z0">
    <w:name w:val="WW8Num220z0"/>
    <w:qFormat/>
    <w:rPr>
      <w:rFonts w:ascii="Symbol" w:hAnsi="Symbol" w:cs="Symbol"/>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1z0">
    <w:name w:val="WW8Num221z0"/>
    <w:qFormat/>
    <w:rPr/>
  </w:style>
  <w:style w:type="character" w:styleId="WW8Num222z0">
    <w:name w:val="WW8Num222z0"/>
    <w:qFormat/>
    <w:rPr/>
  </w:style>
  <w:style w:type="character" w:styleId="WW8Num223z0">
    <w:name w:val="WW8Num223z0"/>
    <w:qFormat/>
    <w:rPr/>
  </w:style>
  <w:style w:type="character" w:styleId="WW8Num224z0">
    <w:name w:val="WW8Num224z0"/>
    <w:qFormat/>
    <w:rPr/>
  </w:style>
  <w:style w:type="character" w:styleId="WW8Num225z0">
    <w:name w:val="WW8Num225z0"/>
    <w:qFormat/>
    <w:rPr>
      <w:rFonts w:ascii="Times New Roman" w:hAnsi="Times New Roman" w:cs="Times New Roman"/>
      <w:b w:val="false"/>
      <w:i w:val="false"/>
      <w:sz w:val="24"/>
    </w:rPr>
  </w:style>
  <w:style w:type="character" w:styleId="WW8Num225z1">
    <w:name w:val="WW8Num225z1"/>
    <w:qFormat/>
    <w:rPr/>
  </w:style>
  <w:style w:type="character" w:styleId="WW8Num226z0">
    <w:name w:val="WW8Num226z0"/>
    <w:qFormat/>
    <w:rPr>
      <w:rFonts w:ascii="Symbol" w:hAnsi="Symbol" w:cs="Symbol"/>
    </w:rPr>
  </w:style>
  <w:style w:type="character" w:styleId="WW8Num227z0">
    <w:name w:val="WW8Num227z0"/>
    <w:qFormat/>
    <w:rPr/>
  </w:style>
  <w:style w:type="character" w:styleId="WW8Num227z1">
    <w:name w:val="WW8Num227z1"/>
    <w:qFormat/>
    <w:rPr>
      <w:rFonts w:ascii="Times New Roman" w:hAnsi="Times New Roman" w:cs="Times New Roman"/>
      <w:sz w:val="24"/>
    </w:rPr>
  </w:style>
  <w:style w:type="character" w:styleId="WW8Num228z0">
    <w:name w:val="WW8Num228z0"/>
    <w:qFormat/>
    <w:rPr>
      <w:u w:val="single"/>
    </w:rPr>
  </w:style>
  <w:style w:type="character" w:styleId="WW8Num229z0">
    <w:name w:val="WW8Num229z0"/>
    <w:qFormat/>
    <w:rPr/>
  </w:style>
  <w:style w:type="character" w:styleId="WW8Num230z0">
    <w:name w:val="WW8Num230z0"/>
    <w:qFormat/>
    <w:rPr>
      <w:b w:val="false"/>
      <w:i w:val="false"/>
    </w:rPr>
  </w:style>
  <w:style w:type="character" w:styleId="WW8Num230z2">
    <w:name w:val="WW8Num230z2"/>
    <w:qFormat/>
    <w:rPr/>
  </w:style>
  <w:style w:type="character" w:styleId="WW8Num231z0">
    <w:name w:val="WW8Num231z0"/>
    <w:qFormat/>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0z1">
    <w:name w:val="WW8Num240z1"/>
    <w:qFormat/>
    <w:rPr>
      <w:b w:val="false"/>
      <w:i w:val="false"/>
    </w:rPr>
  </w:style>
  <w:style w:type="character" w:styleId="WW8Num241z0">
    <w:name w:val="WW8Num241z0"/>
    <w:qFormat/>
    <w:rPr/>
  </w:style>
  <w:style w:type="character" w:styleId="WW8Num242z0">
    <w:name w:val="WW8Num242z0"/>
    <w:qFormat/>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7z0">
    <w:name w:val="WW8Num247z0"/>
    <w:qFormat/>
    <w:rPr>
      <w:rFonts w:ascii="Symbol" w:hAnsi="Symbol" w:cs="Symbol"/>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1z0">
    <w:name w:val="WW8Num251z0"/>
    <w:qFormat/>
    <w:rPr>
      <w:b w:val="false"/>
      <w:u w:val="none"/>
    </w:rPr>
  </w:style>
  <w:style w:type="character" w:styleId="WW8Num252z0">
    <w:name w:val="WW8Num252z0"/>
    <w:qFormat/>
    <w:rPr/>
  </w:style>
  <w:style w:type="character" w:styleId="WW8Num253z0">
    <w:name w:val="WW8Num253z0"/>
    <w:qFormat/>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7z0">
    <w:name w:val="WW8Num257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b w:val="false"/>
      <w:i w:val="false"/>
    </w:rPr>
  </w:style>
  <w:style w:type="character" w:styleId="WW8Num264z2">
    <w:name w:val="WW8Num264z2"/>
    <w:qFormat/>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5z0">
    <w:name w:val="WW8Num275z0"/>
    <w:qFormat/>
    <w:rPr/>
  </w:style>
  <w:style w:type="character" w:styleId="WW8Num276z0">
    <w:name w:val="WW8Num276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L1">
    <w:name w:val="Outline_L1"/>
    <w:basedOn w:val="Normal"/>
    <w:next w:val="NumContinue"/>
    <w:qFormat/>
    <w:pPr>
      <w:keepNext w:val="true"/>
      <w:numPr>
        <w:ilvl w:val="0"/>
        <w:numId w:val="8"/>
      </w:numPr>
      <w:spacing w:before="0" w:after="240"/>
      <w:outlineLvl w:val="0"/>
    </w:pPr>
    <w:rPr>
      <w:szCs w:val="20"/>
    </w:rPr>
  </w:style>
  <w:style w:type="paragraph" w:styleId="OutlineL2">
    <w:name w:val="Outline_L2"/>
    <w:basedOn w:val="OutlineL1"/>
    <w:next w:val="NumContinue"/>
    <w:qFormat/>
    <w:pPr>
      <w:keepNext w:val="false"/>
      <w:numPr>
        <w:ilvl w:val="0"/>
        <w:numId w:val="5"/>
      </w:numPr>
      <w:ind w:hanging="720" w:start="1440" w:end="0"/>
      <w:outlineLvl w:val="1"/>
    </w:pPr>
    <w:rPr/>
  </w:style>
  <w:style w:type="paragraph" w:styleId="OutlineL3">
    <w:name w:val="Outline_L3"/>
    <w:basedOn w:val="OutlineL2"/>
    <w:next w:val="NumContinue"/>
    <w:qFormat/>
    <w:pPr>
      <w:numPr>
        <w:ilvl w:val="0"/>
        <w:numId w:val="5"/>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5"/>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5"/>
      </w:numPr>
      <w:ind w:hanging="360" w:start="360" w:end="0"/>
      <w:outlineLvl w:val="4"/>
    </w:pPr>
    <w:rPr/>
  </w:style>
  <w:style w:type="paragraph" w:styleId="OutlineL6">
    <w:name w:val="Outline_L6"/>
    <w:basedOn w:val="OutlineL5"/>
    <w:next w:val="NumContinue"/>
    <w:qFormat/>
    <w:pPr>
      <w:numPr>
        <w:ilvl w:val="0"/>
        <w:numId w:val="5"/>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5"/>
      </w:numPr>
      <w:ind w:hanging="360" w:start="360" w:end="0"/>
      <w:outlineLvl w:val="6"/>
    </w:pPr>
    <w:rPr/>
  </w:style>
  <w:style w:type="paragraph" w:styleId="OutlineL8">
    <w:name w:val="Outline_L8"/>
    <w:basedOn w:val="OutlineL7"/>
    <w:next w:val="NumContinue"/>
    <w:qFormat/>
    <w:pPr>
      <w:numPr>
        <w:ilvl w:val="0"/>
        <w:numId w:val="5"/>
      </w:numPr>
      <w:ind w:hanging="360" w:start="360" w:end="0"/>
      <w:outlineLvl w:val="7"/>
    </w:pPr>
    <w:rPr/>
  </w:style>
  <w:style w:type="paragraph" w:styleId="OutlineL9">
    <w:name w:val="Outline_L9"/>
    <w:basedOn w:val="OutlineL8"/>
    <w:next w:val="NumContinue"/>
    <w:qFormat/>
    <w:pPr>
      <w:numPr>
        <w:ilvl w:val="0"/>
        <w:numId w:val="5"/>
      </w:numPr>
      <w:ind w:hanging="360" w:start="360" w:end="0"/>
      <w:outlineLvl w:val="8"/>
    </w:pPr>
    <w:rPr/>
  </w:style>
  <w:style w:type="paragraph" w:styleId="NumContinue">
    <w:name w:val="Num Continue"/>
    <w:basedOn w:val="BodyText"/>
    <w:qFormat/>
    <w:pPr>
      <w:spacing w:before="0" w:after="240"/>
      <w:ind w:firstLine="720" w:start="0" w:end="0"/>
      <w:jc w:val="start"/>
    </w:pPr>
    <w:rPr/>
  </w:style>
  <w:style w:type="paragraph" w:styleId="DefaultText">
    <w:name w:val="Default Text"/>
    <w:basedOn w:val="Normal"/>
    <w:qFormat/>
    <w:pPr>
      <w:widowControl w:val="false"/>
      <w:overflowPunct w:val="false"/>
      <w:autoSpaceDE w:val="false"/>
      <w:textAlignment w:val="baseline"/>
    </w:pPr>
    <w:rPr>
      <w:szCs w:val="20"/>
    </w:rPr>
  </w:style>
  <w:style w:type="paragraph" w:styleId="BodyText3">
    <w:name w:val="Body Text 3"/>
    <w:basedOn w:val="Normal"/>
    <w:qFormat/>
    <w:pPr>
      <w:jc w:val="both"/>
    </w:pPr>
    <w:rPr>
      <w:szCs w:val="20"/>
    </w:rPr>
  </w:style>
  <w:style w:type="paragraph" w:styleId="ArticleL3">
    <w:name w:val="Article_L3"/>
    <w:basedOn w:val="Normal"/>
    <w:next w:val="Normal"/>
    <w:qFormat/>
    <w:pPr>
      <w:widowControl w:val="false"/>
      <w:tabs>
        <w:tab w:val="left" w:pos="720" w:leader="none"/>
      </w:tabs>
      <w:spacing w:before="240" w:after="0"/>
      <w:ind w:hanging="720" w:start="720" w:end="0"/>
    </w:pPr>
    <w:rPr>
      <w:szCs w:val="20"/>
    </w:rPr>
  </w:style>
  <w:style w:type="paragraph" w:styleId="Index1">
    <w:name w:val="index 1"/>
    <w:basedOn w:val="Normal"/>
    <w:next w:val="Normal"/>
    <w:pPr/>
    <w:rPr/>
  </w:style>
  <w:style w:type="paragraph" w:styleId="FootnoteText">
    <w:name w:val="footnote text"/>
    <w:basedOn w:val="Normal"/>
    <w:pPr>
      <w:widowControl w:val="false"/>
      <w:spacing w:before="120" w:after="120"/>
      <w:jc w:val="both"/>
    </w:pPr>
    <w:rPr>
      <w:sz w:val="20"/>
      <w:szCs w:val="20"/>
    </w:rPr>
  </w:style>
  <w:style w:type="paragraph" w:styleId="Justified">
    <w:name w:val="Justified"/>
    <w:basedOn w:val="Normal"/>
    <w:next w:val="Heading2"/>
    <w:qFormat/>
    <w:pPr>
      <w:spacing w:before="0" w:after="120"/>
      <w:jc w:val="both"/>
    </w:pPr>
    <w:rPr>
      <w:rFonts w:ascii="Courier" w:hAnsi="Courier" w:cs="Courier"/>
      <w:sz w:val="26"/>
      <w:szCs w:val="20"/>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cs="Times New Roman Bold"/>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5040" w:leader="none"/>
        <w:tab w:val="right" w:pos="8640" w:leader="none"/>
      </w:tabs>
      <w:spacing w:before="0" w:after="240"/>
      <w:jc w:val="both"/>
    </w:pPr>
    <w:rPr>
      <w:sz w:val="1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2001-04-09T10:14:00Z</dcterms:created>
  <dc:creator>kmann</dc:creator>
  <dc:description/>
  <dc:language>en-CA</dc:language>
  <cp:lastModifiedBy>kmann</cp:lastModifiedBy>
  <dcterms:modified xsi:type="dcterms:W3CDTF">2001-04-10T16:43:00Z</dcterms:modified>
  <cp:revision>3</cp:revision>
  <dc:subject/>
  <dc:title>EXHIBIT A</dc:title>
</cp:coreProperties>
</file>