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REGULATORY RULES AND REQUIREMENTS RELATING TO </w:t>
      </w:r>
    </w:p>
    <w:p>
      <w:pPr>
        <w:pStyle w:val="Heading"/>
        <w:rPr>
          <w:b/>
        </w:rPr>
      </w:pPr>
      <w:r>
        <w:rPr>
          <w:b/>
        </w:rPr>
        <w:t>MERCHANT POWER  PLANTS</w:t>
      </w:r>
    </w:p>
    <w:p>
      <w:pPr>
        <w:pStyle w:val="Normal"/>
        <w:rPr>
          <w:b/>
          <w:sz w:val="28"/>
        </w:rPr>
      </w:pPr>
      <w:r>
        <w:rPr>
          <w:b/>
          <w:sz w:val="28"/>
        </w:rPr>
      </w:r>
    </w:p>
    <w:p>
      <w:pPr>
        <w:pStyle w:val="Subtitle"/>
        <w:rPr>
          <w:u w:val="none"/>
        </w:rPr>
      </w:pPr>
      <w:r>
        <w:rPr>
          <w:u w:val="none"/>
        </w:rPr>
        <w:t>Florida</w:t>
      </w:r>
    </w:p>
    <w:p>
      <w:pPr>
        <w:pStyle w:val="Subtitle"/>
        <w:jc w:val="start"/>
        <w:rPr/>
      </w:pPr>
      <w:r>
        <w:rPr>
          <w:b w:val="false"/>
          <w:sz w:val="24"/>
        </w:rPr>
        <w:t>PSC Authority</w:t>
      </w:r>
      <w:r>
        <w:rPr>
          <w:b w:val="false"/>
          <w:sz w:val="24"/>
          <w:u w:val="none"/>
        </w:rPr>
        <w:t xml:space="preserve">: A merchant plant in so far as it does not serve the retail public is not a “utility” subject to the regulatory authority of the PSC. Chapter 80-65, S 5 (214), Laws of Florida defines a utility as “any person or entity of whatever form which provides electricity or natural gas at retail to the public </w:t>
      </w:r>
    </w:p>
    <w:p>
      <w:pPr>
        <w:pStyle w:val="Subtitle"/>
        <w:jc w:val="start"/>
        <w:rPr>
          <w:b w:val="false"/>
          <w:sz w:val="24"/>
          <w:u w:val="none"/>
        </w:rPr>
      </w:pPr>
      <w:r>
        <w:rPr>
          <w:b w:val="false"/>
          <w:sz w:val="24"/>
          <w:u w:val="none"/>
        </w:rPr>
      </w:r>
    </w:p>
    <w:p>
      <w:pPr>
        <w:pStyle w:val="Subtitle"/>
        <w:jc w:val="start"/>
        <w:rPr/>
      </w:pPr>
      <w:r>
        <w:rPr>
          <w:b w:val="false"/>
          <w:sz w:val="24"/>
        </w:rPr>
        <w:t xml:space="preserve">State Citing Requirements. </w:t>
      </w:r>
      <w:r>
        <w:rPr>
          <w:b w:val="false"/>
          <w:sz w:val="24"/>
          <w:u w:val="none"/>
        </w:rPr>
        <w:t xml:space="preserve">Pursuant to Florida Electrical Power Plant Siting Act - Section 403.501-519; and Florida Energy Efficiency &amp; Conservation Act – Section 366.80, merchant plants with a combined cycle of more than 75MW, require the following certificates: </w:t>
      </w:r>
    </w:p>
    <w:p>
      <w:pPr>
        <w:pStyle w:val="Normal"/>
        <w:rPr>
          <w:b/>
          <w:sz w:val="24"/>
          <w:u w:val="none"/>
        </w:rPr>
      </w:pPr>
      <w:r>
        <w:rPr>
          <w:b/>
          <w:sz w:val="24"/>
          <w:u w:val="none"/>
        </w:rPr>
      </w:r>
    </w:p>
    <w:p>
      <w:pPr>
        <w:pStyle w:val="Normal"/>
        <w:rPr>
          <w:sz w:val="24"/>
        </w:rPr>
      </w:pPr>
      <w:r>
        <w:rPr>
          <w:sz w:val="24"/>
        </w:rPr>
        <w:t>1. Certificate of Need (Maximum 150 days)</w:t>
      </w:r>
    </w:p>
    <w:p>
      <w:pPr>
        <w:pStyle w:val="Normal"/>
        <w:rPr>
          <w:sz w:val="24"/>
        </w:rPr>
      </w:pPr>
      <w:r>
        <w:rPr>
          <w:sz w:val="24"/>
        </w:rPr>
        <w:t>2. Power Plant Citing Certificate (about 4 months)</w:t>
      </w:r>
    </w:p>
    <w:p>
      <w:pPr>
        <w:pStyle w:val="Normal"/>
        <w:rPr>
          <w:sz w:val="24"/>
        </w:rPr>
      </w:pPr>
      <w:r>
        <w:rPr>
          <w:sz w:val="24"/>
        </w:rPr>
        <w:t>3. PFD Permit (Prevention of Significant Deterioration of Air Quality - up to 140 days).</w:t>
      </w:r>
    </w:p>
    <w:p>
      <w:pPr>
        <w:pStyle w:val="Normal"/>
        <w:rPr>
          <w:sz w:val="24"/>
        </w:rPr>
      </w:pPr>
      <w:r>
        <w:rPr>
          <w:sz w:val="24"/>
        </w:rPr>
        <w:t>Combined cycle power plants of less that 75MW and simple cycle combustion turbines do not require a certificate of need nor a power plant citing certificate. They only require a PFD certificate.</w:t>
      </w:r>
    </w:p>
    <w:p>
      <w:pPr>
        <w:pStyle w:val="Normal"/>
        <w:rPr>
          <w:sz w:val="24"/>
        </w:rPr>
      </w:pPr>
      <w:r>
        <w:rPr>
          <w:sz w:val="24"/>
        </w:rPr>
      </w:r>
    </w:p>
    <w:p>
      <w:pPr>
        <w:pStyle w:val="Normal"/>
        <w:rPr/>
      </w:pPr>
      <w:r>
        <w:rPr>
          <w:sz w:val="24"/>
          <w:u w:val="single"/>
        </w:rPr>
        <w:t>Hardee Power Station</w:t>
      </w:r>
      <w:r>
        <w:rPr>
          <w:sz w:val="24"/>
        </w:rPr>
        <w:t xml:space="preserve">: The first EWG in Florida was Hardee Power Station, a joint project between TECO power services, an affiliate of Tampa Electric Company (TECO) and Seminole Electric Cooperative. The need for Hardee Power station was approved by the FPSC in 1989. The unit is a 240 MW gas fired combined cycle unit. The output is shared between TECO and Seminole for their retail customer needs. </w:t>
      </w:r>
    </w:p>
    <w:p>
      <w:pPr>
        <w:pStyle w:val="Normal"/>
        <w:rPr>
          <w:sz w:val="24"/>
        </w:rPr>
      </w:pPr>
      <w:r>
        <w:rPr>
          <w:sz w:val="24"/>
        </w:rPr>
      </w:r>
    </w:p>
    <w:p>
      <w:pPr>
        <w:pStyle w:val="Normal"/>
        <w:rPr/>
      </w:pPr>
      <w:r>
        <w:rPr>
          <w:sz w:val="24"/>
          <w:u w:val="single"/>
        </w:rPr>
        <w:t>Duke Energy/New Smyrna:</w:t>
      </w:r>
      <w:r>
        <w:rPr>
          <w:sz w:val="24"/>
        </w:rPr>
        <w:t xml:space="preserve"> On 4/20/00, the Florida Supreme Court struck down a CCN granted to Duke Energy because “ a determination of need is presently available only to an applicant that has demonstrated that </w:t>
      </w:r>
      <w:r>
        <w:rPr>
          <w:b/>
          <w:sz w:val="24"/>
        </w:rPr>
        <w:t>a utility or utilities serving retail customers has specific committed need</w:t>
      </w:r>
      <w:r>
        <w:rPr>
          <w:sz w:val="24"/>
        </w:rPr>
        <w:t xml:space="preserve"> </w:t>
      </w:r>
      <w:r>
        <w:rPr>
          <w:b/>
          <w:sz w:val="24"/>
        </w:rPr>
        <w:t>for all of the electrical power to be generated at a proposed plant.”</w:t>
      </w:r>
    </w:p>
    <w:p>
      <w:pPr>
        <w:pStyle w:val="Normal"/>
        <w:rPr>
          <w:b/>
          <w:sz w:val="24"/>
        </w:rPr>
      </w:pPr>
      <w:r>
        <w:rPr>
          <w:b/>
          <w:sz w:val="24"/>
        </w:rPr>
      </w:r>
    </w:p>
    <w:p>
      <w:pPr>
        <w:pStyle w:val="Normal"/>
        <w:rPr/>
      </w:pPr>
      <w:r>
        <w:rPr>
          <w:b/>
          <w:sz w:val="24"/>
        </w:rPr>
        <w:t>Outcome:</w:t>
      </w:r>
      <w:r>
        <w:rPr>
          <w:sz w:val="24"/>
        </w:rPr>
        <w:t xml:space="preserve"> Pursuant to the decision in Duke supra, a merchant power plant can do business in Florida only if:</w:t>
      </w:r>
    </w:p>
    <w:p>
      <w:pPr>
        <w:pStyle w:val="Normal"/>
        <w:numPr>
          <w:ilvl w:val="0"/>
          <w:numId w:val="2"/>
        </w:numPr>
        <w:rPr>
          <w:sz w:val="24"/>
        </w:rPr>
      </w:pPr>
      <w:r>
        <w:rPr>
          <w:sz w:val="24"/>
        </w:rPr>
        <w:t>It proposes to build either a power plant of less than 75MW or a simple cycle power plant, which does not require a certificate of need.</w:t>
      </w:r>
    </w:p>
    <w:p>
      <w:pPr>
        <w:pStyle w:val="Normal"/>
        <w:numPr>
          <w:ilvl w:val="0"/>
          <w:numId w:val="2"/>
        </w:numPr>
        <w:rPr>
          <w:sz w:val="24"/>
        </w:rPr>
      </w:pPr>
      <w:r>
        <w:rPr>
          <w:sz w:val="24"/>
        </w:rPr>
        <w:t>The output from the plant is committed to the use of Florida retail customers, through power purchase contracts with utilities serving retail customers as in Hardee Power Station (speculative EWG projects will be disallowed)</w:t>
      </w:r>
    </w:p>
    <w:p>
      <w:pPr>
        <w:pStyle w:val="Normal"/>
        <w:numPr>
          <w:ilvl w:val="0"/>
          <w:numId w:val="2"/>
        </w:numPr>
        <w:rPr>
          <w:sz w:val="24"/>
        </w:rPr>
      </w:pPr>
      <w:r>
        <w:rPr>
          <w:sz w:val="24"/>
        </w:rPr>
        <w:t xml:space="preserve">The Florida legislature enacts express statutory criteria granting the PSC, the authority to grant CCN’s to merchant power plants. It is expected that in the next legislative season, EWGs will devote efforts to secure this legislative authorization. (5/5/00 is the last day of the 2000 legislative session.). </w:t>
      </w:r>
    </w:p>
    <w:p>
      <w:pPr>
        <w:pStyle w:val="Normal"/>
        <w:ind w:firstLine="360" w:start="360" w:end="0"/>
        <w:rPr>
          <w:sz w:val="24"/>
        </w:rPr>
      </w:pPr>
      <w:r>
        <w:rPr>
          <w:sz w:val="24"/>
        </w:rPr>
        <w:t xml:space="preserve">Florida Governor has issued an executive order to form a committee to study electricity supply in Florida for the next 20 years. </w:t>
      </w:r>
    </w:p>
    <w:p>
      <w:pPr>
        <w:pStyle w:val="Normal"/>
        <w:rPr>
          <w:sz w:val="24"/>
        </w:rPr>
      </w:pPr>
      <w:r>
        <w:rPr>
          <w:sz w:val="24"/>
        </w:rPr>
      </w:r>
    </w:p>
    <w:p>
      <w:pPr>
        <w:pStyle w:val="Heading2"/>
        <w:ind w:hanging="0" w:start="0"/>
        <w:rPr/>
      </w:pPr>
      <w:r>
        <w:rPr/>
        <w:t>Indiana</w:t>
      </w:r>
    </w:p>
    <w:p>
      <w:pPr>
        <w:pStyle w:val="Normal"/>
        <w:rPr/>
      </w:pPr>
      <w:r>
        <w:rPr>
          <w:sz w:val="24"/>
          <w:u w:val="single"/>
        </w:rPr>
        <w:t>PSC Authority</w:t>
      </w:r>
      <w:r>
        <w:rPr>
          <w:sz w:val="24"/>
        </w:rPr>
        <w:t>: Title 8, Indiana Code authorized the URC to regulate public utilities. However, the URC has declined detailed regulatory jurisdiction over EWGs; deferring to FERC’s regulatory oversight  - Commission Order in Docket No. 41361. The IURC has retained jurisdiction to issue certificate of public convenience and necessity.</w:t>
      </w:r>
    </w:p>
    <w:p>
      <w:pPr>
        <w:pStyle w:val="Normal"/>
        <w:rPr>
          <w:sz w:val="24"/>
        </w:rPr>
      </w:pPr>
      <w:r>
        <w:rPr>
          <w:sz w:val="24"/>
        </w:rPr>
      </w:r>
    </w:p>
    <w:p>
      <w:pPr>
        <w:pStyle w:val="Normal"/>
        <w:rPr/>
      </w:pPr>
      <w:r>
        <w:rPr>
          <w:sz w:val="24"/>
          <w:u w:val="single"/>
        </w:rPr>
        <w:t xml:space="preserve">State Citing Requirements: </w:t>
      </w:r>
      <w:r>
        <w:rPr>
          <w:sz w:val="24"/>
        </w:rPr>
        <w:t>Pursuant to</w:t>
      </w:r>
      <w:r>
        <w:rPr>
          <w:sz w:val="24"/>
          <w:u w:val="single"/>
        </w:rPr>
        <w:t xml:space="preserve"> </w:t>
      </w:r>
      <w:r>
        <w:rPr>
          <w:sz w:val="24"/>
        </w:rPr>
        <w:t>Chapter 8-1-8.5-2 EWGs require a certificate of public convenience and necessity prior to construction, purchase or lease of facilities for the generation of electricity. (Enron already has an approved CCN to build a 500MW plant in Knox County).</w:t>
      </w:r>
    </w:p>
    <w:p>
      <w:pPr>
        <w:pStyle w:val="Normal"/>
        <w:rPr>
          <w:sz w:val="24"/>
        </w:rPr>
      </w:pPr>
      <w:r>
        <w:rPr>
          <w:sz w:val="24"/>
        </w:rPr>
      </w:r>
    </w:p>
    <w:p>
      <w:pPr>
        <w:pStyle w:val="Normal"/>
        <w:rPr>
          <w:sz w:val="24"/>
        </w:rPr>
      </w:pPr>
      <w:r>
        <w:rPr>
          <w:sz w:val="24"/>
        </w:rPr>
        <w:t>Several EWGs including AES, DTE, Duke Energy, IPL, SIGECO, and Enron have obtained URC approval for certificate of public convenience and necessity.</w:t>
      </w:r>
    </w:p>
    <w:p>
      <w:pPr>
        <w:pStyle w:val="Normal"/>
        <w:rPr>
          <w:sz w:val="24"/>
        </w:rPr>
      </w:pPr>
      <w:r>
        <w:rPr>
          <w:sz w:val="24"/>
        </w:rPr>
      </w:r>
    </w:p>
    <w:p>
      <w:pPr>
        <w:pStyle w:val="Normal"/>
        <w:rPr>
          <w:sz w:val="24"/>
          <w:u w:val="single"/>
        </w:rPr>
      </w:pPr>
      <w:r>
        <w:rPr>
          <w:sz w:val="24"/>
          <w:u w:val="single"/>
        </w:rPr>
        <w:t>Merchant Power Plant Resolution</w:t>
      </w:r>
    </w:p>
    <w:p>
      <w:pPr>
        <w:pStyle w:val="Heading3"/>
        <w:ind w:hanging="0" w:start="0"/>
        <w:rPr/>
      </w:pPr>
      <w:r>
        <w:rPr/>
        <w:t>Senate Concurrent Resolution (SCR) 34 was adopted in the 2000 legislative session. In the resolution, the legislative council was urged to require the Regulatory Flexibility Committee to study several issues related to merchant power plants, including local zoning and URC regulation. A final report is due by November 1, 2000.</w:t>
      </w:r>
    </w:p>
    <w:p>
      <w:pPr>
        <w:pStyle w:val="Normal"/>
        <w:rPr/>
      </w:pPr>
      <w:r>
        <w:rPr/>
      </w:r>
    </w:p>
    <w:p>
      <w:pPr>
        <w:pStyle w:val="BodyText"/>
        <w:rPr/>
      </w:pPr>
      <w:r>
        <w:rPr/>
        <w:t>House Concurrent Resolution (HCR) 81, also on merchant power plants was not adopted. HCR 81 had in addition to the stipulations of SCR 34, urged the Indiana Utility Regulatory Commission not to approve the establishment of any additional merchant power plants in Indiana until after the final report due by November 1, 2000.</w:t>
      </w:r>
    </w:p>
    <w:p>
      <w:pPr>
        <w:pStyle w:val="BodyText"/>
        <w:rPr/>
      </w:pPr>
      <w:r>
        <w:rPr/>
      </w:r>
    </w:p>
    <w:p>
      <w:pPr>
        <w:pStyle w:val="BodyText"/>
        <w:rPr/>
      </w:pPr>
      <w:r>
        <w:rPr>
          <w:u w:val="single"/>
        </w:rPr>
        <w:t xml:space="preserve">Local Zoning Requirement:: </w:t>
      </w:r>
      <w:r>
        <w:rPr/>
        <w:t xml:space="preserve"> Local zoning requirements are not standardized, but differ among counties. Relevant local zoning permits must be obtained prior to construction.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91"/>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outlineLvl w:val="2"/>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u w:val="singl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2000-05-04T19:06:00Z</dcterms:created>
  <dc:creator>gloria</dc:creator>
  <dc:description/>
  <dc:language>en-CA</dc:language>
  <cp:lastModifiedBy>gloria</cp:lastModifiedBy>
  <cp:lastPrinted>2000-05-05T16:23:00Z</cp:lastPrinted>
  <dcterms:modified xsi:type="dcterms:W3CDTF">2000-05-05T19:17:00Z</dcterms:modified>
  <cp:revision>4</cp:revision>
  <dc:subject/>
  <dc:title>REGULATORY RULES AND REQUIREMENTS RELATING TO EXEMPT WHOLESALE GENERATORS</dc:title>
</cp:coreProperties>
</file>