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 xml:space="preserve">DEAL APPROVAL SHEET </w:t>
      </w:r>
      <w:r>
        <w:rPr>
          <w:b/>
          <w:color w:val="FF0000"/>
          <w:sz w:val="32"/>
        </w:rPr>
        <w:t>(DRAFT)</w:t>
      </w:r>
    </w:p>
    <w:p>
      <w:pPr>
        <w:pStyle w:val="Normal"/>
        <w:rPr>
          <w:b/>
          <w:sz w:val="32"/>
        </w:rPr>
      </w:pPr>
      <w:r>
        <w:rPr>
          <w:b/>
          <w:sz w:val="32"/>
        </w:rPr>
      </w:r>
    </w:p>
    <w:tbl>
      <w:tblPr>
        <w:tblW w:w="10620" w:type="dxa"/>
        <w:jc w:val="start"/>
        <w:tblInd w:w="18" w:type="dxa"/>
        <w:tblLayout w:type="fixed"/>
        <w:tblCellMar>
          <w:top w:w="0" w:type="dxa"/>
          <w:start w:w="108" w:type="dxa"/>
          <w:bottom w:w="0" w:type="dxa"/>
          <w:end w:w="108" w:type="dxa"/>
        </w:tblCellMar>
      </w:tblPr>
      <w:tblGrid>
        <w:gridCol w:w="4626"/>
        <w:gridCol w:w="5994"/>
      </w:tblGrid>
      <w:tr>
        <w:trPr>
          <w:trHeight w:val="1656" w:hRule="atLeast"/>
        </w:trPr>
        <w:tc>
          <w:tcPr>
            <w:tcW w:w="4626" w:type="dxa"/>
            <w:tcBorders>
              <w:top w:val="single" w:sz="8" w:space="0" w:color="000000"/>
              <w:bottom w:val="single" w:sz="8" w:space="0" w:color="000000"/>
            </w:tcBorders>
          </w:tcPr>
          <w:p>
            <w:pPr>
              <w:pStyle w:val="Normal"/>
              <w:ind w:end="-108"/>
              <w:rPr>
                <w:b/>
              </w:rPr>
            </w:pPr>
            <w:r>
              <w:rPr>
                <w:b/>
              </w:rPr>
              <w:t>DEAL NAME:  EWZ JV</w:t>
            </w:r>
          </w:p>
          <w:p>
            <w:pPr>
              <w:pStyle w:val="Normal"/>
              <w:ind w:end="-108"/>
              <w:rPr/>
            </w:pPr>
            <w:r>
              <w:rPr/>
              <w:t>Counterparty:  EWZ</w:t>
            </w:r>
          </w:p>
          <w:p>
            <w:pPr>
              <w:pStyle w:val="Normal"/>
              <w:ind w:end="-108"/>
              <w:rPr/>
            </w:pPr>
            <w:r>
              <w:rPr/>
              <w:t>Business Unit:  Continental Power Trading</w:t>
            </w:r>
          </w:p>
          <w:p>
            <w:pPr>
              <w:pStyle w:val="Normal"/>
              <w:ind w:end="-108"/>
              <w:rPr/>
            </w:pPr>
            <w:r>
              <w:rPr/>
              <w:t>Business Unit Originator:  Peter Kreuzberg / Peter Heydecker/Lars Athenhofer</w:t>
            </w:r>
          </w:p>
          <w:p>
            <w:pPr>
              <w:pStyle w:val="Normal"/>
              <w:tabs>
                <w:tab w:val="clear" w:pos="720"/>
                <w:tab w:val="left" w:pos="1530" w:leader="none"/>
              </w:tabs>
              <w:ind w:end="-108"/>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10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ind w:end="-108"/>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5994" w:type="dxa"/>
            <w:tcBorders>
              <w:top w:val="single" w:sz="8" w:space="0" w:color="000000"/>
              <w:bottom w:val="single" w:sz="8" w:space="0" w:color="000000"/>
            </w:tcBorders>
          </w:tcPr>
          <w:p>
            <w:pPr>
              <w:pStyle w:val="Normal"/>
              <w:ind w:firstLine="90" w:start="-198" w:end="-106"/>
              <w:rPr/>
            </w:pPr>
            <w:r>
              <w:rPr/>
              <w:t>Date DASH Completed:  July 10, 2001</w:t>
            </w:r>
          </w:p>
          <w:p>
            <w:pPr>
              <w:pStyle w:val="Normal"/>
              <w:ind w:firstLine="90" w:start="-198" w:end="-106"/>
              <w:rPr/>
            </w:pPr>
            <w:r>
              <w:rPr/>
              <w:t>RAC Analysts:  Jitendra Patel - Suryan Wirya Simunovic –Marcel Herbst</w:t>
            </w:r>
          </w:p>
          <w:p>
            <w:pPr>
              <w:pStyle w:val="Normal"/>
              <w:ind w:firstLine="90" w:start="-198" w:end="-106"/>
              <w:rPr/>
            </w:pPr>
            <w:r>
              <w:rPr/>
              <w:t>RAC Underwriter:  Olivier Herbelot</w:t>
            </w:r>
          </w:p>
          <w:p>
            <w:pPr>
              <w:pStyle w:val="Normal"/>
              <w:ind w:firstLine="90" w:start="-198" w:end="-106"/>
              <w:rPr/>
            </w:pPr>
            <w:r>
              <w:rPr/>
              <w:t xml:space="preserve">Investment Type:  Equity </w:t>
            </w:r>
          </w:p>
          <w:p>
            <w:pPr>
              <w:pStyle w:val="Normal"/>
              <w:ind w:firstLine="90" w:start="-198" w:end="-106"/>
              <w:rPr/>
            </w:pPr>
            <w:r>
              <w:rPr/>
              <w:t>Capital Funding Source(s):  Enron Balance Sheet</w:t>
            </w:r>
          </w:p>
          <w:p>
            <w:pPr>
              <w:pStyle w:val="Normal"/>
              <w:ind w:firstLine="90" w:start="-198" w:end="-106"/>
              <w:rPr/>
            </w:pPr>
            <w:r>
              <w:rPr/>
              <w:t>Expected Closing Date:  July 2001</w:t>
            </w:r>
          </w:p>
          <w:p>
            <w:pPr>
              <w:pStyle w:val="Normal"/>
              <w:ind w:firstLine="90" w:start="-198" w:end="-106"/>
              <w:rPr/>
            </w:pPr>
            <w:r>
              <w:rPr/>
              <w:t>Expected Funding Date:  July 2001</w:t>
            </w:r>
          </w:p>
          <w:p>
            <w:pPr>
              <w:pStyle w:val="Normal"/>
              <w:ind w:firstLine="90" w:start="-198" w:end="-106"/>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rPr/>
      </w:pPr>
      <w:r>
        <w:rPr/>
      </w:r>
    </w:p>
    <w:p>
      <w:pPr>
        <w:pStyle w:val="Normal"/>
        <w:ind w:hanging="1418" w:start="1418" w:end="0"/>
        <w:jc w:val="both"/>
        <w:rPr/>
      </w:pPr>
      <w:r>
        <w:rPr>
          <w:u w:val="single"/>
        </w:rPr>
        <w:t>Amount</w:t>
      </w:r>
      <w:r>
        <w:rPr/>
        <w:t>:</w:t>
        <w:tab/>
        <w:t>$0.6 million Equity Investment</w:t>
        <w:tab/>
      </w:r>
    </w:p>
    <w:p>
      <w:pPr>
        <w:pStyle w:val="Normal"/>
        <w:ind w:hanging="1418" w:start="1418" w:end="0"/>
        <w:jc w:val="both"/>
        <w:rPr>
          <w:u w:val="single"/>
        </w:rPr>
      </w:pPr>
      <w:r>
        <w:rPr/>
        <w:tab/>
      </w:r>
      <w:r>
        <w:rPr>
          <w:u w:val="single"/>
        </w:rPr>
        <w:t>$5.3 million</w:t>
      </w:r>
      <w:r>
        <w:rPr/>
        <w:t xml:space="preserve"> contingent Shareholder Loan</w:t>
      </w:r>
    </w:p>
    <w:p>
      <w:pPr>
        <w:pStyle w:val="Normal"/>
        <w:ind w:hanging="1418" w:start="1418" w:end="0"/>
        <w:jc w:val="both"/>
        <w:rPr/>
      </w:pPr>
      <w:r>
        <w:rPr/>
        <w:tab/>
        <w:t>$5.9</w:t>
      </w:r>
    </w:p>
    <w:p>
      <w:pPr>
        <w:pStyle w:val="Normal"/>
        <w:ind w:hanging="1418" w:start="1418" w:end="0"/>
        <w:jc w:val="both"/>
        <w:rPr/>
      </w:pPr>
      <w:r>
        <w:rPr>
          <w:u w:val="single"/>
        </w:rPr>
        <w:t>Purpose</w:t>
      </w:r>
      <w:r>
        <w:rPr/>
        <w:t xml:space="preserve">: </w:t>
        <w:tab/>
        <w:t>To enter into a 50/50 power trading joint venture with the Zurich municipal utility, EWZ.</w:t>
      </w:r>
    </w:p>
    <w:p>
      <w:pPr>
        <w:pStyle w:val="Normal"/>
        <w:ind w:hanging="1418" w:start="1418" w:end="0"/>
        <w:jc w:val="both"/>
        <w:rPr/>
      </w:pPr>
      <w:r>
        <w:rPr>
          <w:u w:val="single"/>
        </w:rPr>
        <w:t>Requirements</w:t>
      </w:r>
      <w:r>
        <w:rPr/>
        <w:t>:</w:t>
        <w:tab/>
        <w:t>The current DASH covers the formation of the JV and the establishment of the contractual framework and standard contract templates for the JV as these are the initial goals of both EWZ and Enron.  The exact details of the supply agreements (operating parameters) for each individual power plant that will supply the JV have not been incorporated into the standardized template contracts.  When these have been determined (estimated to be before the end of September, 2001) the originators shall provide these details to RAC for evaluation and review purposes.  The JV will not take on full requirement sales commitments until the purchase agreements for power have been agreed upon proportionally.</w:t>
      </w:r>
    </w:p>
    <w:p>
      <w:pPr>
        <w:pStyle w:val="Normal"/>
        <w:jc w:val="both"/>
        <w:rPr/>
      </w:pPr>
      <w:r>
        <w:rPr/>
      </w:r>
    </w:p>
    <w:p>
      <w:pPr>
        <w:pStyle w:val="Heading1"/>
        <w:pBdr>
          <w:top w:val="single" w:sz="8" w:space="1" w:color="000000"/>
        </w:pBdr>
        <w:ind w:hanging="0" w:start="0" w:end="-36"/>
        <w:rPr/>
      </w:pPr>
      <w:r>
        <w:rPr/>
        <w:t>EXPOSURE SUMMARY</w:t>
      </w:r>
    </w:p>
    <w:p>
      <w:pPr>
        <w:pStyle w:val="Normal"/>
        <w:ind w:start="360" w:end="0"/>
        <w:rPr/>
      </w:pPr>
      <w:r>
        <w:rPr/>
        <w:tab/>
        <w:tab/>
        <w:tab/>
        <w:tab/>
        <w:tab/>
        <w:tab/>
        <w:tab/>
        <w:tab/>
        <w:t>$MM</w:t>
      </w:r>
    </w:p>
    <w:p>
      <w:pPr>
        <w:pStyle w:val="Normal"/>
        <w:rPr/>
      </w:pPr>
      <w:r>
        <w:rPr/>
        <w:t>Existing Exposure:</w:t>
        <w:tab/>
        <w:t xml:space="preserve"> </w:t>
        <w:tab/>
        <w:tab/>
        <w:t xml:space="preserve"> </w:t>
        <w:tab/>
        <w:tab/>
        <w:tab/>
        <w:t xml:space="preserve"> 0</w:t>
      </w:r>
    </w:p>
    <w:p>
      <w:pPr>
        <w:pStyle w:val="Normal"/>
        <w:rPr/>
      </w:pPr>
      <w:r>
        <w:rPr/>
        <w:t>95% 1-day V@R:</w:t>
        <w:tab/>
        <w:tab/>
        <w:tab/>
        <w:tab/>
        <w:t xml:space="preserve">  </w:t>
        <w:tab/>
        <w:tab/>
        <w:tab/>
        <w:t>0.4</w:t>
      </w:r>
    </w:p>
    <w:p>
      <w:pPr>
        <w:pStyle w:val="Normal"/>
        <w:rPr/>
      </w:pPr>
      <w:r>
        <w:rPr/>
        <w:t>This Transaction:</w:t>
      </w:r>
    </w:p>
    <w:p>
      <w:pPr>
        <w:pStyle w:val="Header"/>
        <w:widowControl/>
        <w:tabs>
          <w:tab w:val="clear" w:pos="4320"/>
          <w:tab w:val="clear" w:pos="8640"/>
        </w:tabs>
        <w:rPr/>
      </w:pPr>
      <w:r>
        <w:rPr/>
        <w:tab/>
        <w:t>Equity</w:t>
        <w:tab/>
        <w:tab/>
        <w:tab/>
        <w:tab/>
        <w:t xml:space="preserve"> </w:t>
        <w:tab/>
        <w:tab/>
        <w:tab/>
        <w:t xml:space="preserve"> 0.6</w:t>
      </w:r>
    </w:p>
    <w:p>
      <w:pPr>
        <w:pStyle w:val="Normal"/>
        <w:ind w:start="720" w:end="0"/>
        <w:rPr>
          <w:u w:val="single"/>
        </w:rPr>
      </w:pPr>
      <w:r>
        <w:rPr>
          <w:u w:val="single"/>
        </w:rPr>
        <w:t>Shareholder Loan (Contingent)</w:t>
        <w:tab/>
        <w:t xml:space="preserve">  </w:t>
        <w:tab/>
        <w:tab/>
        <w:tab/>
        <w:t>5.3</w:t>
      </w:r>
    </w:p>
    <w:p>
      <w:pPr>
        <w:pStyle w:val="Normal"/>
        <w:rPr/>
      </w:pPr>
      <w:r>
        <w:rPr/>
        <w:t xml:space="preserve">Exposure After This Transaction: </w:t>
        <w:tab/>
        <w:tab/>
        <w:tab/>
        <w:tab/>
        <w:tab/>
        <w:t>6.3</w:t>
      </w:r>
    </w:p>
    <w:p>
      <w:pPr>
        <w:pStyle w:val="Normal"/>
        <w:rPr/>
      </w:pPr>
      <w:r>
        <w:rPr/>
      </w:r>
    </w:p>
    <w:p>
      <w:pPr>
        <w:pStyle w:val="Normal"/>
        <w:rPr>
          <w:i/>
          <w:i/>
          <w:iCs/>
        </w:rPr>
      </w:pPr>
      <w:r>
        <w:rPr>
          <w:i/>
          <w:iCs/>
        </w:rPr>
        <w:t xml:space="preserve">*Potentially Enron Corp will need to provide parent company guarantees worth $30 million in order for the JV to establish trading lines with counterparties.  </w:t>
      </w:r>
    </w:p>
    <w:p>
      <w:pPr>
        <w:pStyle w:val="Heading2"/>
        <w:widowControl/>
        <w:pBdr>
          <w:top w:val="single" w:sz="8" w:space="1" w:color="000000"/>
        </w:pBdr>
        <w:ind w:hanging="0" w:start="0" w:end="-36"/>
        <w:rPr>
          <w:i w:val="false"/>
          <w:i w:val="false"/>
        </w:rPr>
      </w:pPr>
      <w:r>
        <w:rPr>
          <w:i w:val="false"/>
        </w:rPr>
        <w:t>DEAL DESCRIPTION</w:t>
      </w:r>
    </w:p>
    <w:p>
      <w:pPr>
        <w:pStyle w:val="Normal"/>
        <w:rPr>
          <w:i/>
          <w:i/>
          <w:u w:val="single"/>
        </w:rPr>
      </w:pPr>
      <w:r>
        <w:rPr>
          <w:i/>
          <w:u w:val="single"/>
        </w:rPr>
      </w:r>
    </w:p>
    <w:p>
      <w:pPr>
        <w:pStyle w:val="Normal"/>
        <w:jc w:val="both"/>
        <w:rPr/>
      </w:pPr>
      <w:r>
        <w:rPr>
          <w:u w:val="single"/>
        </w:rPr>
        <w:t>Transaction</w:t>
      </w:r>
      <w:r>
        <w:rPr/>
        <w:t>:</w:t>
      </w:r>
    </w:p>
    <w:p>
      <w:pPr>
        <w:pStyle w:val="Normal"/>
        <w:jc w:val="both"/>
        <w:rPr/>
      </w:pPr>
      <w:r>
        <w:rPr/>
        <w:t xml:space="preserve">Enron plans to enter into a joint venture (JV) with EWZ to trade electricity in Switzerland and optimize EWZ’s flexible generation capacity. EWZ’s generation arm will sell its power output (4.2 TWh/year) from owned and shared nuclear and hydroelectric plants to the JV, which in turn will sell a full requirement load to EWZ’s marketing arm (municipality profile, 3.2 TWh/year).  Approximately half of the remaining power output (roughly 1 TWh annually) that the JV purchased from EWZ Generation (0.4 TWh/year) will be sold to Enron via a 7 year collar agreement, with the remainder being marketed in the Swiss power market.  The JV will take trading positions based on strategies developed jointly between the JV and Enron’s Continental Power Trading team in London.  Enron and EWZ will each provide half of the financing of the JV currently estimated to be $0.6 million for each party. Enron will charge the JV for performing the middle, and some back, office functions.  </w:t>
      </w:r>
    </w:p>
    <w:p>
      <w:pPr>
        <w:pStyle w:val="Normal"/>
        <w:jc w:val="both"/>
        <w:rPr/>
      </w:pPr>
      <w:r>
        <w:rPr/>
        <w:t>Enron Europe has been trading in the Swiss market successfully for the last 4 years.  During this time it has worked very closely with EWZ to jointly develop the Swiss trading market.  With this deal, Enron and EWZ will be institutionalizing this arrangement into a full joint venture.  Please refer to Appendix 1: Detailed Description for an in depth view of this transaction.</w:t>
      </w:r>
    </w:p>
    <w:p>
      <w:pPr>
        <w:pStyle w:val="Normal"/>
        <w:jc w:val="both"/>
        <w:rPr>
          <w:u w:val="single"/>
        </w:rPr>
      </w:pPr>
      <w:r>
        <w:rPr>
          <w:u w:val="single"/>
        </w:rPr>
      </w:r>
    </w:p>
    <w:p>
      <w:pPr>
        <w:pStyle w:val="Normal"/>
        <w:jc w:val="both"/>
        <w:rPr/>
      </w:pPr>
      <w:r>
        <w:rPr>
          <w:u w:val="single"/>
        </w:rPr>
        <w:t>Background</w:t>
      </w:r>
      <w:r>
        <w:rPr/>
        <w:t>:</w:t>
      </w:r>
    </w:p>
    <w:p>
      <w:pPr>
        <w:pStyle w:val="Normal"/>
        <w:tabs>
          <w:tab w:val="clear" w:pos="720"/>
          <w:tab w:val="left" w:pos="7371" w:leader="none"/>
        </w:tabs>
        <w:jc w:val="both"/>
        <w:rPr/>
      </w:pPr>
      <w:r>
        <w:rPr/>
        <w:t>The Swiss market generated approximately 65 TWh of electricity in 2000 of which 59 TWh were for internal supply.  Nuclear power makes up 39% of Switzerland’s total production while hydroelectric (dams and run of river) is 57%.  Due to its strategic position in the European energy grid and the type of existing energy producing assets, Switzerland acts as a “swing producer” for many of its neighboring countries.</w:t>
      </w:r>
    </w:p>
    <w:p>
      <w:pPr>
        <w:pStyle w:val="Normal"/>
        <w:jc w:val="both"/>
        <w:rPr/>
      </w:pPr>
      <w:r>
        <w:rPr/>
      </w:r>
    </w:p>
    <w:p>
      <w:pPr>
        <w:pStyle w:val="Heading2"/>
        <w:widowControl/>
        <w:pBdr>
          <w:top w:val="single" w:sz="8" w:space="1" w:color="000000"/>
        </w:pBdr>
        <w:ind w:hanging="0" w:start="0" w:end="-36"/>
        <w:rPr/>
      </w:pPr>
      <w:r>
        <w:rPr/>
        <w:t>TRANSACTION SOURCES AND USES OF FUNDS</w:t>
      </w:r>
    </w:p>
    <w:tbl>
      <w:tblPr>
        <w:tblW w:w="9369" w:type="dxa"/>
        <w:jc w:val="start"/>
        <w:tblInd w:w="378" w:type="dxa"/>
        <w:tblLayout w:type="fixed"/>
        <w:tblCellMar>
          <w:top w:w="0" w:type="dxa"/>
          <w:start w:w="108" w:type="dxa"/>
          <w:bottom w:w="0" w:type="dxa"/>
          <w:end w:w="108" w:type="dxa"/>
        </w:tblCellMar>
      </w:tblPr>
      <w:tblGrid>
        <w:gridCol w:w="2849"/>
        <w:gridCol w:w="1701"/>
        <w:gridCol w:w="580"/>
        <w:gridCol w:w="2790"/>
        <w:gridCol w:w="1449"/>
      </w:tblGrid>
      <w:tr>
        <w:trPr/>
        <w:tc>
          <w:tcPr>
            <w:tcW w:w="2849" w:type="dxa"/>
            <w:tcBorders/>
          </w:tcPr>
          <w:p>
            <w:pPr>
              <w:pStyle w:val="Normal"/>
              <w:snapToGrid w:val="false"/>
              <w:rPr/>
            </w:pPr>
            <w:r>
              <w:rPr/>
            </w:r>
          </w:p>
        </w:tc>
        <w:tc>
          <w:tcPr>
            <w:tcW w:w="1701" w:type="dxa"/>
            <w:tcBorders/>
          </w:tcPr>
          <w:p>
            <w:pPr>
              <w:pStyle w:val="Normal"/>
              <w:jc w:val="end"/>
              <w:rPr>
                <w:u w:val="single"/>
              </w:rPr>
            </w:pPr>
            <w:r>
              <w:rPr>
                <w:u w:val="single"/>
              </w:rPr>
              <w:t>Sources</w:t>
            </w:r>
            <w:r>
              <w:rPr/>
              <w:t xml:space="preserve"> ($ 000’s)</w:t>
            </w:r>
          </w:p>
        </w:tc>
        <w:tc>
          <w:tcPr>
            <w:tcW w:w="58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449" w:type="dxa"/>
            <w:tcBorders/>
          </w:tcPr>
          <w:p>
            <w:pPr>
              <w:pStyle w:val="Normal"/>
              <w:jc w:val="end"/>
              <w:rPr>
                <w:u w:val="single"/>
              </w:rPr>
            </w:pPr>
            <w:r>
              <w:rPr>
                <w:u w:val="single"/>
              </w:rPr>
              <w:t>Uses</w:t>
            </w:r>
            <w:r>
              <w:rPr/>
              <w:t xml:space="preserve"> ($ 000’s)</w:t>
            </w:r>
          </w:p>
        </w:tc>
      </w:tr>
      <w:tr>
        <w:trPr/>
        <w:tc>
          <w:tcPr>
            <w:tcW w:w="2849" w:type="dxa"/>
            <w:tcBorders/>
          </w:tcPr>
          <w:p>
            <w:pPr>
              <w:pStyle w:val="Normal"/>
              <w:rPr/>
            </w:pPr>
            <w:r>
              <w:rPr/>
              <w:t>Enron Balance Sheet</w:t>
            </w:r>
          </w:p>
        </w:tc>
        <w:tc>
          <w:tcPr>
            <w:tcW w:w="1701" w:type="dxa"/>
            <w:tcBorders/>
          </w:tcPr>
          <w:p>
            <w:pPr>
              <w:pStyle w:val="Normal"/>
              <w:jc w:val="end"/>
              <w:rPr/>
            </w:pPr>
            <w:r>
              <w:rPr/>
              <w:t>600</w:t>
            </w:r>
          </w:p>
        </w:tc>
        <w:tc>
          <w:tcPr>
            <w:tcW w:w="58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Capex</w:t>
            </w:r>
          </w:p>
        </w:tc>
        <w:tc>
          <w:tcPr>
            <w:tcW w:w="1449" w:type="dxa"/>
            <w:tcBorders/>
          </w:tcPr>
          <w:p>
            <w:pPr>
              <w:pStyle w:val="Normal"/>
              <w:jc w:val="end"/>
              <w:rPr/>
            </w:pPr>
            <w:r>
              <w:rPr/>
              <w:t>600</w:t>
            </w:r>
          </w:p>
        </w:tc>
      </w:tr>
      <w:tr>
        <w:trPr/>
        <w:tc>
          <w:tcPr>
            <w:tcW w:w="2849" w:type="dxa"/>
            <w:tcBorders/>
          </w:tcPr>
          <w:p>
            <w:pPr>
              <w:pStyle w:val="Normal"/>
              <w:jc w:val="end"/>
              <w:rPr/>
            </w:pPr>
            <w:r>
              <w:rPr/>
              <w:t>Total</w:t>
            </w:r>
          </w:p>
        </w:tc>
        <w:tc>
          <w:tcPr>
            <w:tcW w:w="1701" w:type="dxa"/>
            <w:tcBorders/>
          </w:tcPr>
          <w:p>
            <w:pPr>
              <w:pStyle w:val="Normal"/>
              <w:jc w:val="end"/>
              <w:rPr/>
            </w:pPr>
            <w:r>
              <w:rPr/>
              <w:t>600</w:t>
            </w:r>
          </w:p>
        </w:tc>
        <w:tc>
          <w:tcPr>
            <w:tcW w:w="580" w:type="dxa"/>
            <w:tcBorders/>
          </w:tcPr>
          <w:p>
            <w:pPr>
              <w:pStyle w:val="Normal"/>
              <w:snapToGrid w:val="false"/>
              <w:jc w:val="end"/>
              <w:rPr/>
            </w:pPr>
            <w:r>
              <w:rPr/>
            </w:r>
          </w:p>
        </w:tc>
        <w:tc>
          <w:tcPr>
            <w:tcW w:w="2790" w:type="dxa"/>
            <w:tcBorders/>
          </w:tcPr>
          <w:p>
            <w:pPr>
              <w:pStyle w:val="Header"/>
              <w:widowControl/>
              <w:tabs>
                <w:tab w:val="clear" w:pos="4320"/>
                <w:tab w:val="clear" w:pos="8640"/>
              </w:tabs>
              <w:jc w:val="end"/>
              <w:rPr/>
            </w:pPr>
            <w:r>
              <w:rPr/>
              <w:t>Total</w:t>
            </w:r>
          </w:p>
        </w:tc>
        <w:tc>
          <w:tcPr>
            <w:tcW w:w="1449" w:type="dxa"/>
            <w:tcBorders/>
          </w:tcPr>
          <w:p>
            <w:pPr>
              <w:pStyle w:val="Normal"/>
              <w:jc w:val="end"/>
              <w:rPr/>
            </w:pPr>
            <w:r>
              <w:rPr/>
              <w:t>600</w:t>
            </w:r>
          </w:p>
        </w:tc>
      </w:tr>
    </w:tbl>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9369" w:type="dxa"/>
        <w:jc w:val="start"/>
        <w:tblInd w:w="378" w:type="dxa"/>
        <w:tblLayout w:type="fixed"/>
        <w:tblCellMar>
          <w:top w:w="0" w:type="dxa"/>
          <w:start w:w="108" w:type="dxa"/>
          <w:bottom w:w="0" w:type="dxa"/>
          <w:end w:w="108" w:type="dxa"/>
        </w:tblCellMar>
      </w:tblPr>
      <w:tblGrid>
        <w:gridCol w:w="2430"/>
        <w:gridCol w:w="1260"/>
        <w:gridCol w:w="1170"/>
        <w:gridCol w:w="270"/>
        <w:gridCol w:w="2790"/>
        <w:gridCol w:w="1449"/>
      </w:tblGrid>
      <w:tr>
        <w:trPr>
          <w:trHeight w:val="360" w:hRule="atLeast"/>
        </w:trPr>
        <w:tc>
          <w:tcPr>
            <w:tcW w:w="243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27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449" w:type="dxa"/>
            <w:tcBorders/>
          </w:tcPr>
          <w:p>
            <w:pPr>
              <w:pStyle w:val="Normal"/>
              <w:snapToGrid w:val="false"/>
              <w:ind w:end="-63"/>
              <w:rPr/>
            </w:pPr>
            <w:r>
              <w:rPr/>
            </w:r>
          </w:p>
        </w:tc>
      </w:tr>
      <w:tr>
        <w:trPr>
          <w:trHeight w:val="162"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-0.6</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449" w:type="dxa"/>
            <w:tcBorders/>
          </w:tcPr>
          <w:p>
            <w:pPr>
              <w:pStyle w:val="Normal"/>
              <w:ind w:end="-69"/>
              <w:jc w:val="end"/>
              <w:rPr/>
            </w:pPr>
            <w:r>
              <w:rPr/>
              <w:t>5.2%</w:t>
            </w:r>
          </w:p>
        </w:tc>
      </w:tr>
      <w:tr>
        <w:trPr>
          <w:trHeight w:val="189"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Parent Company Guarantee</w:t>
            </w:r>
          </w:p>
        </w:tc>
        <w:tc>
          <w:tcPr>
            <w:tcW w:w="1260" w:type="dxa"/>
            <w:tcBorders/>
          </w:tcPr>
          <w:p>
            <w:pPr>
              <w:pStyle w:val="Normal"/>
              <w:jc w:val="end"/>
              <w:rPr/>
            </w:pPr>
            <w:r>
              <w:rPr/>
              <w:t>-1.6</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449" w:type="dxa"/>
            <w:tcBorders/>
          </w:tcPr>
          <w:p>
            <w:pPr>
              <w:pStyle w:val="Normal"/>
              <w:ind w:end="-69"/>
              <w:jc w:val="end"/>
              <w:rPr/>
            </w:pPr>
            <w:r>
              <w:rPr/>
              <w:t>3.4%</w:t>
            </w:r>
          </w:p>
        </w:tc>
      </w:tr>
      <w:tr>
        <w:trPr>
          <w:trHeight w:val="207"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Intermediary Cash Flows:</w:t>
            </w:r>
          </w:p>
        </w:tc>
        <w:tc>
          <w:tcPr>
            <w:tcW w:w="1260" w:type="dxa"/>
            <w:tcBorders/>
          </w:tcPr>
          <w:p>
            <w:pPr>
              <w:pStyle w:val="Normal"/>
              <w:jc w:val="end"/>
              <w:rPr/>
            </w:pPr>
            <w:r>
              <w:rPr/>
              <w:t>1.4</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27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449" w:type="dxa"/>
            <w:tcBorders/>
          </w:tcPr>
          <w:p>
            <w:pPr>
              <w:pStyle w:val="Normal"/>
              <w:ind w:end="-63"/>
              <w:jc w:val="end"/>
              <w:rPr/>
            </w:pPr>
            <w:r>
              <w:rPr/>
              <w:t>-</w:t>
            </w:r>
          </w:p>
        </w:tc>
      </w:tr>
      <w:tr>
        <w:trPr>
          <w:trHeight w:val="280"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end"/>
              <w:rPr/>
            </w:pPr>
            <w:r>
              <w:rPr/>
              <w:t>2.6</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35%</w:t>
            </w:r>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449" w:type="dxa"/>
            <w:tcBorders/>
          </w:tcPr>
          <w:p>
            <w:pPr>
              <w:pStyle w:val="Normal"/>
              <w:tabs>
                <w:tab w:val="clear" w:pos="720"/>
                <w:tab w:val="left" w:pos="432" w:leader="none"/>
              </w:tabs>
              <w:ind w:end="-63"/>
              <w:jc w:val="end"/>
              <w:rPr/>
            </w:pPr>
            <w:r>
              <w:rPr/>
              <w:t>6.0%</w:t>
            </w:r>
          </w:p>
        </w:tc>
      </w:tr>
      <w:tr>
        <w:trPr>
          <w:trHeight w:val="195" w:hRule="atLeast"/>
        </w:trPr>
        <w:tc>
          <w:tcPr>
            <w:tcW w:w="243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end"/>
              <w:rPr>
                <w:b/>
              </w:rPr>
            </w:pPr>
            <w:r>
              <w:rPr>
                <w:b/>
              </w:rPr>
              <w:t xml:space="preserve">1.8 </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35%%</w:t>
            </w:r>
          </w:p>
        </w:tc>
        <w:tc>
          <w:tcPr>
            <w:tcW w:w="27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449"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b/>
              </w:rPr>
            </w:pPr>
            <w:r>
              <w:rPr>
                <w:b/>
              </w:rPr>
              <w:t>14.6%</w:t>
            </w:r>
          </w:p>
        </w:tc>
      </w:tr>
    </w:tbl>
    <w:p>
      <w:pPr>
        <w:pStyle w:val="Normal"/>
        <w:jc w:val="both"/>
        <w:rPr/>
      </w:pPr>
      <w:r>
        <w:rPr/>
        <w:tab/>
      </w:r>
    </w:p>
    <w:p>
      <w:pPr>
        <w:pStyle w:val="Heading2"/>
        <w:widowControl/>
        <w:pBdr>
          <w:top w:val="single" w:sz="8" w:space="1" w:color="000000"/>
        </w:pBdr>
        <w:ind w:hanging="0" w:start="0" w:end="-36"/>
        <w:rPr>
          <w:i w:val="false"/>
          <w:i w:val="false"/>
        </w:rPr>
      </w:pPr>
      <w:r>
        <w:rPr>
          <w:i w:val="false"/>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jc w:val="both"/>
        <w:rPr/>
      </w:pPr>
      <w:r>
        <w:rPr/>
        <w:t>Upside exist if the JV signs up plant optimization contracts with hydroelectric generation plants owned by other Swiss companies.  Additional upside is the market information this partnership will provide.  Enron will have access to information that is not publicly available to other market participants, for example, real-time cross border flows, plant availability across the whole country etc. Lastly, due to the flexibility of the hydroelectric assets, the JV could potentially participate in the balancing/regulatory power market and in intra-day (hourly) trading.</w:t>
      </w:r>
    </w:p>
    <w:p>
      <w:pPr>
        <w:pStyle w:val="Normal"/>
        <w:ind w:end="-36"/>
        <w:jc w:val="both"/>
        <w:rPr/>
      </w:pPr>
      <w:r>
        <w:rPr/>
      </w:r>
    </w:p>
    <w:p>
      <w:pPr>
        <w:pStyle w:val="Normal"/>
        <w:pBdr>
          <w:top w:val="single" w:sz="8" w:space="1" w:color="000000"/>
        </w:pBdr>
        <w:ind w:end="-36"/>
        <w:rPr>
          <w:b/>
        </w:rPr>
      </w:pPr>
      <w:r>
        <w:rPr>
          <w:b/>
        </w:rPr>
        <w:t>EXIT STRATEGY</w:t>
      </w:r>
    </w:p>
    <w:p>
      <w:pPr>
        <w:pStyle w:val="Normal"/>
        <w:jc w:val="both"/>
        <w:rPr/>
      </w:pPr>
      <w:r>
        <w:rPr/>
        <w:t>No intention exists to exit this JV as it is beneficial to Enron’s longer-term plan to trade power in the region.  In the event of a dispute, an arbitration mechanism is triggered – if after going through the various stages of arbitration the dispute is not resolved, the JV will be dissolved.  Terminal values (MTM liquidation) will be calculated, and profit/losses will be shared equally between Enron and EWZ.</w:t>
      </w:r>
    </w:p>
    <w:p>
      <w:pPr>
        <w:pStyle w:val="Normal"/>
        <w:jc w:val="both"/>
        <w:rPr/>
      </w:pPr>
      <w:r>
        <w:rPr/>
      </w:r>
    </w:p>
    <w:p>
      <w:pPr>
        <w:pStyle w:val="Heading2"/>
        <w:widowControl/>
        <w:pBdr>
          <w:top w:val="single" w:sz="8" w:space="1" w:color="000000"/>
        </w:pBdr>
        <w:ind w:hanging="0" w:start="0" w:end="-36"/>
        <w:rPr/>
      </w:pPr>
      <w:r>
        <w:rPr/>
        <w:t>RISK MATRIX (Main 5 Risks)</w:t>
      </w:r>
    </w:p>
    <w:tbl>
      <w:tblPr>
        <w:tblW w:w="9990" w:type="dxa"/>
        <w:jc w:val="start"/>
        <w:tblInd w:w="378" w:type="dxa"/>
        <w:tblLayout w:type="fixed"/>
        <w:tblCellMar>
          <w:top w:w="0" w:type="dxa"/>
          <w:start w:w="108" w:type="dxa"/>
          <w:bottom w:w="0" w:type="dxa"/>
          <w:end w:w="108" w:type="dxa"/>
        </w:tblCellMar>
      </w:tblPr>
      <w:tblGrid>
        <w:gridCol w:w="1620"/>
        <w:gridCol w:w="8370"/>
      </w:tblGrid>
      <w:tr>
        <w:trPr/>
        <w:tc>
          <w:tcPr>
            <w:tcW w:w="16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83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1620" w:type="dxa"/>
            <w:tcBorders>
              <w:top w:val="single" w:sz="6" w:space="0" w:color="000000"/>
              <w:start w:val="single" w:sz="6" w:space="0" w:color="000000"/>
              <w:bottom w:val="single" w:sz="6" w:space="0" w:color="000000"/>
              <w:end w:val="single" w:sz="6" w:space="0" w:color="000000"/>
            </w:tcBorders>
          </w:tcPr>
          <w:p>
            <w:pPr>
              <w:pStyle w:val="Header"/>
              <w:keepNext w:val="true"/>
              <w:widowControl/>
              <w:tabs>
                <w:tab w:val="clear" w:pos="4320"/>
                <w:tab w:val="clear" w:pos="8640"/>
                <w:tab w:val="left" w:pos="1620" w:leader="none"/>
              </w:tabs>
              <w:rPr>
                <w:b/>
              </w:rPr>
            </w:pPr>
            <w:r>
              <w:rPr>
                <w:b/>
              </w:rPr>
              <w:t>Market Risk</w:t>
            </w:r>
          </w:p>
        </w:tc>
        <w:tc>
          <w:tcPr>
            <w:tcW w:w="8370"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 xml:space="preserve">Commodity risk exists since the JV will carry a 1.25 TWh long position (VAR = $0.4MM) after entering into a full requirements distribution contract and supply agreements with the production plants.  This outright position will be managed by the traders of the JV, as any other trading position in Enron. The fixed price supply contracts subject the JV to two main risks within its Portfolio: </w:t>
            </w:r>
            <w:r>
              <w:rPr>
                <w:lang w:val="en-CA" w:eastAsia="en-CA"/>
              </w:rPr>
              <w:t>price risk and indirect volume risk.</w:t>
            </w:r>
          </w:p>
          <w:p>
            <w:pPr>
              <w:pStyle w:val="Normal"/>
              <w:keepNext w:val="true"/>
              <w:jc w:val="both"/>
              <w:rPr/>
            </w:pPr>
            <w:r>
              <w:rPr>
                <w:b/>
                <w:bCs/>
              </w:rPr>
              <w:t>Price risk and indirect volume risks:</w:t>
            </w:r>
            <w:r>
              <w:rPr/>
              <w:t xml:space="preserve"> </w:t>
            </w:r>
            <w:r>
              <w:rPr>
                <w:lang w:val="en-CA" w:eastAsia="en-CA"/>
              </w:rPr>
              <w:t xml:space="preserve">The outright price risk may be limited by hedging the long power position out immediately by going SHORT ‘normal year’ production. </w:t>
            </w:r>
            <w:r>
              <w:rPr/>
              <w:t xml:space="preserve">The remaining risks are partially mitigated contractually, through the use of a price function, that adjust the contract price to reflect (dry) wet years being (more) less valuable on average due to more (peak) band oriented dispatch.  </w:t>
            </w:r>
          </w:p>
          <w:p>
            <w:pPr>
              <w:pStyle w:val="Normal"/>
              <w:keepNext w:val="true"/>
              <w:jc w:val="both"/>
              <w:rPr/>
            </w:pPr>
            <w:r>
              <w:rPr>
                <w:b/>
                <w:bCs/>
              </w:rPr>
              <w:t>Direct volume risk</w:t>
            </w:r>
            <w:r>
              <w:rPr/>
              <w:t xml:space="preserve">: This is mitigated by the fact that the JV pays the contract price on actual production, not on fixed volumes.  </w:t>
            </w:r>
          </w:p>
          <w:p>
            <w:pPr>
              <w:pStyle w:val="Normal"/>
              <w:keepNext w:val="true"/>
              <w:jc w:val="both"/>
              <w:rPr/>
            </w:pPr>
            <w:r>
              <w:rPr/>
              <w:t>(Please refer to Appendix 2: Market Risk  for a detailed overview of those risks, with a special focus on the minor non-mitigated multiplicity risk).</w:t>
            </w:r>
          </w:p>
        </w:tc>
      </w:tr>
      <w:tr>
        <w:trPr/>
        <w:tc>
          <w:tcPr>
            <w:tcW w:w="1620"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Plant Technical Non-Availability Risk</w:t>
            </w:r>
          </w:p>
        </w:tc>
        <w:tc>
          <w:tcPr>
            <w:tcW w:w="8370" w:type="dxa"/>
            <w:tcBorders>
              <w:top w:val="single" w:sz="6" w:space="0" w:color="000000"/>
              <w:start w:val="single" w:sz="6" w:space="0" w:color="000000"/>
              <w:bottom w:val="single" w:sz="6" w:space="0" w:color="000000"/>
              <w:end w:val="single" w:sz="6" w:space="0" w:color="000000"/>
            </w:tcBorders>
          </w:tcPr>
          <w:p>
            <w:pPr>
              <w:pStyle w:val="Normal"/>
              <w:keepNext w:val="true"/>
              <w:jc w:val="both"/>
              <w:rPr>
                <w:bCs/>
              </w:rPr>
            </w:pPr>
            <w:r>
              <w:rPr>
                <w:bCs/>
              </w:rPr>
              <w:t>The JV enters into physical long positions that carry outage and plant non-availability risk.  These risks are mitigated through contractual agreements that cover the non-availability risk and make the power purchased financially firm for the JV.</w:t>
            </w:r>
          </w:p>
          <w:p>
            <w:pPr>
              <w:pStyle w:val="Normal"/>
              <w:keepNext w:val="true"/>
              <w:jc w:val="both"/>
              <w:rPr/>
            </w:pPr>
            <w:r>
              <w:rPr>
                <w:b/>
              </w:rPr>
              <w:t>Hydro Plant:</w:t>
            </w:r>
            <w:r>
              <w:rPr/>
              <w:t xml:space="preserve"> In the event of a technical outage, the contract price is decreased in a defined way to reflect that the feasible production is now less valuable than the reference schedule in the contract under a given price curve (due to a loss of peak hours).  Besides these adjustments, there are short-term and long-term financial guarantees by the seller.  Furthermore, there is a provision for back-up costs in the contract to be paid by the seller.  Whether these back-up provisions are used to secure firm power is a commercial decision - as the structure currently stands the JV is not obligated to use these provisions to hedge the non-firm power risk.</w:t>
            </w:r>
          </w:p>
          <w:p>
            <w:pPr>
              <w:pStyle w:val="Normal"/>
              <w:keepNext w:val="true"/>
              <w:jc w:val="both"/>
              <w:rPr/>
            </w:pPr>
            <w:r>
              <w:rPr>
                <w:b/>
              </w:rPr>
              <w:t>Nuclear Plant:</w:t>
            </w:r>
            <w:r>
              <w:rPr/>
              <w:t xml:space="preserve">  Nuclear supply contracts have not yet been negotiated. However, the nuclear contracts will be a simplified version of the hydro plant supply contracts, and similarly the JV will take some outage risk.  Similar short and long-term guarantees as well as back-up cost provisions will contractually exist.  </w:t>
            </w:r>
          </w:p>
          <w:p>
            <w:pPr>
              <w:pStyle w:val="Normal"/>
              <w:keepNext w:val="true"/>
              <w:jc w:val="both"/>
              <w:rPr/>
            </w:pPr>
            <w:r>
              <w:rPr/>
              <w:t>(For a more detailed explanation please refer to Appendix 3: Plant Technical Non-Availability risk).</w:t>
            </w:r>
          </w:p>
        </w:tc>
      </w:tr>
    </w:tbl>
    <w:p>
      <w:pPr>
        <w:pStyle w:val="Normal"/>
        <w:rPr/>
      </w:pPr>
      <w:r>
        <w:rPr/>
      </w:r>
    </w:p>
    <w:tbl>
      <w:tblPr>
        <w:tblW w:w="9990" w:type="dxa"/>
        <w:jc w:val="start"/>
        <w:tblInd w:w="378" w:type="dxa"/>
        <w:tblLayout w:type="fixed"/>
        <w:tblCellMar>
          <w:top w:w="0" w:type="dxa"/>
          <w:start w:w="108" w:type="dxa"/>
          <w:bottom w:w="0" w:type="dxa"/>
          <w:end w:w="108" w:type="dxa"/>
        </w:tblCellMar>
      </w:tblPr>
      <w:tblGrid>
        <w:gridCol w:w="1710"/>
        <w:gridCol w:w="8280"/>
      </w:tblGrid>
      <w:tr>
        <w:trPr/>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82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Control Risk</w:t>
            </w:r>
          </w:p>
          <w:p>
            <w:pPr>
              <w:pStyle w:val="Normal"/>
              <w:keepNext w:val="true"/>
              <w:rPr>
                <w:b/>
              </w:rPr>
            </w:pPr>
            <w:r>
              <w:rPr>
                <w:b/>
              </w:rPr>
            </w:r>
          </w:p>
        </w:tc>
        <w:tc>
          <w:tcPr>
            <w:tcW w:w="8280"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As the office will physically be located in Zurich and staffed by a mixture of Enron and EWZ personnel that are seconded to the JV, potential control risk exists.  The majority of the 9 person staff in Zurich will be EWZ people with Enron having one of the joint-MD being in constant contact with the office to jointly supervise the trading team.  Additionally, one member of the Enron Structured Options team and an Enron trader will be either present or in direct contact with the JV.</w:t>
            </w:r>
          </w:p>
          <w:p>
            <w:pPr>
              <w:pStyle w:val="Normal"/>
              <w:rPr/>
            </w:pPr>
            <w:r>
              <w:rPr/>
              <w:t>A further mitigant will be that the JV’s portfolio will be monitored daily against the Continental Power Trading Limits by Enron Europe’s risk managers.  The JV Portfolio will have its own DPR, and its own sub-set of limits (these limits can be increased with discussion and approval from RAC Market Risk), as depicted below:</w:t>
            </w:r>
          </w:p>
          <w:p>
            <w:pPr>
              <w:pStyle w:val="Normal"/>
              <w:rPr>
                <w:lang w:val="en-CA" w:eastAsia="en-CA"/>
              </w:rPr>
            </w:pPr>
            <w:r>
              <w:rPr>
                <w:lang w:val="en-CA" w:eastAsia="en-CA"/>
              </w:rPr>
              <w:drawing>
                <wp:anchor behindDoc="0" distT="0" distB="0" distL="114935" distR="114935" simplePos="0" locked="0" layoutInCell="1" allowOverlap="1" relativeHeight="36">
                  <wp:simplePos x="0" y="0"/>
                  <wp:positionH relativeFrom="column">
                    <wp:posOffset>375285</wp:posOffset>
                  </wp:positionH>
                  <wp:positionV relativeFrom="paragraph">
                    <wp:posOffset>124460</wp:posOffset>
                  </wp:positionV>
                  <wp:extent cx="3752215" cy="134302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27" r="-10" b="-27"/>
                          <a:stretch>
                            <a:fillRect/>
                          </a:stretch>
                        </pic:blipFill>
                        <pic:spPr bwMode="auto">
                          <a:xfrm>
                            <a:off x="0" y="0"/>
                            <a:ext cx="3752215" cy="1343025"/>
                          </a:xfrm>
                          <a:prstGeom prst="rect">
                            <a:avLst/>
                          </a:prstGeom>
                          <a:noFill/>
                        </pic:spPr>
                      </pic:pic>
                    </a:graphicData>
                  </a:graphic>
                </wp:anchor>
              </w:drawing>
            </w:r>
          </w:p>
          <w:p>
            <w:pPr>
              <w:pStyle w:val="Normal"/>
              <w:keepNext w:val="true"/>
              <w:jc w:val="both"/>
              <w:rPr/>
            </w:pPr>
            <w:r>
              <w:rPr/>
              <w:t>The JV Portfolio, will be subject to Enron’s Board Approved Risk Management Policy.</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Partnership Risk</w:t>
            </w:r>
          </w:p>
        </w:tc>
        <w:tc>
          <w:tcPr>
            <w:tcW w:w="8280"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Enron is exposed to specific EWZ partnership motivation and management risk. EWZ is a Swiss municipality reporting directly to the Zurich City Council. After the foundation of the JV, every transaction that EWZ conducts with regards to the JV (shareholders loan, parent company guarantee) has to be approved by the City Council. (However, at no point is Enron obligated to provide shareholders loan or parent company guarantee unilaterally.)</w:t>
            </w:r>
          </w:p>
          <w:p>
            <w:pPr>
              <w:pStyle w:val="Normal"/>
              <w:keepNext w:val="true"/>
              <w:jc w:val="both"/>
              <w:rPr/>
            </w:pPr>
            <w:r>
              <w:rPr/>
              <w:t>Further, as a result of different company cultures Enron risks that the JV does not perform effectively.  This risk is partially mitigated through the good prior working relationships that both companies have experienced in the past 3 years.  Decision making within the JV is shared equally with main decisions outside the scope of the Trading Rules (Attachment 1.3 to the Shareholder Agreement) being jointly made by both MD’s.  In case of disagreement, these are taken through various consecutive resolution stages (board of directors of the JV, arbitration panels and finally to the heads of each company) that throughout are equally represented by Enron and EWZ.  In case no agreement is reached shareholders shall dissolve the JV.</w:t>
            </w:r>
          </w:p>
        </w:tc>
      </w:tr>
      <w:tr>
        <w:trPr>
          <w:trHeight w:val="2775"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Credit Risk</w:t>
            </w:r>
          </w:p>
        </w:tc>
        <w:tc>
          <w:tcPr>
            <w:tcW w:w="8280"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color w:val="000000"/>
              </w:rPr>
              <w:t xml:space="preserve">The JV between EWZ and Enron Power B.V. is an LLC and the partnership is joint and several.  Enron Corp. is providing guarantees as part of the Shareholder Agreement between EWZ (AA-) and Enron Power B.V., Master Agreement between the JV and ECTRL, Enron Power B.V. and EPOL's services to the JV, and future agreements that the JV will sign with third parties.  The first guarantee in the amount of $5.9MM will be a part of the Shareholder Agreement and guarantees Enron Power B.V.'s portion of Equity and contingent Shareholder Loan for the benefit of the JV.  The second guarantee for an amount to be determined by Enron Corp., will guarantee ECTRL to the JV for transactions done between the two companies, initially the collar transaction.  However, the parent company guarantee is only provided after the exposure threshold of $20MM is exceeded and the amount and form of guarantee is to be determined by Enron Corp.  The 3rd guarantee for the benefit of EWZ ($22MM) covers negligent activity that would cause damage to 3rd parties as a result of EPOL and/or Enron Power B.V.'s </w:t>
            </w:r>
            <w:r>
              <w:rPr/>
              <w:t>involvement with middle and back office functions and trading position strategies developed jointly with the JV.  There is a side letter with EWZ stating that EWZ may only draw on this guarantee if EWZ has been forced to make such payments and any payment under the guarantee would only be for 50% of any sum EWZ already paid to 3rd parties. The originators have also requested guarantees</w:t>
            </w:r>
            <w:r>
              <w:rPr>
                <w:color w:val="000000"/>
              </w:rPr>
              <w:t xml:space="preserve"> to be provided in aggregate of $30MM in order to enable trading between the JV and third parties.  Although we are not specifically obligated in the Shareholder Agreement to provide this guarantee, the originators request approval in advance from Enron Corp.  A credit term included in the EWZ/JV and ECTRL/JV Masters is a cross default provision that is triggered if EWZ (as part of the EWZ/JV Master) or ECTRL as part of the (ECTRL/JV Master) is in default with receivables from obligations or contracts to the JV or 3rd parties and does not verify in 3 days at the request of the JV that it is solvent in regard to receivables exceeding an aggregate amount of $8.6MM.  </w:t>
            </w:r>
          </w:p>
        </w:tc>
      </w:tr>
    </w:tbl>
    <w:p>
      <w:pPr>
        <w:pStyle w:val="Normal"/>
        <w:rPr/>
      </w:pPr>
      <w:r>
        <w:rPr/>
      </w:r>
    </w:p>
    <w:p>
      <w:pPr>
        <w:pStyle w:val="Normal"/>
        <w:rPr/>
      </w:pPr>
      <w:r>
        <w:rPr/>
      </w:r>
    </w:p>
    <w:p>
      <w:pPr>
        <w:pStyle w:val="Heading1"/>
        <w:pBdr>
          <w:top w:val="single" w:sz="8" w:space="1" w:color="000000"/>
        </w:pBdr>
        <w:ind w:hanging="0" w:start="0"/>
        <w:rPr/>
      </w:pPr>
      <w:r>
        <w:rPr/>
        <w:t>KEY SUCCESS FACTORS</w:t>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bottom w:val="single" w:sz="4" w:space="0" w:color="000000"/>
            </w:tcBorders>
          </w:tcPr>
          <w:p>
            <w:pPr>
              <w:pStyle w:val="Heading1"/>
              <w:ind w:hanging="0" w:start="0"/>
              <w:rPr/>
            </w:pPr>
            <w:r>
              <w:rPr/>
              <w:t>Fair</w:t>
            </w:r>
          </w:p>
        </w:tc>
        <w:tc>
          <w:tcPr>
            <w:tcW w:w="1170" w:type="dxa"/>
            <w:tcBorders>
              <w:top w:val="single" w:sz="4" w:space="0" w:color="000000"/>
              <w:bottom w:val="single" w:sz="4" w:space="0" w:color="000000"/>
            </w:tcBorders>
          </w:tcPr>
          <w:p>
            <w:pPr>
              <w:pStyle w:val="Heading1"/>
              <w:ind w:hanging="0" w:start="0"/>
              <w:rPr/>
            </w:pPr>
            <w:r>
              <w:rPr/>
              <w:t>Good</w:t>
            </w:r>
          </w:p>
        </w:tc>
        <w:tc>
          <w:tcPr>
            <w:tcW w:w="1170" w:type="dxa"/>
            <w:tcBorders>
              <w:top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rPr/>
            </w:pPr>
            <w:r>
              <w:rPr/>
              <w:t>X</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rPr/>
            </w:pPr>
            <w:r>
              <w:rPr/>
              <w:t>X</w:t>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rPr/>
            </w:pPr>
            <w:r>
              <w:rPr/>
              <w:t>X</w:t>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rPr/>
            </w:pPr>
            <w:r>
              <w:rPr/>
              <w:t>X</w:t>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rPr/>
            </w:pPr>
            <w:r>
              <w:rPr/>
              <w:t xml:space="preserve">           </w:t>
            </w:r>
            <w:r>
              <w:rPr/>
              <w:t>X</w:t>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Header"/>
        <w:widowControl/>
        <w:tabs>
          <w:tab w:val="clear" w:pos="4320"/>
          <w:tab w:val="clear" w:pos="8640"/>
        </w:tabs>
        <w:rPr/>
      </w:pPr>
      <w:r>
        <w:rPr/>
      </w:r>
    </w:p>
    <w:p>
      <w:pPr>
        <w:pStyle w:val="Heading6"/>
        <w:ind w:hanging="0" w:start="0"/>
        <w:rPr/>
      </w:pPr>
      <w:r>
        <w:rPr/>
        <w:t>OTHER RAC COMMENTS</w:t>
      </w:r>
    </w:p>
    <w:p>
      <w:pPr>
        <w:pStyle w:val="Normal"/>
        <w:jc w:val="both"/>
        <w:rPr/>
      </w:pPr>
      <w:r>
        <w:rPr/>
        <w:t>This deal provides additional benefits/earnings to Enron through the collar agreement that the JV enters into with Enron.  This has not been included in this valuation.</w:t>
      </w:r>
    </w:p>
    <w:p>
      <w:pPr>
        <w:pStyle w:val="Normal"/>
        <w:pBdr>
          <w:bottom w:val="single" w:sz="4" w:space="1" w:color="000000"/>
        </w:pBdr>
        <w:jc w:val="both"/>
        <w:rPr/>
      </w:pPr>
      <w:r>
        <w:rPr/>
      </w:r>
    </w:p>
    <w:p>
      <w:pPr>
        <w:pStyle w:val="Normal"/>
        <w:rPr>
          <w:b/>
        </w:rPr>
      </w:pPr>
      <w:r>
        <w:rPr>
          <w:b/>
        </w:rPr>
        <w:t>MILESTONES</w:t>
      </w:r>
    </w:p>
    <w:p>
      <w:pPr>
        <w:pStyle w:val="Normal"/>
        <w:jc w:val="both"/>
        <w:rPr/>
      </w:pPr>
      <w:r>
        <w:rPr/>
        <w:t>September 2001: Purchase contracts with EWZ Generation outlining exact operating parameters of JV.</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Business Unit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lang w:val="de-DE"/>
              </w:rPr>
            </w:pPr>
            <w:r>
              <w:rPr>
                <w:lang w:val="de-DE"/>
              </w:rPr>
              <w:t>Peter Kreuzberg / Peter Heydecker / Lars Atenhofer</w:t>
            </w:r>
          </w:p>
        </w:tc>
        <w:tc>
          <w:tcPr>
            <w:tcW w:w="354" w:type="dxa"/>
            <w:tcBorders/>
          </w:tcPr>
          <w:p>
            <w:pPr>
              <w:pStyle w:val="Normal"/>
              <w:snapToGrid w:val="false"/>
              <w:spacing w:before="120" w:after="0"/>
              <w:rPr>
                <w:lang w:val="de-DE"/>
              </w:rPr>
            </w:pPr>
            <w:r>
              <w:rPr>
                <w:lang w:val="de-DE"/>
              </w:rPr>
            </w:r>
          </w:p>
        </w:tc>
        <w:tc>
          <w:tcPr>
            <w:tcW w:w="2924" w:type="dxa"/>
            <w:tcBorders>
              <w:bottom w:val="single" w:sz="6" w:space="0" w:color="000000"/>
            </w:tcBorders>
          </w:tcPr>
          <w:p>
            <w:pPr>
              <w:pStyle w:val="Normal"/>
              <w:snapToGrid w:val="false"/>
              <w:spacing w:before="120" w:after="0"/>
              <w:rPr>
                <w:lang w:val="de-DE"/>
              </w:rPr>
            </w:pPr>
            <w:r>
              <w:rPr>
                <w:lang w:val="de-DE"/>
              </w:rPr>
            </w:r>
          </w:p>
        </w:tc>
        <w:tc>
          <w:tcPr>
            <w:tcW w:w="293" w:type="dxa"/>
            <w:tcBorders/>
          </w:tcPr>
          <w:p>
            <w:pPr>
              <w:pStyle w:val="Normal"/>
              <w:snapToGrid w:val="false"/>
              <w:spacing w:before="120" w:after="0"/>
              <w:rPr>
                <w:lang w:val="de-DE"/>
              </w:rPr>
            </w:pPr>
            <w:r>
              <w:rPr>
                <w:lang w:val="de-DE"/>
              </w:rPr>
            </w:r>
          </w:p>
        </w:tc>
        <w:tc>
          <w:tcPr>
            <w:tcW w:w="1057" w:type="dxa"/>
            <w:tcBorders>
              <w:bottom w:val="single" w:sz="6" w:space="0" w:color="000000"/>
            </w:tcBorders>
          </w:tcPr>
          <w:p>
            <w:pPr>
              <w:pStyle w:val="Normal"/>
              <w:snapToGrid w:val="false"/>
              <w:spacing w:before="120" w:after="0"/>
              <w:rPr>
                <w:lang w:val="de-DE"/>
              </w:rPr>
            </w:pPr>
            <w:r>
              <w:rPr>
                <w:lang w:val="de-DE"/>
              </w:rPr>
            </w:r>
          </w:p>
        </w:tc>
      </w:tr>
      <w:tr>
        <w:trPr>
          <w:trHeight w:val="297" w:hRule="atLeast"/>
        </w:trPr>
        <w:tc>
          <w:tcPr>
            <w:tcW w:w="2448" w:type="dxa"/>
            <w:tcBorders/>
          </w:tcPr>
          <w:p>
            <w:pPr>
              <w:pStyle w:val="Normal"/>
              <w:spacing w:before="120" w:after="0"/>
              <w:rPr/>
            </w:pPr>
            <w:r>
              <w:rPr/>
              <w:t>Business Unit Management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lang w:val="de-DE"/>
              </w:rPr>
            </w:pPr>
            <w:r>
              <w:rPr>
                <w:lang w:val="de-DE"/>
              </w:rPr>
              <w:t>Gregor Baumerich</w:t>
            </w:r>
          </w:p>
        </w:tc>
        <w:tc>
          <w:tcPr>
            <w:tcW w:w="354" w:type="dxa"/>
            <w:tcBorders/>
          </w:tcPr>
          <w:p>
            <w:pPr>
              <w:pStyle w:val="Normal"/>
              <w:snapToGrid w:val="false"/>
              <w:spacing w:before="120" w:after="0"/>
              <w:rPr>
                <w:lang w:val="de-DE"/>
              </w:rPr>
            </w:pPr>
            <w:r>
              <w:rPr>
                <w:lang w:val="de-DE"/>
              </w:rPr>
            </w:r>
          </w:p>
        </w:tc>
        <w:tc>
          <w:tcPr>
            <w:tcW w:w="2924" w:type="dxa"/>
            <w:tcBorders>
              <w:bottom w:val="single" w:sz="6" w:space="0" w:color="000000"/>
            </w:tcBorders>
          </w:tcPr>
          <w:p>
            <w:pPr>
              <w:pStyle w:val="Normal"/>
              <w:snapToGrid w:val="false"/>
              <w:spacing w:before="120" w:after="0"/>
              <w:rPr>
                <w:lang w:val="de-DE"/>
              </w:rPr>
            </w:pPr>
            <w:r>
              <w:rPr>
                <w:lang w:val="de-DE"/>
              </w:rPr>
            </w:r>
          </w:p>
        </w:tc>
        <w:tc>
          <w:tcPr>
            <w:tcW w:w="293" w:type="dxa"/>
            <w:tcBorders/>
          </w:tcPr>
          <w:p>
            <w:pPr>
              <w:pStyle w:val="Normal"/>
              <w:snapToGrid w:val="false"/>
              <w:spacing w:before="120" w:after="0"/>
              <w:rPr>
                <w:lang w:val="de-DE"/>
              </w:rPr>
            </w:pPr>
            <w:r>
              <w:rPr>
                <w:lang w:val="de-DE"/>
              </w:rPr>
            </w:r>
          </w:p>
        </w:tc>
        <w:tc>
          <w:tcPr>
            <w:tcW w:w="1057" w:type="dxa"/>
            <w:tcBorders>
              <w:bottom w:val="single" w:sz="6" w:space="0" w:color="000000"/>
            </w:tcBorders>
          </w:tcPr>
          <w:p>
            <w:pPr>
              <w:pStyle w:val="Normal"/>
              <w:snapToGrid w:val="false"/>
              <w:spacing w:before="120" w:after="0"/>
              <w:rPr>
                <w:lang w:val="de-DE"/>
              </w:rPr>
            </w:pPr>
            <w:r>
              <w:rPr>
                <w:lang w:val="de-DE"/>
              </w:rPr>
            </w:r>
          </w:p>
        </w:tc>
      </w:tr>
      <w:tr>
        <w:trPr>
          <w:trHeight w:val="297" w:hRule="atLeast"/>
        </w:trPr>
        <w:tc>
          <w:tcPr>
            <w:tcW w:w="2448" w:type="dxa"/>
            <w:tcBorders/>
          </w:tcPr>
          <w:p>
            <w:pPr>
              <w:pStyle w:val="Normal"/>
              <w:spacing w:before="120" w:after="0"/>
              <w:rPr>
                <w:lang w:val="de-DE"/>
              </w:rPr>
            </w:pPr>
            <w:r>
              <w:rPr>
                <w:lang w:val="de-DE"/>
              </w:rPr>
              <w:t>Regional Mgmt.</w:t>
            </w:r>
          </w:p>
        </w:tc>
        <w:tc>
          <w:tcPr>
            <w:tcW w:w="360" w:type="dxa"/>
            <w:tcBorders/>
          </w:tcPr>
          <w:p>
            <w:pPr>
              <w:pStyle w:val="Normal"/>
              <w:snapToGrid w:val="false"/>
              <w:spacing w:before="120" w:after="0"/>
              <w:rPr>
                <w:lang w:val="de-DE"/>
              </w:rPr>
            </w:pPr>
            <w:r>
              <w:rPr>
                <w:lang w:val="de-DE"/>
              </w:rPr>
            </w:r>
          </w:p>
        </w:tc>
        <w:tc>
          <w:tcPr>
            <w:tcW w:w="2932" w:type="dxa"/>
            <w:tcBorders>
              <w:bottom w:val="single" w:sz="6" w:space="0" w:color="000000"/>
            </w:tcBorders>
          </w:tcPr>
          <w:p>
            <w:pPr>
              <w:pStyle w:val="Normal"/>
              <w:spacing w:before="120" w:after="0"/>
              <w:rPr/>
            </w:pPr>
            <w:r>
              <w:rPr/>
              <w:t>John Sherriff / Michael Brown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Evans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Ted Murphy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Anne Edgley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 / 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rPr>
      </w:pPr>
      <w:r>
        <w:rPr>
          <w:b/>
        </w:rPr>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4"/>
              </w:numPr>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$5,900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$5,900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8"/>
        </w:numPr>
        <w:rPr/>
      </w:pPr>
      <w:r>
        <w:rPr/>
        <w:t>Investment terms and pricing:</w:t>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r>
    </w:p>
    <w:p>
      <w:pPr>
        <w:pStyle w:val="List"/>
        <w:numPr>
          <w:ilvl w:val="0"/>
          <w:numId w:val="8"/>
        </w:numPr>
        <w:rPr/>
      </w:pPr>
      <w:r>
        <w:rPr/>
        <w:t>Financing terms and pricing:</w:t>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r>
    </w:p>
    <w:p>
      <w:pPr>
        <w:pStyle w:val="List"/>
        <w:numPr>
          <w:ilvl w:val="0"/>
          <w:numId w:val="8"/>
        </w:numPr>
        <w:rPr/>
      </w:pPr>
      <w:r>
        <w:rPr/>
        <w:t>Legal or practical liquidity restrictions:</w:t>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r>
    </w:p>
    <w:p>
      <w:pPr>
        <w:pStyle w:val="List"/>
        <w:numPr>
          <w:ilvl w:val="0"/>
          <w:numId w:val="8"/>
        </w:numPr>
        <w:rPr/>
      </w:pPr>
      <w:r>
        <w:rPr/>
        <w:t>Any recourse to Enron (other than investment):</w:t>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r>
    </w:p>
    <w:p>
      <w:pPr>
        <w:pStyle w:val="List"/>
        <w:numPr>
          <w:ilvl w:val="0"/>
          <w:numId w:val="5"/>
        </w:numPr>
        <w:rPr/>
      </w:pPr>
      <w:r>
        <w:rPr/>
        <w:t>Business unit intent to syndicate:</w:t>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r>
    </w:p>
    <w:p>
      <w:pPr>
        <w:pStyle w:val="Normal"/>
        <w:numPr>
          <w:ilvl w:val="0"/>
          <w:numId w:val="9"/>
        </w:numPr>
        <w:rPr/>
      </w:pPr>
      <w:r>
        <w:rPr/>
        <w:t>Intended Enron hold period:</w:t>
        <w:br/>
        <w:br/>
      </w:r>
    </w:p>
    <w:p>
      <w:pPr>
        <w:pStyle w:val="Normal"/>
        <w:numPr>
          <w:ilvl w:val="0"/>
          <w:numId w:val="3"/>
        </w:numPr>
        <w:rPr/>
      </w:pPr>
      <w:r>
        <w:rPr/>
        <w:t>Likely Syndication Market:</w:t>
        <w:tab/>
        <w:tab/>
        <w:tab/>
      </w:r>
      <w:r>
        <w:rPr>
          <w:rFonts w:eastAsia="Monotype Sorts;Symbol" w:cs="Monotype Sorts;Symbol" w:ascii="Monotype Sorts;Symbol" w:hAnsi="Monotype Sorts;Symbol"/>
        </w:rPr>
        <w:sym w:font="Monotype Sorts;Symbol" w:char="f06f"/>
      </w:r>
      <w:r>
        <w:rPr/>
        <w:t xml:space="preserve"> Industry/Strategic Partner</w:t>
        <w:tab/>
      </w:r>
      <w:r>
        <w:rPr>
          <w:rFonts w:eastAsia="Monotype Sorts;Symbol" w:cs="Monotype Sorts;Symbol" w:ascii="Monotype Sorts;Symbol" w:hAnsi="Monotype Sorts;Symbol"/>
        </w:rPr>
        <w:sym w:font="Monotype Sorts;Symbol" w:char="f06f"/>
      </w:r>
      <w:r>
        <w:rPr/>
        <w:t xml:space="preserve"> Direct Private Equity</w:t>
      </w:r>
    </w:p>
    <w:p>
      <w:pPr>
        <w:pStyle w:val="Normal"/>
        <w:ind w:start="2700" w:end="0"/>
        <w:rPr/>
      </w:pPr>
      <w:r>
        <w:rPr/>
      </w:r>
    </w:p>
    <w:p>
      <w:pPr>
        <w:pStyle w:val="Normal"/>
        <w:ind w:start="2700" w:end="0"/>
        <w:rPr/>
      </w:pPr>
      <w:r>
        <w:rPr/>
        <w:tab/>
        <w:tab/>
        <w:tab/>
      </w:r>
      <w:r>
        <w:rPr>
          <w:rFonts w:eastAsia="Monotype Sorts;Symbol" w:cs="Monotype Sorts;Symbol" w:ascii="Monotype Sorts;Symbol" w:hAnsi="Monotype Sorts;Symbol"/>
        </w:rPr>
        <w:sym w:font="Monotype Sorts;Symbol" w:char="f06f"/>
      </w:r>
      <w:r>
        <w:rPr/>
        <w:t xml:space="preserve"> Capital Markets</w:t>
        <w:tab/>
        <w:tab/>
      </w:r>
      <w:r>
        <w:rPr>
          <w:rFonts w:eastAsia="Monotype Sorts;Symbol" w:cs="Monotype Sorts;Symbol" w:ascii="Monotype Sorts;Symbol" w:hAnsi="Monotype Sorts;Symbol"/>
        </w:rPr>
        <w:sym w:font="Monotype Sorts;Symbol" w:char="f06f"/>
      </w:r>
      <w:r>
        <w:rPr/>
        <w:t xml:space="preserve"> JEDI</w:t>
        <w:tab/>
        <w:tab/>
        <w:t xml:space="preserve"> </w:t>
      </w:r>
      <w:r>
        <w:rPr>
          <w:rFonts w:eastAsia="Monotype Sorts;Symbol" w:cs="Monotype Sorts;Symbol" w:ascii="Monotype Sorts;Symbol" w:hAnsi="Monotype Sorts;Symbol"/>
        </w:rPr>
        <w:sym w:font="Monotype Sorts;Symbol" w:char="f06f"/>
      </w:r>
      <w:r>
        <w:rPr/>
        <w:t xml:space="preserve"> JEDI 2</w:t>
        <w:tab/>
        <w:tab/>
        <w:tab/>
        <w:tab/>
      </w:r>
      <w:r>
        <w:rPr>
          <w:rFonts w:eastAsia="Monotype Sorts;Symbol" w:cs="Monotype Sorts;Symbol" w:ascii="Monotype Sorts;Symbol" w:hAnsi="Monotype Sorts;Symbol"/>
        </w:rPr>
        <w:sym w:font="Monotype Sorts;Symbol" w:char="f06f"/>
      </w:r>
      <w:r>
        <w:rPr/>
        <w:t xml:space="preserve"> Enserco</w:t>
      </w:r>
    </w:p>
    <w:p>
      <w:pPr>
        <w:pStyle w:val="Normal"/>
        <w:ind w:start="2700" w:end="0"/>
        <w:rPr/>
      </w:pPr>
      <w:r>
        <w:rPr/>
      </w:r>
    </w:p>
    <w:p>
      <w:pPr>
        <w:pStyle w:val="Normal"/>
        <w:ind w:start="2700" w:end="0"/>
        <w:rPr/>
      </w:pPr>
      <w:r>
        <w:rPr/>
        <w:tab/>
        <w:tab/>
        <w:tab/>
      </w:r>
      <w:r>
        <w:rPr>
          <w:rFonts w:eastAsia="Monotype Sorts;Symbol" w:cs="Monotype Sorts;Symbol" w:ascii="Monotype Sorts;Symbol" w:hAnsi="Monotype Sorts;Symbol"/>
        </w:rPr>
        <w:sym w:font="Monotype Sorts;Symbol" w:char="f06f"/>
      </w:r>
      <w:r>
        <w:rPr/>
        <w:t xml:space="preserve"> LJM 1 or 2</w:t>
        <w:tab/>
        <w:tab/>
      </w:r>
      <w:r>
        <w:rPr>
          <w:rFonts w:eastAsia="Monotype Sorts;Symbol" w:cs="Monotype Sorts;Symbol" w:ascii="Monotype Sorts;Symbol" w:hAnsi="Monotype Sorts;Symbol"/>
        </w:rPr>
        <w:sym w:font="Monotype Sorts;Symbol" w:char="f06f"/>
      </w:r>
      <w:r>
        <w:rPr/>
        <w:t xml:space="preserve"> Condor</w:t>
        <w:tab/>
      </w:r>
      <w:r>
        <w:rPr>
          <w:rFonts w:eastAsia="Monotype Sorts;Symbol" w:cs="Monotype Sorts;Symbol" w:ascii="Monotype Sorts;Symbol" w:hAnsi="Monotype Sorts;Symbol"/>
        </w:rPr>
        <w:sym w:font="Monotype Sorts;Symbol" w:char="f06f"/>
      </w:r>
      <w:r>
        <w:rPr/>
        <w:t xml:space="preserve"> Margaux</w:t>
        <w:tab/>
        <w:tab/>
        <w:tab/>
        <w:tab/>
        <w:tab/>
      </w:r>
      <w:r>
        <w:rPr>
          <w:rFonts w:eastAsia="Monotype Sorts;Symbol" w:cs="Monotype Sorts;Symbol" w:ascii="Monotype Sorts;Symbol" w:hAnsi="Monotype Sorts;Symbol"/>
        </w:rPr>
        <w:sym w:font="Monotype Sorts;Symbol" w:char="f06f"/>
      </w:r>
      <w:r>
        <w:rPr/>
        <w:t xml:space="preserve"> Other: </w:t>
      </w:r>
    </w:p>
    <w:p>
      <w:pPr>
        <w:pStyle w:val="Normal"/>
        <w:ind w:start="5040" w:end="0"/>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5577840</wp:posOffset>
                </wp:positionH>
                <wp:positionV relativeFrom="paragraph">
                  <wp:posOffset>25400</wp:posOffset>
                </wp:positionV>
                <wp:extent cx="1005840" cy="0"/>
                <wp:effectExtent l="0" t="5080" r="0" b="5080"/>
                <wp:wrapNone/>
                <wp:docPr id="2"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6"/>
        </w:numPr>
        <w:rPr/>
      </w:pPr>
      <w:r>
        <w:rPr/>
        <w:t>Is this a JEDI 2 “Qualified Investment”?</w:t>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7"/>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tab/>
        <w:tab/>
        <w:tab/>
        <w:tab/>
        <w:tab/>
        <w:tab/>
        <w:tab/>
        <w:tab/>
        <w:tab/>
        <w:tab/>
        <w:tab/>
      </w:r>
    </w:p>
    <w:p>
      <w:pPr>
        <w:pStyle w:val="Header"/>
        <w:widowControl/>
        <w:tabs>
          <w:tab w:val="clear" w:pos="4320"/>
          <w:tab w:val="clear" w:pos="8640"/>
        </w:tabs>
        <w:ind w:firstLine="720" w:start="3600" w:end="0"/>
        <w:rPr/>
      </w:pPr>
      <w:r>
        <w:rPr>
          <w:rFonts w:eastAsia="Monotype Sorts;Symbol" w:cs="Monotype Sorts;Symbol" w:ascii="Monotype Sorts;Symbol" w:hAnsi="Monotype Sorts;Symbol"/>
        </w:rPr>
        <w:sym w:font="Monotype Sorts;Symbol" w:char="f06f"/>
      </w:r>
      <w:r>
        <w:rPr/>
        <w:t xml:space="preserve"> </w:t>
      </w:r>
      <w:r>
        <w:rPr/>
        <w:t>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tab/>
        <w:t>Describe (if  necessary):</w:t>
      </w:r>
    </w:p>
    <w:p>
      <w:pPr>
        <w:pStyle w:val="Header"/>
        <w:widowControl/>
        <w:tabs>
          <w:tab w:val="clear" w:pos="4320"/>
          <w:tab w:val="clear" w:pos="8640"/>
          <w:tab w:val="left" w:pos="270" w:leader="none"/>
        </w:tabs>
        <w:rPr/>
      </w:pPr>
      <w:r>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2011680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3840480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5760720</wp:posOffset>
                </wp:positionH>
                <wp:positionV relativeFrom="paragraph">
                  <wp:posOffset>88265</wp:posOffset>
                </wp:positionV>
                <wp:extent cx="962025" cy="2540"/>
                <wp:effectExtent l="5715" t="5080" r="5080" b="5715"/>
                <wp:wrapNone/>
                <wp:docPr id="5"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Header"/>
        <w:widowControl/>
        <w:tabs>
          <w:tab w:val="clear" w:pos="4320"/>
          <w:tab w:val="clear" w:pos="8640"/>
        </w:tabs>
        <w:rPr/>
      </w:pPr>
      <w:r>
        <w:rPr/>
        <w:tab/>
        <w:tab/>
        <w:tab/>
        <w:tab/>
        <w:tab/>
        <w:t>Signature</w:t>
        <w:tab/>
        <w:tab/>
        <w:tab/>
        <w:t>Name (Printed)</w:t>
        <w:tab/>
        <w:tab/>
        <w:tab/>
        <w:t>Date</w:t>
      </w:r>
    </w:p>
    <w:p>
      <w:pPr>
        <w:pStyle w:val="Normal"/>
        <w:tabs>
          <w:tab w:val="left" w:pos="720" w:leader="none"/>
        </w:tabs>
        <w:ind w:start="360" w:end="0"/>
        <w:rPr/>
      </w:pPr>
      <w:r>
        <w:rPr/>
        <w:tab/>
        <w:tab/>
        <w:tab/>
        <w:tab/>
        <w:tab/>
        <w:tab/>
        <w:tab/>
        <w:tab/>
        <w:tab/>
        <w:tab/>
        <w:tab/>
        <w:tab/>
        <w:tab/>
        <w:tab/>
      </w:r>
    </w:p>
    <w:p>
      <w:pPr>
        <w:pStyle w:val="Normal"/>
        <w:tabs>
          <w:tab w:val="left" w:pos="720" w:leader="none"/>
        </w:tabs>
        <w:ind w:start="360" w:end="0"/>
        <w:rPr/>
      </w:pPr>
      <w:r>
        <w:rPr/>
      </w:r>
      <w:r>
        <w:br w:type="page"/>
      </w:r>
    </w:p>
    <w:p>
      <w:pPr>
        <w:pStyle w:val="Normal"/>
        <w:tabs>
          <w:tab w:val="left" w:pos="720" w:leader="none"/>
        </w:tabs>
        <w:ind w:start="360" w:end="0"/>
        <w:rPr/>
      </w:pPr>
      <w:r>
        <w:rPr/>
      </w:r>
    </w:p>
    <w:p>
      <w:pPr>
        <w:pStyle w:val="Normal"/>
        <w:rPr/>
      </w:pPr>
      <w:r>
        <w:rPr>
          <w:b/>
          <w:sz w:val="28"/>
          <w:u w:val="single"/>
        </w:rPr>
        <w:t>Support Teams Signature List</w:t>
      </w:r>
      <w:r>
        <w:rPr>
          <w:b/>
          <w:sz w:val="28"/>
        </w:rPr>
        <w:t>*</w:t>
      </w:r>
    </w:p>
    <w:p>
      <w:pPr>
        <w:pStyle w:val="Heading1"/>
        <w:ind w:hanging="0" w:start="0"/>
        <w:rPr>
          <w:b w:val="false"/>
          <w:sz w:val="24"/>
          <w:u w:val="single"/>
        </w:rPr>
      </w:pPr>
      <w:r>
        <w:rPr>
          <w:b w:val="false"/>
          <w:sz w:val="24"/>
          <w:u w:val="single"/>
        </w:rPr>
      </w:r>
    </w:p>
    <w:p>
      <w:pPr>
        <w:pStyle w:val="Normal"/>
        <w:rPr>
          <w:b/>
          <w:sz w:val="24"/>
          <w:u w:val="single"/>
        </w:rPr>
      </w:pPr>
      <w:r>
        <w:rPr>
          <w:b/>
          <w:sz w:val="24"/>
          <w:u w:val="single"/>
        </w:rPr>
      </w:r>
    </w:p>
    <w:tbl>
      <w:tblPr>
        <w:tblW w:w="9464" w:type="dxa"/>
        <w:jc w:val="start"/>
        <w:tblInd w:w="0" w:type="dxa"/>
        <w:tblLayout w:type="fixed"/>
        <w:tblCellMar>
          <w:top w:w="0" w:type="dxa"/>
          <w:start w:w="108" w:type="dxa"/>
          <w:bottom w:w="0" w:type="dxa"/>
          <w:end w:w="108" w:type="dxa"/>
        </w:tblCellMar>
      </w:tblPr>
      <w:tblGrid>
        <w:gridCol w:w="2943"/>
        <w:gridCol w:w="360"/>
        <w:gridCol w:w="2115"/>
        <w:gridCol w:w="289"/>
        <w:gridCol w:w="2198"/>
        <w:gridCol w:w="293"/>
        <w:gridCol w:w="1266"/>
      </w:tblGrid>
      <w:tr>
        <w:trPr>
          <w:trHeight w:val="405" w:hRule="atLeast"/>
        </w:trPr>
        <w:tc>
          <w:tcPr>
            <w:tcW w:w="2943"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115" w:type="dxa"/>
            <w:tcBorders>
              <w:top w:val="single" w:sz="4" w:space="0" w:color="000000"/>
            </w:tcBorders>
            <w:vAlign w:val="bottom"/>
          </w:tcPr>
          <w:p>
            <w:pPr>
              <w:pStyle w:val="Normal"/>
              <w:keepNext w:val="true"/>
              <w:jc w:val="center"/>
              <w:rPr>
                <w:b/>
              </w:rPr>
            </w:pPr>
            <w:r>
              <w:rPr>
                <w:b/>
              </w:rPr>
              <w:t>Name</w:t>
            </w:r>
          </w:p>
        </w:tc>
        <w:tc>
          <w:tcPr>
            <w:tcW w:w="289" w:type="dxa"/>
            <w:tcBorders>
              <w:top w:val="single" w:sz="4" w:space="0" w:color="000000"/>
            </w:tcBorders>
            <w:vAlign w:val="bottom"/>
          </w:tcPr>
          <w:p>
            <w:pPr>
              <w:pStyle w:val="Normal"/>
              <w:keepNext w:val="true"/>
              <w:snapToGrid w:val="false"/>
              <w:jc w:val="center"/>
              <w:rPr>
                <w:b/>
              </w:rPr>
            </w:pPr>
            <w:r>
              <w:rPr>
                <w:b/>
              </w:rPr>
            </w:r>
          </w:p>
        </w:tc>
        <w:tc>
          <w:tcPr>
            <w:tcW w:w="2198"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266" w:type="dxa"/>
            <w:tcBorders>
              <w:top w:val="single" w:sz="4" w:space="0" w:color="000000"/>
            </w:tcBorders>
            <w:vAlign w:val="bottom"/>
          </w:tcPr>
          <w:p>
            <w:pPr>
              <w:pStyle w:val="Normal"/>
              <w:keepNext w:val="true"/>
              <w:jc w:val="center"/>
              <w:rPr>
                <w:b/>
              </w:rPr>
            </w:pPr>
            <w:r>
              <w:rPr>
                <w:b/>
              </w:rPr>
              <w:t>Date</w:t>
            </w:r>
          </w:p>
        </w:tc>
      </w:tr>
      <w:tr>
        <w:trPr/>
        <w:tc>
          <w:tcPr>
            <w:tcW w:w="2943"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Jenine Juggins / Dirk Remus</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Transaction Support/Accounting</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Steve Dwyer</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Financial Operations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Melissa Allen</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Structuring</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Tani Nath</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HR</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Drew Lynch</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Regulatory Affairs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Paul Hennemeyer</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Country Team / Local Office</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Mauro Renggli</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Risk Management (Other)</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James New</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Insurance</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Anne Edgley</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IT</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Mark Pickering</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Regional Support Co-ordination</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Naomi Connell</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Engineering Technical Services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 xml:space="preserve">John Chappell  </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Anne Edgley / Ben Glisan</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Ted Murphy / David Gorte</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Cash Management</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Peter Russell</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both"/>
        <w:rPr/>
      </w:pPr>
      <w:r>
        <w:rPr/>
        <w:t>*</w:t>
      </w:r>
      <w:r>
        <w:rPr>
          <w:u w:val="single"/>
        </w:rPr>
        <w:t>Note:</w:t>
      </w:r>
      <w:r>
        <w:rPr>
          <w:b w:val="false"/>
        </w:rPr>
        <w:t xml:space="preserve"> If the DASH is circulated together with the final contracts, then a separate CACS will not be required; in this case, the legal counsel working on the deal will determine the signatories on the Support Teams Signature List. If the final contracts are not attached to the DASH, then a separate CACS will be required at a later date and the RAC Underwriting group will determine the signatories on the Support Teams Signature List.</w:t>
      </w:r>
      <w:r>
        <w:br w:type="page"/>
      </w:r>
    </w:p>
    <w:p>
      <w:pPr>
        <w:pStyle w:val="Normal"/>
        <w:rPr>
          <w:b w:val="false"/>
          <w:sz w:val="24"/>
          <w:u w:val="single"/>
        </w:rPr>
      </w:pPr>
      <w:r>
        <w:rPr>
          <w:b w:val="false"/>
          <w:sz w:val="24"/>
          <w:u w:val="single"/>
        </w:rPr>
      </w:r>
    </w:p>
    <w:p>
      <w:pPr>
        <w:pStyle w:val="Heading8"/>
        <w:ind w:hanging="0" w:start="0"/>
        <w:rPr>
          <w:sz w:val="24"/>
        </w:rPr>
      </w:pPr>
      <w:r>
        <w:rPr>
          <w:sz w:val="24"/>
        </w:rPr>
        <w:t>Appendix 1: Detailed Description</w:t>
      </w:r>
    </w:p>
    <w:p>
      <w:pPr>
        <w:pStyle w:val="Normal"/>
        <w:jc w:val="both"/>
        <w:rPr>
          <w:sz w:val="24"/>
        </w:rPr>
      </w:pPr>
      <w:r>
        <w:rPr>
          <w:sz w:val="24"/>
        </w:rPr>
      </w:r>
    </w:p>
    <w:p>
      <w:pPr>
        <w:pStyle w:val="Normal"/>
        <w:jc w:val="both"/>
        <w:rPr/>
      </w:pPr>
      <w:r>
        <w:rPr/>
        <w:t>Enron is entering this transaction to create a joint venture with EWZ which will trade electricity in Switzerland and optimize EWZ’s flexible generation capacity.  The overall transaction consists of 5 main components that are:</w:t>
      </w:r>
    </w:p>
    <w:p>
      <w:pPr>
        <w:pStyle w:val="Normal"/>
        <w:rPr/>
      </w:pPr>
      <w:r>
        <w:rPr/>
      </w:r>
    </w:p>
    <w:p>
      <w:pPr>
        <w:pStyle w:val="Normal"/>
        <w:numPr>
          <w:ilvl w:val="0"/>
          <w:numId w:val="2"/>
        </w:numPr>
        <w:jc w:val="both"/>
        <w:rPr/>
      </w:pPr>
      <w:r>
        <w:rPr/>
        <w:t xml:space="preserve">Forming the joint venture with Enron and EWZ owning 50% each of the equity. Each partner will provide CHF 1 million ($0.6)in equity capital and CHF 9 ($5.3) million in debt financing.  </w:t>
      </w:r>
    </w:p>
    <w:p>
      <w:pPr>
        <w:pStyle w:val="Normal"/>
        <w:numPr>
          <w:ilvl w:val="0"/>
          <w:numId w:val="2"/>
        </w:numPr>
        <w:jc w:val="both"/>
        <w:rPr/>
      </w:pPr>
      <w:r>
        <w:rPr/>
        <w:t xml:space="preserve">EWZ Generation will sell to the JV power generation capacity equivalent to approximately 4,200 MWh yearly from its power stations. Prices for each power plant will be fixed at a specified rate for 1 to 2 years (3,280 MWh), 7 years (400 MWh, and short term less than a year (530 MWh yearly). </w:t>
      </w:r>
    </w:p>
    <w:p>
      <w:pPr>
        <w:pStyle w:val="Normal"/>
        <w:numPr>
          <w:ilvl w:val="0"/>
          <w:numId w:val="2"/>
        </w:numPr>
        <w:jc w:val="both"/>
        <w:rPr/>
      </w:pPr>
      <w:r>
        <w:rPr/>
        <w:t>The JV will sell to Enron a collar for 400 GWh of annual generating capacity.  The collar consists of the JV’s option to sell this volume to the Enron at a predetermined strike  (JV’s put) and Enron’s option to buy from the JV at a predetermines strike (Enron’s Call).  Both these deals together will be cash neutral.  Duration of this collar is 7 years.</w:t>
      </w:r>
    </w:p>
    <w:p>
      <w:pPr>
        <w:pStyle w:val="Normal"/>
        <w:numPr>
          <w:ilvl w:val="0"/>
          <w:numId w:val="2"/>
        </w:numPr>
        <w:jc w:val="both"/>
        <w:rPr/>
      </w:pPr>
      <w:r>
        <w:rPr/>
        <w:t>The JV will sell to EWZ Marketing full requirement for its current and future customers at market prices.  This currently is estimated to be approximately 3,210 MWh yearly or ¾ of the current generation capacity.</w:t>
      </w:r>
    </w:p>
    <w:p>
      <w:pPr>
        <w:pStyle w:val="Normal"/>
        <w:numPr>
          <w:ilvl w:val="0"/>
          <w:numId w:val="2"/>
        </w:numPr>
        <w:jc w:val="both"/>
        <w:rPr/>
      </w:pPr>
      <w:r>
        <w:rPr/>
        <w:t xml:space="preserve">Trading out to the medium term (2 years) extra long positions (approximately 600 MWh yearly) with specific limits set by Enron traders on a daily basis. </w:t>
      </w:r>
    </w:p>
    <w:p>
      <w:pPr>
        <w:pStyle w:val="Normal"/>
        <w:jc w:val="both"/>
        <w:rPr/>
      </w:pPr>
      <w:r>
        <w:rPr/>
      </w:r>
    </w:p>
    <w:p>
      <w:pPr>
        <w:pStyle w:val="Normal"/>
        <w:jc w:val="both"/>
        <w:rPr/>
      </w:pPr>
      <w:r>
        <w:rPr/>
        <w:t>The diagram below shows the above transactions in more detail.</w:t>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10">
                <wp:simplePos x="0" y="0"/>
                <wp:positionH relativeFrom="column">
                  <wp:posOffset>1645285</wp:posOffset>
                </wp:positionH>
                <wp:positionV relativeFrom="paragraph">
                  <wp:posOffset>56515</wp:posOffset>
                </wp:positionV>
                <wp:extent cx="731520" cy="548005"/>
                <wp:effectExtent l="5080" t="5715" r="5715" b="5080"/>
                <wp:wrapNone/>
                <wp:docPr id="6" name=""/>
                <a:graphic xmlns:a="http://schemas.openxmlformats.org/drawingml/2006/main">
                  <a:graphicData uri="http://schemas.microsoft.com/office/word/2010/wordprocessingGroup">
                    <wpg:wgp>
                      <wpg:cNvGrpSpPr/>
                      <wpg:grpSpPr>
                        <a:xfrm>
                          <a:off x="0" y="0"/>
                          <a:ext cx="731520" cy="547920"/>
                          <a:chOff x="0" y="0"/>
                          <a:chExt cx="731520" cy="547920"/>
                        </a:xfrm>
                      </wpg:grpSpPr>
                      <wps:wsp>
                        <wps:cNvPr id="7" name=""/>
                        <wps:cNvSpPr/>
                        <wps:spPr>
                          <a:xfrm>
                            <a:off x="0" y="0"/>
                            <a:ext cx="731520" cy="54792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91440" y="109080"/>
                            <a:ext cx="548640" cy="329040"/>
                          </a:xfrm>
                          <a:prstGeom prst="rect">
                            <a:avLst/>
                          </a:prstGeom>
                          <a:solidFill>
                            <a:srgbClr val="ffffff"/>
                          </a:solidFill>
                          <a:ln w="0">
                            <a:noFill/>
                          </a:ln>
                        </wps:spPr>
                        <wps:txbx>
                          <w:txbxContent>
                            <w:p>
                              <w:pPr>
                                <w:overflowPunct w:val="false"/>
                                <w:bidi w:val="0"/>
                                <w:jc w:val="center"/>
                                <w:rPr/>
                              </w:pPr>
                              <w:r>
                                <w:rPr>
                                  <w:kern w:val="2"/>
                                  <w:sz w:val="18"/>
                                  <w:szCs w:val="20"/>
                                  <w:rFonts w:ascii="Times New Roman" w:hAnsi="Times New Roman" w:eastAsia="Times New Roman" w:cs="Times New Roman"/>
                                  <w:color w:val="auto"/>
                                  <w:lang w:val="en-US" w:bidi="ar-SA"/>
                                </w:rPr>
                                <w:t>Enron 50%</w:t>
                              </w:r>
                            </w:p>
                          </w:txbxContent>
                        </wps:txbx>
                        <wps:bodyPr wrap="square" anchor="t">
                          <a:noAutofit/>
                        </wps:bodyPr>
                      </wps:wsp>
                    </wpg:wgp>
                  </a:graphicData>
                </a:graphic>
              </wp:anchor>
            </w:drawing>
          </mc:Choice>
          <mc:Fallback>
            <w:pict>
              <v:group id="shape_0" style="position:absolute;margin-left:129.55pt;margin-top:4.45pt;width:57.6pt;height:43.15pt" coordorigin="2591,89" coordsize="1152,863">
                <v:oval id="shape_0" fillcolor="white" stroked="t" o:allowincell="f" style="position:absolute;left:2591;top:89;width:1151;height:862;mso-wrap-style:none;v-text-anchor:middle">
                  <v:fill o:detectmouseclick="t" type="solid" color2="black"/>
                  <v:stroke color="black" weight="9360" joinstyle="miter" endcap="flat"/>
                  <w10:wrap type="none"/>
                </v:oval>
                <v:shapetype id="_x0000_t202" coordsize="21600,21600" o:spt="202" path="m,l,21600l21600,21600l21600,xe">
                  <v:stroke joinstyle="miter"/>
                  <v:path gradientshapeok="t" o:connecttype="rect"/>
                </v:shapetype>
                <v:shape id="shape_0" fillcolor="white" stroked="f" o:allowincell="f" style="position:absolute;left:2735;top:261;width:863;height:517;mso-wrap-style:square;v-text-anchor:top" type="_x0000_t202">
                  <v:textbox>
                    <w:txbxContent>
                      <w:p>
                        <w:pPr>
                          <w:overflowPunct w:val="false"/>
                          <w:bidi w:val="0"/>
                          <w:jc w:val="center"/>
                          <w:rPr/>
                        </w:pPr>
                        <w:r>
                          <w:rPr>
                            <w:kern w:val="2"/>
                            <w:sz w:val="18"/>
                            <w:szCs w:val="20"/>
                            <w:rFonts w:ascii="Times New Roman" w:hAnsi="Times New Roman" w:eastAsia="Times New Roman" w:cs="Times New Roman"/>
                            <w:color w:val="auto"/>
                            <w:lang w:val="en-US" w:bidi="ar-SA"/>
                          </w:rPr>
                          <w:t>Enron 50%</w:t>
                        </w:r>
                      </w:p>
                    </w:txbxContent>
                  </v:textbox>
                  <v:fill o:detectmouseclick="t" type="solid" color2="black"/>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11">
                <wp:simplePos x="0" y="0"/>
                <wp:positionH relativeFrom="column">
                  <wp:posOffset>3108325</wp:posOffset>
                </wp:positionH>
                <wp:positionV relativeFrom="paragraph">
                  <wp:posOffset>56515</wp:posOffset>
                </wp:positionV>
                <wp:extent cx="731520" cy="548005"/>
                <wp:effectExtent l="5080" t="5715" r="5715" b="5080"/>
                <wp:wrapNone/>
                <wp:docPr id="8" name=""/>
                <a:graphic xmlns:a="http://schemas.openxmlformats.org/drawingml/2006/main">
                  <a:graphicData uri="http://schemas.microsoft.com/office/word/2010/wordprocessingGroup">
                    <wpg:wgp>
                      <wpg:cNvGrpSpPr/>
                      <wpg:grpSpPr>
                        <a:xfrm>
                          <a:off x="0" y="0"/>
                          <a:ext cx="731520" cy="547920"/>
                          <a:chOff x="0" y="0"/>
                          <a:chExt cx="731520" cy="547920"/>
                        </a:xfrm>
                      </wpg:grpSpPr>
                      <wps:wsp>
                        <wps:cNvPr id="9" name=""/>
                        <wps:cNvSpPr/>
                        <wps:spPr>
                          <a:xfrm>
                            <a:off x="0" y="0"/>
                            <a:ext cx="731520" cy="54792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91440" y="109080"/>
                            <a:ext cx="548640" cy="329040"/>
                          </a:xfrm>
                          <a:prstGeom prst="rect">
                            <a:avLst/>
                          </a:prstGeom>
                          <a:solidFill>
                            <a:srgbClr val="ffffff"/>
                          </a:solidFill>
                          <a:ln w="0">
                            <a:noFill/>
                          </a:ln>
                        </wps:spPr>
                        <wps:txbx>
                          <w:txbxContent>
                            <w:p>
                              <w:pPr>
                                <w:overflowPunct w:val="false"/>
                                <w:bidi w:val="0"/>
                                <w:jc w:val="center"/>
                                <w:rPr/>
                              </w:pPr>
                              <w:r>
                                <w:rPr>
                                  <w:kern w:val="2"/>
                                  <w:sz w:val="18"/>
                                  <w:szCs w:val="20"/>
                                  <w:rFonts w:ascii="Times New Roman" w:hAnsi="Times New Roman" w:eastAsia="Times New Roman" w:cs="Times New Roman"/>
                                  <w:color w:val="auto"/>
                                  <w:lang w:val="en-US" w:bidi="ar-SA"/>
                                </w:rPr>
                                <w:t>EWZ 50%</w:t>
                              </w:r>
                            </w:p>
                          </w:txbxContent>
                        </wps:txbx>
                        <wps:bodyPr wrap="square" anchor="t">
                          <a:noAutofit/>
                        </wps:bodyPr>
                      </wps:wsp>
                    </wpg:wgp>
                  </a:graphicData>
                </a:graphic>
              </wp:anchor>
            </w:drawing>
          </mc:Choice>
          <mc:Fallback>
            <w:pict>
              <v:group id="shape_0" style="position:absolute;margin-left:244.75pt;margin-top:4.45pt;width:57.6pt;height:43.15pt" coordorigin="4895,89" coordsize="1152,863">
                <v:oval id="shape_0" fillcolor="white" stroked="t" o:allowincell="f" style="position:absolute;left:4895;top:89;width:1151;height:862;mso-wrap-style:none;v-text-anchor:middle">
                  <v:fill o:detectmouseclick="t" type="solid" color2="black"/>
                  <v:stroke color="black" weight="9360" joinstyle="miter" endcap="flat"/>
                  <w10:wrap type="none"/>
                </v:oval>
                <v:shape id="shape_0" fillcolor="white" stroked="f" o:allowincell="f" style="position:absolute;left:5039;top:261;width:863;height:517;mso-wrap-style:square;v-text-anchor:top" type="_x0000_t202">
                  <v:textbox>
                    <w:txbxContent>
                      <w:p>
                        <w:pPr>
                          <w:overflowPunct w:val="false"/>
                          <w:bidi w:val="0"/>
                          <w:jc w:val="center"/>
                          <w:rPr/>
                        </w:pPr>
                        <w:r>
                          <w:rPr>
                            <w:kern w:val="2"/>
                            <w:sz w:val="18"/>
                            <w:szCs w:val="20"/>
                            <w:rFonts w:ascii="Times New Roman" w:hAnsi="Times New Roman" w:eastAsia="Times New Roman" w:cs="Times New Roman"/>
                            <w:color w:val="auto"/>
                            <w:lang w:val="en-US" w:bidi="ar-SA"/>
                          </w:rPr>
                          <w:t>EWZ 50%</w:t>
                        </w:r>
                      </w:p>
                    </w:txbxContent>
                  </v:textbox>
                  <v:fill o:detectmouseclick="t" type="solid" color2="black"/>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14">
                <wp:simplePos x="0" y="0"/>
                <wp:positionH relativeFrom="column">
                  <wp:posOffset>2559685</wp:posOffset>
                </wp:positionH>
                <wp:positionV relativeFrom="paragraph">
                  <wp:posOffset>56515</wp:posOffset>
                </wp:positionV>
                <wp:extent cx="274320" cy="274320"/>
                <wp:effectExtent l="0" t="0" r="0" b="0"/>
                <wp:wrapNone/>
                <wp:docPr id="10" name="Frame1"/>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Normal"/>
                              <w:rPr>
                                <w:b/>
                              </w:rPr>
                            </w:pPr>
                            <w:r>
                              <w:rPr>
                                <w:b/>
                              </w:rPr>
                              <w:t>1</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4.45pt;mso-position-vertical-relative:text;margin-left:201.55pt;mso-position-horizontal-relative:text">
                <v:textbox inset="0.100694444444444in,0.0506944444444444in,0.100694444444444in,0.0506944444444444in">
                  <w:txbxContent>
                    <w:p>
                      <w:pPr>
                        <w:pStyle w:val="Normal"/>
                        <w:rPr>
                          <w:b/>
                        </w:rPr>
                      </w:pPr>
                      <w:r>
                        <w:rPr>
                          <w:b/>
                        </w:rPr>
                        <w:t>1</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0">
                <wp:simplePos x="0" y="0"/>
                <wp:positionH relativeFrom="column">
                  <wp:posOffset>4114165</wp:posOffset>
                </wp:positionH>
                <wp:positionV relativeFrom="paragraph">
                  <wp:posOffset>130175</wp:posOffset>
                </wp:positionV>
                <wp:extent cx="274320" cy="274320"/>
                <wp:effectExtent l="0" t="0" r="0" b="0"/>
                <wp:wrapNone/>
                <wp:docPr id="11" name="Frame3"/>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Header"/>
                              <w:widowControl/>
                              <w:tabs>
                                <w:tab w:val="clear" w:pos="4320"/>
                                <w:tab w:val="clear" w:pos="8640"/>
                              </w:tabs>
                              <w:rPr>
                                <w:sz w:val="16"/>
                              </w:rPr>
                            </w:pPr>
                            <w:r>
                              <w:rPr>
                                <w:sz w:val="16"/>
                              </w:rPr>
                              <w:t>$</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10.25pt;mso-position-vertical-relative:text;margin-left:323.9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1096645</wp:posOffset>
                </wp:positionH>
                <wp:positionV relativeFrom="paragraph">
                  <wp:posOffset>38735</wp:posOffset>
                </wp:positionV>
                <wp:extent cx="548640" cy="274320"/>
                <wp:effectExtent l="0" t="0" r="0" b="0"/>
                <wp:wrapNone/>
                <wp:docPr id="12" name="Frame2"/>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Header"/>
                              <w:widowControl/>
                              <w:tabs>
                                <w:tab w:val="clear" w:pos="4320"/>
                                <w:tab w:val="clear" w:pos="8640"/>
                              </w:tabs>
                              <w:rPr>
                                <w:sz w:val="16"/>
                              </w:rPr>
                            </w:pPr>
                            <w:r>
                              <w:rPr>
                                <w:sz w:val="16"/>
                              </w:rPr>
                              <w:t>Strike$</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3.05pt;mso-position-vertical-relative:text;margin-left:86.3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Strike$</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2285365</wp:posOffset>
                </wp:positionH>
                <wp:positionV relativeFrom="paragraph">
                  <wp:posOffset>75565</wp:posOffset>
                </wp:positionV>
                <wp:extent cx="182880" cy="91440"/>
                <wp:effectExtent l="2540" t="4445" r="2540" b="4445"/>
                <wp:wrapNone/>
                <wp:docPr id="13" name=""/>
                <a:graphic xmlns:a="http://schemas.openxmlformats.org/drawingml/2006/main">
                  <a:graphicData uri="http://schemas.microsoft.com/office/word/2010/wordprocessingShape">
                    <wps:wsp>
                      <wps:cNvSpPr/>
                      <wps:spPr>
                        <a:xfrm>
                          <a:off x="0" y="0"/>
                          <a:ext cx="18288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9.95pt,5.95pt" to="194.3pt,13.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3016885</wp:posOffset>
                </wp:positionH>
                <wp:positionV relativeFrom="paragraph">
                  <wp:posOffset>75565</wp:posOffset>
                </wp:positionV>
                <wp:extent cx="182880" cy="91440"/>
                <wp:effectExtent l="2540" t="4445" r="2540" b="4445"/>
                <wp:wrapNone/>
                <wp:docPr id="14" name=""/>
                <a:graphic xmlns:a="http://schemas.openxmlformats.org/drawingml/2006/main">
                  <a:graphicData uri="http://schemas.microsoft.com/office/word/2010/wordprocessingShape">
                    <wps:wsp>
                      <wps:cNvSpPr/>
                      <wps:spPr>
                        <a:xfrm flipH="1">
                          <a:off x="0" y="0"/>
                          <a:ext cx="18288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55pt,5.95pt" to="251.9pt,13.1pt" stroked="t" o:allowincell="f" style="position:absolute;flip:x">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4384040</wp:posOffset>
                </wp:positionH>
                <wp:positionV relativeFrom="paragraph">
                  <wp:posOffset>71120</wp:posOffset>
                </wp:positionV>
                <wp:extent cx="923290" cy="466090"/>
                <wp:effectExtent l="0" t="0" r="0" b="0"/>
                <wp:wrapNone/>
                <wp:docPr id="15" name="Frame4"/>
                <a:graphic xmlns:a="http://schemas.openxmlformats.org/drawingml/2006/main">
                  <a:graphicData uri="http://schemas.microsoft.com/office/word/2010/wordprocessingShape">
                    <wps:wsp>
                      <wps:cNvSpPr txBox="1"/>
                      <wps:spPr>
                        <a:xfrm>
                          <a:off x="0" y="0"/>
                          <a:ext cx="923290" cy="466090"/>
                        </a:xfrm>
                        <a:prstGeom prst="rect"/>
                        <a:solidFill>
                          <a:srgbClr val="FFFFFF"/>
                        </a:solidFill>
                        <a:ln w="9525">
                          <a:solidFill>
                            <a:srgbClr val="000000"/>
                          </a:solidFill>
                        </a:ln>
                      </wps:spPr>
                      <wps:txbx>
                        <w:txbxContent>
                          <w:p>
                            <w:pPr>
                              <w:pStyle w:val="Normal"/>
                              <w:jc w:val="center"/>
                              <w:rPr/>
                            </w:pPr>
                            <w:r>
                              <w:rPr/>
                              <w:t>EWZ Marketing</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6.7pt;mso-wrap-distance-left:9.05pt;mso-wrap-distance-right:9.05pt;mso-wrap-distance-top:0pt;mso-wrap-distance-bottom:0pt;margin-top:5.6pt;mso-position-vertical-relative:text;margin-left:345.2pt;mso-position-horizontal-relative:text">
                <v:textbox>
                  <w:txbxContent>
                    <w:p>
                      <w:pPr>
                        <w:pStyle w:val="Normal"/>
                        <w:jc w:val="center"/>
                        <w:rPr/>
                      </w:pPr>
                      <w:r>
                        <w:rPr/>
                        <w:t>EWZ Marketing</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6">
                <wp:simplePos x="0" y="0"/>
                <wp:positionH relativeFrom="column">
                  <wp:posOffset>1370965</wp:posOffset>
                </wp:positionH>
                <wp:positionV relativeFrom="paragraph">
                  <wp:posOffset>113030</wp:posOffset>
                </wp:positionV>
                <wp:extent cx="1005840" cy="0"/>
                <wp:effectExtent l="0" t="38100" r="0" b="38100"/>
                <wp:wrapNone/>
                <wp:docPr id="1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07.95pt,8.9pt" to="187.1pt,8.9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3108325</wp:posOffset>
                </wp:positionH>
                <wp:positionV relativeFrom="paragraph">
                  <wp:posOffset>113030</wp:posOffset>
                </wp:positionV>
                <wp:extent cx="1280160" cy="0"/>
                <wp:effectExtent l="0" t="38100" r="0" b="38100"/>
                <wp:wrapNone/>
                <wp:docPr id="17"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44.75pt,8.9pt" to="345.5pt,8.9pt" stroked="t" o:allowincell="f" style="position:absolute">
                <v:stroke color="black" weight="9360" startarrow="block" startarrowwidth="medium" start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
                <wp:simplePos x="0" y="0"/>
                <wp:positionH relativeFrom="column">
                  <wp:posOffset>2372360</wp:posOffset>
                </wp:positionH>
                <wp:positionV relativeFrom="paragraph">
                  <wp:posOffset>17145</wp:posOffset>
                </wp:positionV>
                <wp:extent cx="740410" cy="831850"/>
                <wp:effectExtent l="0" t="0" r="0" b="0"/>
                <wp:wrapNone/>
                <wp:docPr id="18" name="Frame9"/>
                <a:graphic xmlns:a="http://schemas.openxmlformats.org/drawingml/2006/main">
                  <a:graphicData uri="http://schemas.microsoft.com/office/word/2010/wordprocessingShape">
                    <wps:wsp>
                      <wps:cNvSpPr txBox="1"/>
                      <wps:spPr>
                        <a:xfrm>
                          <a:off x="0" y="0"/>
                          <a:ext cx="740410" cy="831850"/>
                        </a:xfrm>
                        <a:prstGeom prst="rect"/>
                        <a:solidFill>
                          <a:srgbClr val="FFFFFF"/>
                        </a:solidFill>
                        <a:ln w="9525">
                          <a:solidFill>
                            <a:srgbClr val="000000"/>
                          </a:solidFill>
                        </a:ln>
                      </wps:spPr>
                      <wps:txbx>
                        <w:txbxContent>
                          <w:p>
                            <w:pPr>
                              <w:pStyle w:val="Normal"/>
                              <w:jc w:val="center"/>
                              <w:rPr/>
                            </w:pPr>
                            <w:r>
                              <w:rPr/>
                              <w:t>JV</w:t>
                            </w:r>
                          </w:p>
                        </w:txbxContent>
                      </wps:txbx>
                      <wps:bodyPr anchor="t" lIns="91440" tIns="45720" rIns="91440" bIns="45720">
                        <a:noAutofit/>
                      </wps:bodyPr>
                    </wps:wsp>
                  </a:graphicData>
                </a:graphic>
              </wp:anchor>
            </w:drawing>
          </mc:Choice>
          <mc:Fallback>
            <w:pict>
              <v:rect fillcolor="#FFFFFF" strokecolor="#000000" strokeweight="0pt" style="position:absolute;rotation:-0;width:58.3pt;height:65.5pt;mso-wrap-distance-left:9.05pt;mso-wrap-distance-right:9.05pt;mso-wrap-distance-top:0pt;mso-wrap-distance-bottom:0pt;margin-top:1.35pt;mso-position-vertical-relative:text;margin-left:186.8pt;mso-position-horizontal-relative:text">
                <v:textbox>
                  <w:txbxContent>
                    <w:p>
                      <w:pPr>
                        <w:pStyle w:val="Normal"/>
                        <w:jc w:val="center"/>
                        <w:rPr/>
                      </w:pPr>
                      <w:r>
                        <w:rPr/>
                        <w:t>JV</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452120</wp:posOffset>
                </wp:positionH>
                <wp:positionV relativeFrom="paragraph">
                  <wp:posOffset>17145</wp:posOffset>
                </wp:positionV>
                <wp:extent cx="923290" cy="831850"/>
                <wp:effectExtent l="0" t="0" r="0" b="0"/>
                <wp:wrapNone/>
                <wp:docPr id="19" name="Frame8"/>
                <a:graphic xmlns:a="http://schemas.openxmlformats.org/drawingml/2006/main">
                  <a:graphicData uri="http://schemas.microsoft.com/office/word/2010/wordprocessingShape">
                    <wps:wsp>
                      <wps:cNvSpPr txBox="1"/>
                      <wps:spPr>
                        <a:xfrm>
                          <a:off x="0" y="0"/>
                          <a:ext cx="923290" cy="831850"/>
                        </a:xfrm>
                        <a:prstGeom prst="rect"/>
                        <a:solidFill>
                          <a:srgbClr val="FFFFFF"/>
                        </a:solidFill>
                        <a:ln w="9525">
                          <a:solidFill>
                            <a:srgbClr val="000000"/>
                          </a:solidFill>
                        </a:ln>
                      </wps:spPr>
                      <wps:txbx>
                        <w:txbxContent>
                          <w:p>
                            <w:pPr>
                              <w:pStyle w:val="Normal"/>
                              <w:jc w:val="center"/>
                              <w:rPr/>
                            </w:pPr>
                            <w:r>
                              <w:rPr/>
                              <w:t>Enron Continental Power Desk</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65.5pt;mso-wrap-distance-left:9.05pt;mso-wrap-distance-right:9.05pt;mso-wrap-distance-top:0pt;mso-wrap-distance-bottom:0pt;margin-top:1.35pt;mso-position-vertical-relative:text;margin-left:35.6pt;mso-position-horizontal-relative:text">
                <v:textbox>
                  <w:txbxContent>
                    <w:p>
                      <w:pPr>
                        <w:pStyle w:val="Normal"/>
                        <w:jc w:val="center"/>
                        <w:rPr/>
                      </w:pPr>
                      <w:r>
                        <w:rPr/>
                        <w:t>Enron Continental Power Desk</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5394325</wp:posOffset>
                </wp:positionH>
                <wp:positionV relativeFrom="paragraph">
                  <wp:posOffset>21590</wp:posOffset>
                </wp:positionV>
                <wp:extent cx="274320" cy="274320"/>
                <wp:effectExtent l="0" t="0" r="0" b="0"/>
                <wp:wrapNone/>
                <wp:docPr id="20" name="Frame7"/>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Normal"/>
                              <w:rPr>
                                <w:b/>
                              </w:rPr>
                            </w:pPr>
                            <w:r>
                              <w:rPr>
                                <w:b/>
                              </w:rPr>
                              <w:t>4</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1.7pt;mso-position-vertical-relative:text;margin-left:424.75pt;mso-position-horizontal-relative:text">
                <v:textbox inset="0.100694444444444in,0.0506944444444444in,0.100694444444444in,0.0506944444444444in">
                  <w:txbxContent>
                    <w:p>
                      <w:pPr>
                        <w:pStyle w:val="Normal"/>
                        <w:rPr>
                          <w:b/>
                        </w:rPr>
                      </w:pPr>
                      <w:r>
                        <w:rPr>
                          <w:b/>
                        </w:rPr>
                        <w:t>4</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1462405</wp:posOffset>
                </wp:positionH>
                <wp:positionV relativeFrom="paragraph">
                  <wp:posOffset>113030</wp:posOffset>
                </wp:positionV>
                <wp:extent cx="731520" cy="182880"/>
                <wp:effectExtent l="0" t="0" r="0" b="0"/>
                <wp:wrapNone/>
                <wp:docPr id="21" name="Frame6"/>
                <a:graphic xmlns:a="http://schemas.openxmlformats.org/drawingml/2006/main">
                  <a:graphicData uri="http://schemas.microsoft.com/office/word/2010/wordprocessingShape">
                    <wps:wsp>
                      <wps:cNvSpPr txBox="1"/>
                      <wps:spPr>
                        <a:xfrm>
                          <a:off x="0" y="0"/>
                          <a:ext cx="731520" cy="182880"/>
                        </a:xfrm>
                        <a:prstGeom prst="rect"/>
                        <a:solidFill>
                          <a:srgbClr val="FFFFFF"/>
                        </a:solidFill>
                      </wps:spPr>
                      <wps:txbx>
                        <w:txbxContent>
                          <w:p>
                            <w:pPr>
                              <w:pStyle w:val="Header"/>
                              <w:widowControl/>
                              <w:tabs>
                                <w:tab w:val="clear" w:pos="4320"/>
                                <w:tab w:val="clear" w:pos="8640"/>
                              </w:tabs>
                              <w:rPr>
                                <w:sz w:val="16"/>
                              </w:rPr>
                            </w:pPr>
                            <w:r>
                              <w:rPr>
                                <w:sz w:val="16"/>
                              </w:rPr>
                              <w:t>Right to sell</w:t>
                            </w:r>
                          </w:p>
                        </w:txbxContent>
                      </wps:txbx>
                      <wps:bodyPr anchor="t" lIns="92075" tIns="46355" rIns="92075" bIns="46355">
                        <a:noAutofit/>
                      </wps:bodyPr>
                    </wps:wsp>
                  </a:graphicData>
                </a:graphic>
              </wp:anchor>
            </w:drawing>
          </mc:Choice>
          <mc:Fallback>
            <w:pict>
              <v:rect fillcolor="#FFFFFF" style="position:absolute;rotation:-0;width:57.6pt;height:14.4pt;mso-wrap-distance-left:9.05pt;mso-wrap-distance-right:9.05pt;mso-wrap-distance-top:0pt;mso-wrap-distance-bottom:0pt;margin-top:8.9pt;mso-position-vertical-relative:text;margin-left:115.1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Right to sell</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3474085</wp:posOffset>
                </wp:positionH>
                <wp:positionV relativeFrom="paragraph">
                  <wp:posOffset>113030</wp:posOffset>
                </wp:positionV>
                <wp:extent cx="640080" cy="274320"/>
                <wp:effectExtent l="0" t="0" r="0" b="0"/>
                <wp:wrapNone/>
                <wp:docPr id="22" name="Frame5"/>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Header"/>
                              <w:widowControl/>
                              <w:tabs>
                                <w:tab w:val="clear" w:pos="4320"/>
                                <w:tab w:val="clear" w:pos="8640"/>
                              </w:tabs>
                              <w:rPr>
                                <w:sz w:val="16"/>
                              </w:rPr>
                            </w:pPr>
                            <w:r>
                              <w:rPr>
                                <w:sz w:val="16"/>
                              </w:rPr>
                              <w:t>electricity</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8.9pt;mso-position-vertical-relative:text;margin-left:273.5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electricity</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
                <wp:simplePos x="0" y="0"/>
                <wp:positionH relativeFrom="column">
                  <wp:posOffset>1370965</wp:posOffset>
                </wp:positionH>
                <wp:positionV relativeFrom="paragraph">
                  <wp:posOffset>3810</wp:posOffset>
                </wp:positionV>
                <wp:extent cx="1005840" cy="0"/>
                <wp:effectExtent l="0" t="38100" r="0" b="38100"/>
                <wp:wrapNone/>
                <wp:docPr id="2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0.3pt" to="187.1pt,0.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3108325</wp:posOffset>
                </wp:positionH>
                <wp:positionV relativeFrom="paragraph">
                  <wp:posOffset>3810</wp:posOffset>
                </wp:positionV>
                <wp:extent cx="1280160" cy="0"/>
                <wp:effectExtent l="0" t="38100" r="0" b="38100"/>
                <wp:wrapNone/>
                <wp:docPr id="24"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4.75pt,0.3pt" to="345.5pt,0.3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7">
                <wp:simplePos x="0" y="0"/>
                <wp:positionH relativeFrom="column">
                  <wp:posOffset>182245</wp:posOffset>
                </wp:positionH>
                <wp:positionV relativeFrom="paragraph">
                  <wp:posOffset>3810</wp:posOffset>
                </wp:positionV>
                <wp:extent cx="274320" cy="274320"/>
                <wp:effectExtent l="0" t="0" r="0" b="0"/>
                <wp:wrapNone/>
                <wp:docPr id="25" name="Frame11"/>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Normal"/>
                              <w:rPr>
                                <w:b/>
                              </w:rPr>
                            </w:pPr>
                            <w:r>
                              <w:rPr>
                                <w:b/>
                              </w:rPr>
                              <w:t>3</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0.3pt;mso-position-vertical-relative:text;margin-left:14.35pt;mso-position-horizontal-relative:text">
                <v:textbox inset="0.100694444444444in,0.0506944444444444in,0.100694444444444in,0.0506944444444444in">
                  <w:txbxContent>
                    <w:p>
                      <w:pPr>
                        <w:pStyle w:val="Normal"/>
                        <w:rPr>
                          <w:b/>
                        </w:rPr>
                      </w:pPr>
                      <w:r>
                        <w:rPr>
                          <w:b/>
                        </w:rPr>
                        <w:t>3</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3291205</wp:posOffset>
                </wp:positionH>
                <wp:positionV relativeFrom="paragraph">
                  <wp:posOffset>95250</wp:posOffset>
                </wp:positionV>
                <wp:extent cx="640080" cy="274320"/>
                <wp:effectExtent l="0" t="0" r="0" b="0"/>
                <wp:wrapNone/>
                <wp:docPr id="26" name="Frame10"/>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Header"/>
                              <w:widowControl/>
                              <w:tabs>
                                <w:tab w:val="clear" w:pos="4320"/>
                                <w:tab w:val="clear" w:pos="8640"/>
                              </w:tabs>
                              <w:rPr>
                                <w:sz w:val="16"/>
                              </w:rPr>
                            </w:pPr>
                            <w:r>
                              <w:rPr>
                                <w:sz w:val="16"/>
                              </w:rPr>
                              <w:t>electricity</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7.5pt;mso-position-vertical-relative:text;margin-left:259.1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electricity</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8">
                <wp:simplePos x="0" y="0"/>
                <wp:positionH relativeFrom="column">
                  <wp:posOffset>1370965</wp:posOffset>
                </wp:positionH>
                <wp:positionV relativeFrom="paragraph">
                  <wp:posOffset>132080</wp:posOffset>
                </wp:positionV>
                <wp:extent cx="1005840" cy="0"/>
                <wp:effectExtent l="0" t="38100" r="0" b="38100"/>
                <wp:wrapNone/>
                <wp:docPr id="27"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0.4pt" to="187.1pt,10.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3108325</wp:posOffset>
                </wp:positionH>
                <wp:positionV relativeFrom="paragraph">
                  <wp:posOffset>132080</wp:posOffset>
                </wp:positionV>
                <wp:extent cx="1280160" cy="0"/>
                <wp:effectExtent l="0" t="38100" r="0" b="38100"/>
                <wp:wrapNone/>
                <wp:docPr id="28"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44.75pt,10.4pt" to="345.5pt,10.4pt" stroked="t" o:allowincell="f" style="position:absolute">
                <v:stroke color="black" weight="9360" startarrow="block" startarrowwidth="medium" start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4384040</wp:posOffset>
                </wp:positionH>
                <wp:positionV relativeFrom="paragraph">
                  <wp:posOffset>36195</wp:posOffset>
                </wp:positionV>
                <wp:extent cx="923290" cy="466090"/>
                <wp:effectExtent l="0" t="0" r="0" b="0"/>
                <wp:wrapNone/>
                <wp:docPr id="29" name="Frame14"/>
                <a:graphic xmlns:a="http://schemas.openxmlformats.org/drawingml/2006/main">
                  <a:graphicData uri="http://schemas.microsoft.com/office/word/2010/wordprocessingShape">
                    <wps:wsp>
                      <wps:cNvSpPr txBox="1"/>
                      <wps:spPr>
                        <a:xfrm>
                          <a:off x="0" y="0"/>
                          <a:ext cx="923290" cy="466090"/>
                        </a:xfrm>
                        <a:prstGeom prst="rect"/>
                        <a:solidFill>
                          <a:srgbClr val="FFFFFF"/>
                        </a:solidFill>
                        <a:ln w="9525">
                          <a:solidFill>
                            <a:srgbClr val="000000"/>
                          </a:solidFill>
                        </a:ln>
                      </wps:spPr>
                      <wps:txbx>
                        <w:txbxContent>
                          <w:p>
                            <w:pPr>
                              <w:pStyle w:val="Normal"/>
                              <w:jc w:val="center"/>
                              <w:rPr/>
                            </w:pPr>
                            <w:r>
                              <w:rPr/>
                              <w:t>EWZ Generation</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6.7pt;mso-wrap-distance-left:9.05pt;mso-wrap-distance-right:9.05pt;mso-wrap-distance-top:0pt;mso-wrap-distance-bottom:0pt;margin-top:2.85pt;mso-position-vertical-relative:text;margin-left:345.2pt;mso-position-horizontal-relative:text">
                <v:textbox>
                  <w:txbxContent>
                    <w:p>
                      <w:pPr>
                        <w:pStyle w:val="Normal"/>
                        <w:jc w:val="center"/>
                        <w:rPr/>
                      </w:pPr>
                      <w:r>
                        <w:rPr/>
                        <w:t>EWZ Generation</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5394325</wp:posOffset>
                </wp:positionH>
                <wp:positionV relativeFrom="paragraph">
                  <wp:posOffset>132080</wp:posOffset>
                </wp:positionV>
                <wp:extent cx="274320" cy="274320"/>
                <wp:effectExtent l="0" t="0" r="0" b="0"/>
                <wp:wrapNone/>
                <wp:docPr id="30" name="Frame13"/>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Normal"/>
                              <w:rPr>
                                <w:b/>
                              </w:rPr>
                            </w:pPr>
                            <w:r>
                              <w:rPr>
                                <w:b/>
                              </w:rPr>
                              <w:t>2</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10.4pt;mso-position-vertical-relative:text;margin-left:424.75pt;mso-position-horizontal-relative:text">
                <v:textbox inset="0.100694444444444in,0.0506944444444444in,0.100694444444444in,0.0506944444444444in">
                  <w:txbxContent>
                    <w:p>
                      <w:pPr>
                        <w:pStyle w:val="Normal"/>
                        <w:rPr>
                          <w:b/>
                        </w:rPr>
                      </w:pPr>
                      <w:r>
                        <w:rPr>
                          <w:b/>
                        </w:rPr>
                        <w:t>2</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1553845</wp:posOffset>
                </wp:positionH>
                <wp:positionV relativeFrom="paragraph">
                  <wp:posOffset>132080</wp:posOffset>
                </wp:positionV>
                <wp:extent cx="731520" cy="182880"/>
                <wp:effectExtent l="0" t="0" r="0" b="0"/>
                <wp:wrapNone/>
                <wp:docPr id="31" name="Frame12"/>
                <a:graphic xmlns:a="http://schemas.openxmlformats.org/drawingml/2006/main">
                  <a:graphicData uri="http://schemas.microsoft.com/office/word/2010/wordprocessingShape">
                    <wps:wsp>
                      <wps:cNvSpPr txBox="1"/>
                      <wps:spPr>
                        <a:xfrm>
                          <a:off x="0" y="0"/>
                          <a:ext cx="731520" cy="182880"/>
                        </a:xfrm>
                        <a:prstGeom prst="rect"/>
                        <a:solidFill>
                          <a:srgbClr val="FFFFFF"/>
                        </a:solidFill>
                      </wps:spPr>
                      <wps:txbx>
                        <w:txbxContent>
                          <w:p>
                            <w:pPr>
                              <w:pStyle w:val="Header"/>
                              <w:widowControl/>
                              <w:tabs>
                                <w:tab w:val="clear" w:pos="4320"/>
                                <w:tab w:val="clear" w:pos="8640"/>
                              </w:tabs>
                              <w:rPr>
                                <w:sz w:val="16"/>
                              </w:rPr>
                            </w:pPr>
                            <w:r>
                              <w:rPr>
                                <w:sz w:val="16"/>
                              </w:rPr>
                              <w:t>Right to buy</w:t>
                            </w:r>
                          </w:p>
                        </w:txbxContent>
                      </wps:txbx>
                      <wps:bodyPr anchor="t" lIns="92075" tIns="46355" rIns="92075" bIns="46355">
                        <a:noAutofit/>
                      </wps:bodyPr>
                    </wps:wsp>
                  </a:graphicData>
                </a:graphic>
              </wp:anchor>
            </w:drawing>
          </mc:Choice>
          <mc:Fallback>
            <w:pict>
              <v:rect fillcolor="#FFFFFF" style="position:absolute;rotation:-0;width:57.6pt;height:14.4pt;mso-wrap-distance-left:9.05pt;mso-wrap-distance-right:9.05pt;mso-wrap-distance-top:0pt;mso-wrap-distance-bottom:0pt;margin-top:10.4pt;mso-position-vertical-relative:text;margin-left:122.3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Right to buy</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9">
                <wp:simplePos x="0" y="0"/>
                <wp:positionH relativeFrom="column">
                  <wp:posOffset>1370965</wp:posOffset>
                </wp:positionH>
                <wp:positionV relativeFrom="paragraph">
                  <wp:posOffset>22860</wp:posOffset>
                </wp:positionV>
                <wp:extent cx="1005840" cy="0"/>
                <wp:effectExtent l="0" t="38100" r="0" b="38100"/>
                <wp:wrapNone/>
                <wp:docPr id="32"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8pt" to="187.1pt,1.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3108325</wp:posOffset>
                </wp:positionH>
                <wp:positionV relativeFrom="paragraph">
                  <wp:posOffset>22860</wp:posOffset>
                </wp:positionV>
                <wp:extent cx="1280160" cy="0"/>
                <wp:effectExtent l="0" t="38100" r="0" b="38100"/>
                <wp:wrapNone/>
                <wp:docPr id="33"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4.75pt,1.8pt" to="345.5pt,1.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
                <wp:simplePos x="0" y="0"/>
                <wp:positionH relativeFrom="column">
                  <wp:posOffset>4022725</wp:posOffset>
                </wp:positionH>
                <wp:positionV relativeFrom="paragraph">
                  <wp:posOffset>22860</wp:posOffset>
                </wp:positionV>
                <wp:extent cx="274320" cy="274320"/>
                <wp:effectExtent l="0" t="0" r="0" b="0"/>
                <wp:wrapNone/>
                <wp:docPr id="34" name="Frame16"/>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Header"/>
                              <w:widowControl/>
                              <w:tabs>
                                <w:tab w:val="clear" w:pos="4320"/>
                                <w:tab w:val="clear" w:pos="8640"/>
                              </w:tabs>
                              <w:rPr>
                                <w:sz w:val="16"/>
                              </w:rPr>
                            </w:pPr>
                            <w:r>
                              <w:rPr>
                                <w:sz w:val="16"/>
                              </w:rPr>
                              <w:t>$</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1.8pt;mso-position-vertical-relative:text;margin-left:316.7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1462405</wp:posOffset>
                </wp:positionH>
                <wp:positionV relativeFrom="paragraph">
                  <wp:posOffset>22860</wp:posOffset>
                </wp:positionV>
                <wp:extent cx="548640" cy="274320"/>
                <wp:effectExtent l="0" t="0" r="0" b="0"/>
                <wp:wrapNone/>
                <wp:docPr id="35" name="Frame15"/>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Header"/>
                              <w:widowControl/>
                              <w:tabs>
                                <w:tab w:val="clear" w:pos="4320"/>
                                <w:tab w:val="clear" w:pos="8640"/>
                              </w:tabs>
                              <w:rPr>
                                <w:sz w:val="16"/>
                              </w:rPr>
                            </w:pPr>
                            <w:r>
                              <w:rPr>
                                <w:sz w:val="16"/>
                              </w:rPr>
                              <w:t>Strike$</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8pt;mso-position-vertical-relative:text;margin-left:115.15pt;mso-position-horizontal-relative:text">
                <v:textbox inset="0.100694444444444in,0.0506944444444444in,0.100694444444444in,0.0506944444444444in">
                  <w:txbxContent>
                    <w:p>
                      <w:pPr>
                        <w:pStyle w:val="Header"/>
                        <w:widowControl/>
                        <w:tabs>
                          <w:tab w:val="clear" w:pos="4320"/>
                          <w:tab w:val="clear" w:pos="8640"/>
                        </w:tabs>
                        <w:rPr>
                          <w:sz w:val="16"/>
                        </w:rPr>
                      </w:pPr>
                      <w:r>
                        <w:rPr>
                          <w:sz w:val="16"/>
                        </w:rPr>
                        <w:t>Strike$</w:t>
                      </w:r>
                    </w:p>
                  </w:txbxContent>
                </v:textbox>
                <w10:wrap type="none"/>
              </v:rect>
            </w:pict>
          </mc:Fallback>
        </mc:AlternateConten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18">
                <wp:simplePos x="0" y="0"/>
                <wp:positionH relativeFrom="column">
                  <wp:posOffset>2011045</wp:posOffset>
                </wp:positionH>
                <wp:positionV relativeFrom="paragraph">
                  <wp:posOffset>59690</wp:posOffset>
                </wp:positionV>
                <wp:extent cx="1097280" cy="602615"/>
                <wp:effectExtent l="5080" t="82550" r="5715" b="5080"/>
                <wp:wrapNone/>
                <wp:docPr id="36" name=""/>
                <a:graphic xmlns:a="http://schemas.openxmlformats.org/drawingml/2006/main">
                  <a:graphicData uri="http://schemas.microsoft.com/office/word/2010/wordprocessingGroup">
                    <wpg:wgp>
                      <wpg:cNvGrpSpPr/>
                      <wpg:grpSpPr>
                        <a:xfrm>
                          <a:off x="0" y="0"/>
                          <a:ext cx="1097280" cy="602640"/>
                          <a:chOff x="0" y="0"/>
                          <a:chExt cx="1097280" cy="602640"/>
                        </a:xfrm>
                      </wpg:grpSpPr>
                      <wps:wsp>
                        <wps:cNvPr id="37" name=""/>
                        <wps:cNvSpPr/>
                        <wps:spPr>
                          <a:xfrm>
                            <a:off x="0" y="0"/>
                            <a:ext cx="1097280" cy="602640"/>
                          </a:xfrm>
                          <a:prstGeom prst="cloudCallout">
                            <a:avLst>
                              <a:gd name="adj1" fmla="val 24305"/>
                              <a:gd name="adj2" fmla="val -59444"/>
                            </a:avLst>
                          </a:prstGeom>
                          <a:solidFill>
                            <a:srgbClr val="ffffff"/>
                          </a:solidFill>
                          <a:ln w="9360">
                            <a:solidFill>
                              <a:srgbClr val="000000"/>
                            </a:solidFill>
                            <a:miter/>
                          </a:ln>
                        </wps:spPr>
                        <wps:style>
                          <a:lnRef idx="0"/>
                          <a:fillRef idx="0"/>
                          <a:effectRef idx="0"/>
                          <a:fontRef idx="minor"/>
                        </wps:style>
                        <wps:bodyPr/>
                      </wps:wsp>
                      <wps:wsp>
                        <wps:cNvSpPr txBox="1"/>
                        <wps:spPr>
                          <a:xfrm>
                            <a:off x="182880" y="119520"/>
                            <a:ext cx="640080" cy="361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Market</w:t>
                              </w:r>
                            </w:p>
                          </w:txbxContent>
                        </wps:txbx>
                        <wps:bodyPr wrap="square" anchor="t">
                          <a:noAutofit/>
                        </wps:bodyPr>
                      </wps:wsp>
                    </wpg:wgp>
                  </a:graphicData>
                </a:graphic>
              </wp:anchor>
            </w:drawing>
          </mc:Choice>
          <mc:Fallback>
            <w:pict>
              <v:group id="shape_0" style="position:absolute;margin-left:158.35pt;margin-top:4.7pt;width:86.4pt;height:47.45pt" coordorigin="3167,94" coordsize="1728,949">
                <v:rect id="shape_0" fillcolor="white" stroked="t" o:allowincell="f" style="position:absolute;left:3167;top:94;width:1727;height:948;mso-wrap-style:none;v-text-anchor:middle">
                  <v:textbox>
                    <w:txbxContent>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rect>
                <v:shape id="shape_0" fillcolor="white" stroked="f" o:allowincell="f" style="position:absolute;left:3455;top:282;width:1007;height:568;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Market</w:t>
                        </w:r>
                      </w:p>
                    </w:txbxContent>
                  </v:textbox>
                  <v:fill o:detectmouseclick="t" type="solid" color2="black"/>
                  <v:stroke color="#3465a4" joinstyle="round" endcap="flat"/>
                  <w10:wrap type="none"/>
                </v:shape>
              </v:group>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9">
                <wp:simplePos x="0" y="0"/>
                <wp:positionH relativeFrom="column">
                  <wp:posOffset>3108325</wp:posOffset>
                </wp:positionH>
                <wp:positionV relativeFrom="paragraph">
                  <wp:posOffset>114300</wp:posOffset>
                </wp:positionV>
                <wp:extent cx="274320" cy="274320"/>
                <wp:effectExtent l="0" t="0" r="0" b="0"/>
                <wp:wrapNone/>
                <wp:docPr id="38" name="Frame17"/>
                <a:graphic xmlns:a="http://schemas.openxmlformats.org/drawingml/2006/main">
                  <a:graphicData uri="http://schemas.microsoft.com/office/word/2010/wordprocessingShape">
                    <wps:wsp>
                      <wps:cNvSpPr txBox="1"/>
                      <wps:spPr>
                        <a:xfrm>
                          <a:off x="0" y="0"/>
                          <a:ext cx="274320" cy="274320"/>
                        </a:xfrm>
                        <a:prstGeom prst="rect"/>
                        <a:solidFill>
                          <a:srgbClr val="FFFFFF"/>
                        </a:solidFill>
                      </wps:spPr>
                      <wps:txbx>
                        <w:txbxContent>
                          <w:p>
                            <w:pPr>
                              <w:pStyle w:val="Normal"/>
                              <w:rPr>
                                <w:b/>
                                <w:lang w:val="en-GB"/>
                              </w:rPr>
                            </w:pPr>
                            <w:r>
                              <w:rPr>
                                <w:b/>
                                <w:lang w:val="en-GB"/>
                              </w:rPr>
                              <w:t>5</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9pt;mso-position-vertical-relative:text;margin-left:244.75pt;mso-position-horizontal-relative:text">
                <v:textbox inset="0.100694444444444in,0.0506944444444444in,0.100694444444444in,0.0506944444444444in">
                  <w:txbxContent>
                    <w:p>
                      <w:pPr>
                        <w:pStyle w:val="Normal"/>
                        <w:rPr>
                          <w:b/>
                          <w:lang w:val="en-GB"/>
                        </w:rPr>
                      </w:pPr>
                      <w:r>
                        <w:rPr>
                          <w:b/>
                          <w:lang w:val="en-GB"/>
                        </w:rPr>
                        <w:t>5</w:t>
                      </w:r>
                    </w:p>
                  </w:txbxContent>
                </v:textbox>
                <w10:wrap type="none"/>
              </v:rect>
            </w:pict>
          </mc:Fallback>
        </mc:AlternateContent>
      </w:r>
    </w:p>
    <w:p>
      <w:pPr>
        <w:pStyle w:val="Normal"/>
        <w:rPr/>
      </w:pPr>
      <w:r>
        <w:rPr/>
      </w:r>
    </w:p>
    <w:p>
      <w:pPr>
        <w:pStyle w:val="Normal"/>
        <w:rPr/>
      </w:pPr>
      <w:r>
        <w:rPr/>
      </w:r>
    </w:p>
    <w:p>
      <w:pPr>
        <w:pStyle w:val="Normal"/>
        <w:rPr/>
      </w:pPr>
      <w:r>
        <w:rPr/>
      </w:r>
    </w:p>
    <w:p>
      <w:pPr>
        <w:pStyle w:val="Heading1"/>
        <w:ind w:hanging="0" w:start="0"/>
        <w:rPr/>
      </w:pPr>
      <w:r>
        <w:rPr/>
      </w:r>
      <w:r>
        <w:br w:type="page"/>
      </w:r>
    </w:p>
    <w:p>
      <w:pPr>
        <w:pStyle w:val="Heading1"/>
        <w:ind w:hanging="0" w:start="0"/>
        <w:rPr/>
      </w:pPr>
      <w:r>
        <w:rPr/>
      </w:r>
    </w:p>
    <w:p>
      <w:pPr>
        <w:pStyle w:val="Heading1"/>
        <w:ind w:hanging="0" w:start="0"/>
        <w:rPr>
          <w:bCs/>
          <w:sz w:val="24"/>
        </w:rPr>
      </w:pPr>
      <w:r>
        <w:rPr>
          <w:bCs/>
          <w:sz w:val="24"/>
        </w:rPr>
        <w:t>Appendix 2: Market Risk</w:t>
      </w:r>
    </w:p>
    <w:p>
      <w:pPr>
        <w:pStyle w:val="Normal"/>
        <w:rPr>
          <w:bCs/>
          <w:sz w:val="24"/>
        </w:rPr>
      </w:pPr>
      <w:r>
        <w:rPr>
          <w:bCs/>
          <w:sz w:val="24"/>
        </w:rPr>
      </w:r>
    </w:p>
    <w:p>
      <w:pPr>
        <w:pStyle w:val="Heading1"/>
        <w:ind w:hanging="0" w:start="0"/>
        <w:rPr/>
      </w:pPr>
      <w:r>
        <w:rPr/>
        <w:t>Hydrological Risk Mitigation and Pricing</w:t>
      </w:r>
    </w:p>
    <w:p>
      <w:pPr>
        <w:pStyle w:val="Normal"/>
        <w:rPr/>
      </w:pPr>
      <w:r>
        <w:rPr/>
        <w:t xml:space="preserve">Agreeing at the signing of each hydro contract a reference generation quantity and price have mitigated this risk.  The reference quantity is based on average rainfall for the last 30 years and the reference price is the yearly forward price on the Enron curve.  In dryer or wetter years, the quantities of actual rainfall are taken and the reference price adjusted using a predetermined price function.  In this manner the purchase price for power produced is adjusted by the amount of rainfall in that year. </w:t>
      </w:r>
    </w:p>
    <w:p>
      <w:pPr>
        <w:pStyle w:val="Normal"/>
        <w:rPr/>
      </w:pPr>
      <w:r>
        <w:rPr/>
      </w:r>
    </w:p>
    <w:p>
      <w:pPr>
        <w:pStyle w:val="Normal"/>
        <w:rPr>
          <w:b/>
        </w:rPr>
      </w:pPr>
      <w:r>
        <w:rPr>
          <w:b/>
        </w:rPr>
        <w:t>Commodity Risk</w:t>
      </w:r>
    </w:p>
    <w:p>
      <w:pPr>
        <w:pStyle w:val="Normal"/>
        <w:keepNext w:val="true"/>
        <w:jc w:val="both"/>
        <w:rPr/>
      </w:pPr>
      <w:r>
        <w:rPr/>
        <w:t>Enron, through it’s participation in the JV bears market commodity risk since JV will contract in the rights to dispatch the capacity on physical plants (7 hydro/pump storage and 2 nuclear) to cover its full requirements sales contracts.  These fixed price supply contracts subject the JV to both price and volume risk, and also what is termed “multiplicity risk”.  The booking of these plants, netted against the short collar agreement, and the full requirements contract, will leave the JV approx. 1.25TWh LONG (VAR = $0.4MM) – this outright position will be managed by the traders of the JV, as any other trading position in Enron (monitored against sub-limits of the Enron Board approved Continental Power trading limits).  The structured options desk have experience in managing and optimizing these highly flexible hydro/pump storage plants, since they have had these type of deals on their books for some time.</w:t>
      </w:r>
    </w:p>
    <w:p>
      <w:pPr>
        <w:pStyle w:val="Normal"/>
        <w:keepNext w:val="true"/>
        <w:jc w:val="both"/>
        <w:rPr/>
      </w:pPr>
      <w:r>
        <w:rPr/>
      </w:r>
    </w:p>
    <w:p>
      <w:pPr>
        <w:pStyle w:val="Normal"/>
        <w:rPr/>
      </w:pPr>
      <w:r>
        <w:rPr/>
        <w:t xml:space="preserve">There are </w:t>
      </w:r>
      <w:r>
        <w:rPr>
          <w:b/>
          <w:bCs/>
        </w:rPr>
        <w:t>two main risks</w:t>
      </w:r>
      <w:r>
        <w:rPr/>
        <w:t xml:space="preserve"> within the JV Portfolio: (1) </w:t>
      </w:r>
      <w:r>
        <w:rPr>
          <w:lang w:val="en-CA" w:eastAsia="en-CA"/>
        </w:rPr>
        <w:t>price risk and (2) indirect volume risk. The JV is not taking any direct volume risk – this is because the JV pays the contract price on actual production, not on fixed volumes.</w:t>
      </w:r>
    </w:p>
    <w:p>
      <w:pPr>
        <w:pStyle w:val="Normal"/>
        <w:rPr>
          <w:lang w:val="en-CA" w:eastAsia="en-CA"/>
        </w:rPr>
      </w:pPr>
      <w:r>
        <w:rPr>
          <w:lang w:val="en-CA" w:eastAsia="en-CA"/>
        </w:rPr>
      </w:r>
    </w:p>
    <w:p>
      <w:pPr>
        <w:pStyle w:val="Normal"/>
        <w:rPr>
          <w:lang w:val="en-CA" w:eastAsia="en-CA"/>
        </w:rPr>
      </w:pPr>
      <w:r>
        <w:rPr>
          <w:lang w:val="en-CA" w:eastAsia="en-CA"/>
        </w:rPr>
        <w:t xml:space="preserve">The outright price risk is limited if on the day the hydro plants are brought contractually into the JV Portfolio, the long power position may be hedged out by going SHORT ‘normal year’ production.  If the long hydro position is hedged then a ‘multiplicity risk’ arises – however, it is a commercial decision whether to hedge or not.  ‘Multiplicity Risk’ (prices changing at the same time as volume), results because the deviations between actual and expected inflows imply a net long or a net short position to be sold or bought in the market. </w:t>
      </w:r>
    </w:p>
    <w:p>
      <w:pPr>
        <w:pStyle w:val="Normal"/>
        <w:rPr>
          <w:lang w:val="en-CA" w:eastAsia="en-CA"/>
        </w:rPr>
      </w:pPr>
      <w:r>
        <w:rPr>
          <w:lang w:val="en-CA" w:eastAsia="en-CA"/>
        </w:rPr>
      </w:r>
    </w:p>
    <w:p>
      <w:pPr>
        <w:pStyle w:val="Normal"/>
        <w:rPr/>
      </w:pPr>
      <w:r>
        <w:rPr>
          <w:lang w:val="en-CA" w:eastAsia="en-CA"/>
        </w:rPr>
        <w:t xml:space="preserve">It is not possible to perfectly hedge this residual exposure through plain vanilla power and weather swaps, given the imperfect (negative) correlation between market prices and hydro inflows that is observed empirically.  In theory, multiplicity is a symmetrical risk, however due to the negative correlation the probablility of losing money is higher than the probability of making money (negatively skewed distribution). </w:t>
      </w:r>
      <w:r>
        <w:rPr/>
        <w:t>This expected loss occurs, because generation surpluses due to sub normally high inflows have to be marketed at relatively low prices, while generation deficits due to sub normally low inflows have to be bought at relatively high prices.  This disadvantage is compensated by the advantage implied by valuing the peaky hydro production with a relatively crudely shaped peak/off curve of forward prices.</w:t>
      </w:r>
    </w:p>
    <w:p>
      <w:pPr>
        <w:pStyle w:val="Normal"/>
        <w:rPr/>
      </w:pPr>
      <w:r>
        <w:rPr/>
      </w:r>
    </w:p>
    <w:p>
      <w:pPr>
        <w:pStyle w:val="Normal"/>
        <w:rPr/>
      </w:pPr>
      <w:r>
        <w:rPr/>
        <w:t>The second mitigant is the use of a negatively sloped price function showing the contract price as a linear function of cumulated annual hydro inflows.  The swap price is an inverse function of inflow. For example, for a ‘Wet’ year, where we have constant capacity, but have additional inflow (more volume), the load factor goes up – the plant will run more like a baseload plant.  Since the JV does not want to bear this risk (i.e. a fixed contract price based on ‘normal year’ production), a negative sloped price function is used to adjust the contract price to reflect (dry) wet years being (more) less valuable on average due to more (peak) band oriented dispatch.</w:t>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r>
        <w:br w:type="page"/>
      </w:r>
    </w:p>
    <w:p>
      <w:pPr>
        <w:pStyle w:val="Normal"/>
        <w:rPr>
          <w:b/>
          <w:bCs/>
          <w:sz w:val="24"/>
        </w:rPr>
      </w:pPr>
      <w:r>
        <w:rPr>
          <w:b/>
          <w:bCs/>
          <w:sz w:val="24"/>
        </w:rPr>
      </w:r>
    </w:p>
    <w:p>
      <w:pPr>
        <w:pStyle w:val="xl23"/>
        <w:spacing w:before="0" w:after="0"/>
        <w:rPr>
          <w:rFonts w:ascii="Times New Roman" w:hAnsi="Times New Roman" w:eastAsia="Times New Roman" w:cs="Times New Roman"/>
          <w:szCs w:val="20"/>
        </w:rPr>
      </w:pPr>
      <w:r>
        <w:rPr>
          <w:rFonts w:eastAsia="Times New Roman" w:cs="Times New Roman" w:ascii="Times New Roman" w:hAnsi="Times New Roman"/>
          <w:szCs w:val="20"/>
        </w:rPr>
        <w:t>Appendix 3: Plant Technical Non-Availability Risk</w:t>
      </w:r>
    </w:p>
    <w:p>
      <w:pPr>
        <w:pStyle w:val="Normal"/>
        <w:keepNext w:val="true"/>
        <w:jc w:val="both"/>
        <w:rPr>
          <w:rFonts w:ascii="Times New Roman" w:hAnsi="Times New Roman" w:eastAsia="Times New Roman" w:cs="Times New Roman"/>
          <w:b/>
          <w:szCs w:val="20"/>
        </w:rPr>
      </w:pPr>
      <w:r>
        <w:rPr>
          <w:rFonts w:eastAsia="Times New Roman" w:cs="Times New Roman"/>
          <w:b/>
          <w:szCs w:val="20"/>
        </w:rPr>
      </w:r>
    </w:p>
    <w:p>
      <w:pPr>
        <w:pStyle w:val="Normal"/>
        <w:keepNext w:val="true"/>
        <w:jc w:val="both"/>
        <w:rPr/>
      </w:pPr>
      <w:r>
        <w:rPr>
          <w:b/>
        </w:rPr>
        <w:t>Hydro Plant:</w:t>
      </w:r>
      <w:r>
        <w:rPr/>
        <w:t xml:space="preserve"> In the event of a technical outage, the contract price is decreased in a defined way to reflect that the feasible production is now less valuable than the reference production schedule under a given price curve (due to a loss of peak hours).  Besides these adjustments there are short-term and long-term guarantees by the Seller (EWZ Generation). EWZ financially guarantees (based on replacement cost) the average peak capacity dispatched by the JV on a day-ahead basis as well as the average peak capacity of the normal year reference production schedule in the event that the technical outages exceed a defined load factor.  The JV takes on mid-term technical outage risk. Essentially, EWZ remunerates the JV for technical outages in peak times according to the difference between peak and off peak forward price for respective months as fixed in the contract (the JV will manage this risk in the traded market).  Furthermore, there is a provision for back-up costs in the contract to be paid by the seller. This provision effectively reduces the contract price that is originally based on price curves for firm power.  Whether these back-up provisions are used to secure firm power is a commercial decision - as the structure currently stands the JV is not obligated to use these provisions to hedge the non-firm power risk.</w:t>
      </w:r>
    </w:p>
    <w:p>
      <w:pPr>
        <w:pStyle w:val="Normal"/>
        <w:keepNext w:val="true"/>
        <w:jc w:val="both"/>
        <w:rPr/>
      </w:pPr>
      <w:r>
        <w:rPr/>
      </w:r>
    </w:p>
    <w:p>
      <w:pPr>
        <w:pStyle w:val="Normal"/>
        <w:rPr/>
      </w:pPr>
      <w:r>
        <w:rPr>
          <w:b/>
        </w:rPr>
        <w:t>Nuclear Plant:</w:t>
      </w:r>
      <w:r>
        <w:rPr/>
        <w:t xml:space="preserve"> Since the Nuclear supply contracts have not yet been negotiated,  RAC do not have any firm details to evaluate the risk inherent in these. The nuclear contracts will be a simplified version of the pump storage supply agreements, and similarly the JV will take some outage risk.  Similar short and long-tern guarantee will exist for the nuclear contracts, as well as provisions for back-up costs to compensate for ‘mid-term’ outage risk. Again, whether to use these provisions to hedge non-firm power risk is a commercial decision.</w:t>
      </w:r>
    </w:p>
    <w:p>
      <w:pPr>
        <w:pStyle w:val="Normal"/>
        <w:rPr>
          <w:b/>
          <w:bCs/>
          <w:sz w:val="24"/>
        </w:rPr>
      </w:pPr>
      <w:r>
        <w:rPr>
          <w:b/>
          <w:bCs/>
          <w:sz w:val="24"/>
        </w:rPr>
      </w:r>
    </w:p>
    <w:sectPr>
      <w:headerReference w:type="default" r:id="rId3"/>
      <w:headerReference w:type="first" r:id="rId4"/>
      <w:footerReference w:type="default" r:id="rId5"/>
      <w:footerReference w:type="first" r:id="rId6"/>
      <w:type w:val="nextPage"/>
      <w:pgSz w:w="12240" w:h="15840"/>
      <w:pgMar w:left="1009" w:right="1009" w:gutter="0" w:header="720" w:top="776" w:footer="405" w:bottom="46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Deal Name:  EWZ-JV</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360"/>
        </w:tabs>
        <w:ind w:start="360" w:hanging="360"/>
      </w:p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7"/>
      <w:numFmt w:val="decimal"/>
      <w:lvlText w:val="%1."/>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pBdr>
        <w:top w:val="single" w:sz="8" w:space="1" w:color="000000"/>
      </w:pBd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both"/>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rFonts w:ascii="Symbol" w:hAnsi="Symbol" w:cs="Symbol"/>
    </w:rPr>
  </w:style>
  <w:style w:type="character" w:styleId="WW8Num11z0">
    <w:name w:val="WW8Num11z0"/>
    <w:qFormat/>
    <w:rPr>
      <w:b w:val="false"/>
      <w:i w:val="fals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90" w:start="-90" w:end="0"/>
    </w:pPr>
    <w:rPr/>
  </w:style>
  <w:style w:type="paragraph" w:styleId="xl23">
    <w:name w:val="xl23"/>
    <w:basedOn w:val="Normal"/>
    <w:qFormat/>
    <w:pPr>
      <w:spacing w:before="100" w:after="100"/>
    </w:pPr>
    <w:rPr>
      <w:rFonts w:ascii="Arial" w:hAnsi="Arial" w:eastAsia="Arial Unicode MS" w:cs="Arial"/>
      <w:b/>
      <w:bCs/>
      <w:sz w:val="24"/>
      <w:szCs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2001-10-22T06:17:00Z</dcterms:created>
  <dc:creator>mruane</dc:creator>
  <dc:description/>
  <dc:language>en-CA</dc:language>
  <cp:lastModifiedBy>jthirsk</cp:lastModifiedBy>
  <cp:lastPrinted>2001-07-09T14:07:00Z</cp:lastPrinted>
  <dcterms:modified xsi:type="dcterms:W3CDTF">2001-10-22T06:17:00Z</dcterms:modified>
  <cp:revision>2</cp:revision>
  <dc:subject/>
  <dc:title>ENRON RISK ASSESSMENT AND CONTROL</dc:title>
</cp:coreProperties>
</file>