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hanging="540" w:start="540" w:end="0"/>
        <w:rPr>
          <w:sz w:val="16"/>
        </w:rPr>
      </w:pPr>
      <w:r>
        <w:rPr>
          <w:sz w:val="20"/>
        </w:rPr>
        <w:drawing>
          <wp:inline distT="0" distB="0" distL="0" distR="0">
            <wp:extent cx="776605" cy="7327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76605" cy="732790"/>
                    </a:xfrm>
                    <a:prstGeom prst="rect">
                      <a:avLst/>
                    </a:prstGeom>
                    <a:noFill/>
                  </pic:spPr>
                </pic:pic>
              </a:graphicData>
            </a:graphic>
          </wp:inline>
        </w:drawing>
      </w:r>
    </w:p>
    <w:p>
      <w:pPr>
        <w:pStyle w:val="Heading"/>
        <w:ind w:hanging="540" w:start="540" w:end="0"/>
        <w:rPr>
          <w:sz w:val="16"/>
        </w:rPr>
      </w:pPr>
      <w:r>
        <w:rPr>
          <w:sz w:val="16"/>
        </w:rPr>
      </w:r>
    </w:p>
    <w:tbl>
      <w:tblPr>
        <w:tblW w:w="10975" w:type="dxa"/>
        <w:jc w:val="start"/>
        <w:tblInd w:w="108" w:type="dxa"/>
        <w:tblLayout w:type="fixed"/>
        <w:tblCellMar>
          <w:top w:w="0" w:type="dxa"/>
          <w:start w:w="108" w:type="dxa"/>
          <w:bottom w:w="0" w:type="dxa"/>
          <w:end w:w="108" w:type="dxa"/>
        </w:tblCellMar>
      </w:tblPr>
      <w:tblGrid>
        <w:gridCol w:w="800"/>
        <w:gridCol w:w="10"/>
        <w:gridCol w:w="6210"/>
        <w:gridCol w:w="990"/>
        <w:gridCol w:w="2965"/>
      </w:tblGrid>
      <w:tr>
        <w:trPr>
          <w:trHeight w:val="297" w:hRule="exact"/>
        </w:trPr>
        <w:tc>
          <w:tcPr>
            <w:tcW w:w="800" w:type="dxa"/>
            <w:tcBorders/>
          </w:tcPr>
          <w:p>
            <w:pPr>
              <w:pStyle w:val="Normal"/>
              <w:ind w:hanging="540" w:start="540" w:end="0"/>
              <w:jc w:val="end"/>
              <w:rPr>
                <w:sz w:val="16"/>
              </w:rPr>
            </w:pPr>
            <w:r>
              <w:rPr>
                <w:sz w:val="16"/>
              </w:rPr>
              <w:t>To:</w:t>
            </w:r>
          </w:p>
        </w:tc>
        <w:tc>
          <w:tcPr>
            <w:tcW w:w="6220" w:type="dxa"/>
            <w:gridSpan w:val="2"/>
            <w:tcBorders/>
          </w:tcPr>
          <w:p>
            <w:pPr>
              <w:pStyle w:val="To"/>
              <w:ind w:hanging="540" w:start="540" w:end="-378"/>
              <w:rPr/>
            </w:pPr>
            <w:r>
              <w:rPr/>
              <w:t>Rick Buy, Enron Corp. Executive Vice President &amp; Chief Risk Officer</w:t>
            </w:r>
          </w:p>
          <w:p>
            <w:pPr>
              <w:pStyle w:val="To"/>
              <w:ind w:hanging="540" w:start="540" w:end="0"/>
              <w:rPr>
                <w:rFonts w:eastAsia="Arial"/>
              </w:rPr>
            </w:pPr>
            <w:r>
              <w:rPr>
                <w:rFonts w:eastAsia="Arial"/>
              </w:rPr>
              <w:t xml:space="preserve"> </w:t>
            </w:r>
          </w:p>
        </w:tc>
        <w:tc>
          <w:tcPr>
            <w:tcW w:w="990" w:type="dxa"/>
            <w:tcBorders/>
          </w:tcPr>
          <w:p>
            <w:pPr>
              <w:pStyle w:val="Normal"/>
              <w:snapToGrid w:val="false"/>
              <w:ind w:hanging="540" w:start="540" w:end="0"/>
              <w:rPr/>
            </w:pPr>
            <w:r>
              <w:rPr/>
            </w:r>
          </w:p>
        </w:tc>
        <w:tc>
          <w:tcPr>
            <w:tcW w:w="2965" w:type="dxa"/>
            <w:tcBorders/>
          </w:tcPr>
          <w:p>
            <w:pPr>
              <w:pStyle w:val="Normal"/>
              <w:snapToGrid w:val="false"/>
              <w:ind w:hanging="540" w:start="540" w:end="0"/>
              <w:rPr/>
            </w:pPr>
            <w:r>
              <w:rPr/>
            </w:r>
          </w:p>
        </w:tc>
      </w:tr>
      <w:tr>
        <w:trPr>
          <w:trHeight w:val="360" w:hRule="exact"/>
        </w:trPr>
        <w:tc>
          <w:tcPr>
            <w:tcW w:w="800" w:type="dxa"/>
            <w:tcBorders/>
          </w:tcPr>
          <w:p>
            <w:pPr>
              <w:pStyle w:val="Normal"/>
              <w:snapToGrid w:val="false"/>
              <w:ind w:hanging="540" w:start="540" w:end="0"/>
              <w:jc w:val="end"/>
              <w:rPr>
                <w:sz w:val="18"/>
              </w:rPr>
            </w:pPr>
            <w:r>
              <w:rPr>
                <w:sz w:val="18"/>
              </w:rPr>
            </w:r>
          </w:p>
        </w:tc>
        <w:tc>
          <w:tcPr>
            <w:tcW w:w="6220" w:type="dxa"/>
            <w:gridSpan w:val="2"/>
            <w:tcBorders/>
          </w:tcPr>
          <w:p>
            <w:pPr>
              <w:pStyle w:val="Subject"/>
              <w:tabs>
                <w:tab w:val="left" w:pos="540" w:leader="none"/>
              </w:tabs>
              <w:snapToGrid w:val="false"/>
              <w:ind w:hanging="540" w:start="540" w:end="-553"/>
              <w:rPr>
                <w:sz w:val="18"/>
              </w:rPr>
            </w:pPr>
            <w:r>
              <w:rPr>
                <w:sz w:val="18"/>
              </w:rPr>
            </w:r>
          </w:p>
        </w:tc>
        <w:tc>
          <w:tcPr>
            <w:tcW w:w="990" w:type="dxa"/>
            <w:tcBorders/>
          </w:tcPr>
          <w:p>
            <w:pPr>
              <w:pStyle w:val="Normal"/>
              <w:snapToGrid w:val="false"/>
              <w:ind w:hanging="540" w:start="540" w:end="0"/>
              <w:rPr>
                <w:sz w:val="18"/>
              </w:rPr>
            </w:pPr>
            <w:r>
              <w:rPr>
                <w:sz w:val="18"/>
              </w:rPr>
            </w:r>
          </w:p>
        </w:tc>
        <w:tc>
          <w:tcPr>
            <w:tcW w:w="2965" w:type="dxa"/>
            <w:tcBorders/>
          </w:tcPr>
          <w:p>
            <w:pPr>
              <w:pStyle w:val="Normal"/>
              <w:snapToGrid w:val="false"/>
              <w:ind w:hanging="540" w:start="540" w:end="0"/>
              <w:rPr>
                <w:sz w:val="18"/>
              </w:rPr>
            </w:pPr>
            <w:r>
              <w:rPr>
                <w:sz w:val="18"/>
              </w:rPr>
            </w:r>
          </w:p>
        </w:tc>
      </w:tr>
      <w:tr>
        <w:trPr>
          <w:trHeight w:val="603" w:hRule="exact"/>
        </w:trPr>
        <w:tc>
          <w:tcPr>
            <w:tcW w:w="800" w:type="dxa"/>
            <w:tcBorders/>
          </w:tcPr>
          <w:p>
            <w:pPr>
              <w:pStyle w:val="Normal"/>
              <w:ind w:hanging="540" w:start="540" w:end="0"/>
              <w:jc w:val="end"/>
              <w:rPr>
                <w:sz w:val="16"/>
              </w:rPr>
            </w:pPr>
            <w:r>
              <w:rPr>
                <w:sz w:val="16"/>
              </w:rPr>
              <w:t>From:</w:t>
            </w:r>
          </w:p>
        </w:tc>
        <w:tc>
          <w:tcPr>
            <w:tcW w:w="6220" w:type="dxa"/>
            <w:gridSpan w:val="2"/>
            <w:tcBorders/>
          </w:tcPr>
          <w:p>
            <w:pPr>
              <w:pStyle w:val="From"/>
              <w:ind w:hanging="540" w:start="540" w:end="0"/>
              <w:rPr/>
            </w:pPr>
            <w:r>
              <w:rPr/>
              <w:t>Greg Whalley              ____________________________</w:t>
            </w:r>
          </w:p>
          <w:p>
            <w:pPr>
              <w:pStyle w:val="From"/>
              <w:ind w:hanging="540" w:start="540" w:end="0"/>
              <w:rPr/>
            </w:pPr>
            <w:r>
              <w:rPr/>
              <w:t xml:space="preserve">President and COO                        </w:t>
            </w:r>
            <w:r>
              <w:rPr>
                <w:sz w:val="16"/>
              </w:rPr>
              <w:t>(Signature)</w:t>
            </w:r>
          </w:p>
          <w:p>
            <w:pPr>
              <w:pStyle w:val="From"/>
              <w:rPr>
                <w:sz w:val="16"/>
              </w:rPr>
            </w:pPr>
            <w:r>
              <w:rPr>
                <w:sz w:val="16"/>
              </w:rPr>
            </w:r>
          </w:p>
        </w:tc>
        <w:tc>
          <w:tcPr>
            <w:tcW w:w="990" w:type="dxa"/>
            <w:tcBorders/>
          </w:tcPr>
          <w:p>
            <w:pPr>
              <w:pStyle w:val="Normal"/>
              <w:ind w:hanging="833" w:start="540" w:end="0"/>
              <w:jc w:val="end"/>
              <w:rPr>
                <w:sz w:val="16"/>
              </w:rPr>
            </w:pPr>
            <w:r>
              <w:rPr>
                <w:sz w:val="16"/>
              </w:rPr>
              <w:t>Department:</w:t>
            </w:r>
          </w:p>
        </w:tc>
        <w:tc>
          <w:tcPr>
            <w:tcW w:w="2965" w:type="dxa"/>
            <w:tcBorders/>
          </w:tcPr>
          <w:p>
            <w:pPr>
              <w:pStyle w:val="Department"/>
              <w:ind w:hanging="540" w:start="540" w:end="0"/>
              <w:rPr/>
            </w:pPr>
            <w:bookmarkStart w:id="0" w:name="From"/>
            <w:bookmarkEnd w:id="0"/>
            <w:r>
              <w:rPr/>
              <w:t>Enron Wholesale Services</w:t>
            </w:r>
          </w:p>
        </w:tc>
      </w:tr>
      <w:tr>
        <w:trPr>
          <w:trHeight w:val="360" w:hRule="exact"/>
        </w:trPr>
        <w:tc>
          <w:tcPr>
            <w:tcW w:w="810" w:type="dxa"/>
            <w:gridSpan w:val="2"/>
            <w:tcBorders>
              <w:bottom w:val="single" w:sz="12" w:space="0" w:color="000000"/>
            </w:tcBorders>
          </w:tcPr>
          <w:p>
            <w:pPr>
              <w:pStyle w:val="Normal"/>
              <w:ind w:hanging="540" w:start="540" w:end="0"/>
              <w:jc w:val="end"/>
              <w:rPr>
                <w:sz w:val="16"/>
              </w:rPr>
            </w:pPr>
            <w:r>
              <w:rPr>
                <w:sz w:val="16"/>
              </w:rPr>
              <w:t>Subject:</w:t>
            </w:r>
          </w:p>
        </w:tc>
        <w:tc>
          <w:tcPr>
            <w:tcW w:w="6210" w:type="dxa"/>
            <w:tcBorders>
              <w:bottom w:val="single" w:sz="12" w:space="0" w:color="000000"/>
            </w:tcBorders>
          </w:tcPr>
          <w:p>
            <w:pPr>
              <w:pStyle w:val="Subject"/>
              <w:ind w:hanging="540" w:start="540" w:end="0"/>
              <w:rPr/>
            </w:pPr>
            <w:r>
              <w:rPr/>
              <w:t>Head Traders for Enron Wholesale Services</w:t>
              <w:br/>
            </w:r>
          </w:p>
          <w:p>
            <w:pPr>
              <w:pStyle w:val="Subject"/>
              <w:ind w:hanging="540" w:start="540" w:end="0"/>
              <w:rPr/>
            </w:pPr>
            <w:r>
              <w:rPr/>
            </w:r>
          </w:p>
        </w:tc>
        <w:tc>
          <w:tcPr>
            <w:tcW w:w="990" w:type="dxa"/>
            <w:tcBorders>
              <w:bottom w:val="single" w:sz="12" w:space="0" w:color="000000"/>
            </w:tcBorders>
          </w:tcPr>
          <w:p>
            <w:pPr>
              <w:pStyle w:val="Normal"/>
              <w:ind w:hanging="540" w:start="540" w:end="0"/>
              <w:jc w:val="end"/>
              <w:rPr>
                <w:sz w:val="16"/>
              </w:rPr>
            </w:pPr>
            <w:r>
              <w:rPr>
                <w:sz w:val="16"/>
              </w:rPr>
              <w:t>Date:</w:t>
            </w:r>
          </w:p>
        </w:tc>
        <w:tc>
          <w:tcPr>
            <w:tcW w:w="2965" w:type="dxa"/>
            <w:tcBorders>
              <w:bottom w:val="single" w:sz="12" w:space="0" w:color="000000"/>
            </w:tcBorders>
          </w:tcPr>
          <w:p>
            <w:pPr>
              <w:pStyle w:val="Date"/>
              <w:ind w:hanging="540" w:start="540" w:end="0"/>
              <w:rPr/>
            </w:pPr>
            <w:r>
              <w:rPr/>
              <w:t>April 9, 2001</w:t>
            </w:r>
          </w:p>
          <w:p>
            <w:pPr>
              <w:pStyle w:val="Date"/>
              <w:rPr/>
            </w:pPr>
            <w:r>
              <w:rPr/>
            </w:r>
          </w:p>
        </w:tc>
      </w:tr>
    </w:tbl>
    <w:p>
      <w:pPr>
        <w:pStyle w:val="Department"/>
        <w:ind w:start="180" w:end="810"/>
        <w:jc w:val="both"/>
        <w:rPr/>
      </w:pPr>
      <w:bookmarkStart w:id="1" w:name="StartOfMemo"/>
      <w:bookmarkEnd w:id="1"/>
      <w:r>
        <w:rPr/>
        <w:t>In accordance with the Enron Corp. Risk Management and Trading Policy (“Policy”) section V.E. “Transaction Approvals”, I hereby submit for your approval and confirmation the Commodity Group Manager responsible for each commodity group and accountable for the Policy as it relates to these businesses. The person designated below with Overall Trading Responsibility for each business unit is authorized to approve the Daily Position Report in accordance with the Policy.</w:t>
      </w:r>
    </w:p>
    <w:p>
      <w:pPr>
        <w:pStyle w:val="Department"/>
        <w:jc w:val="both"/>
        <w:rPr/>
      </w:pPr>
      <w:r>
        <w:rPr/>
      </w:r>
    </w:p>
    <w:p>
      <w:pPr>
        <w:pStyle w:val="Department"/>
        <w:tabs>
          <w:tab w:val="left" w:pos="-2160" w:leader="none"/>
          <w:tab w:val="left" w:pos="630" w:leader="none"/>
          <w:tab w:val="left" w:pos="4320" w:leader="none"/>
          <w:tab w:val="left" w:pos="7290" w:leader="none"/>
        </w:tabs>
        <w:rPr>
          <w:b/>
          <w:i/>
          <w:i/>
        </w:rPr>
      </w:pPr>
      <w:r>
        <w:rPr>
          <w:b/>
          <w:i/>
          <w:sz w:val="22"/>
        </w:rPr>
        <w:tab/>
      </w:r>
      <w:r>
        <w:rPr>
          <w:b/>
          <w:i/>
          <w:u w:val="single"/>
        </w:rPr>
        <w:t>Overall Trading Responsibility</w:t>
      </w:r>
      <w:r>
        <w:rPr>
          <w:b/>
          <w:i/>
        </w:rPr>
        <w:tab/>
      </w:r>
      <w:r>
        <w:rPr>
          <w:b/>
          <w:i/>
          <w:u w:val="single"/>
        </w:rPr>
        <w:t>Commodity  Group</w:t>
      </w:r>
      <w:r>
        <w:rPr>
          <w:b/>
          <w:i/>
        </w:rPr>
        <w:tab/>
      </w:r>
      <w:r>
        <w:rPr>
          <w:b/>
          <w:i/>
          <w:u w:val="single"/>
        </w:rPr>
        <w:t>Commodity Group Manager</w:t>
      </w:r>
    </w:p>
    <w:p>
      <w:pPr>
        <w:pStyle w:val="Department"/>
        <w:tabs>
          <w:tab w:val="left" w:pos="-2160" w:leader="none"/>
          <w:tab w:val="left" w:pos="630" w:leader="none"/>
          <w:tab w:val="left" w:pos="4320" w:leader="none"/>
          <w:tab w:val="left" w:pos="7290" w:leader="none"/>
        </w:tabs>
        <w:rPr>
          <w:b/>
          <w:i/>
          <w:i/>
          <w:sz w:val="12"/>
        </w:rPr>
      </w:pPr>
      <w:r>
        <w:rPr>
          <w:b/>
          <w:i/>
          <w:sz w:val="12"/>
        </w:rPr>
      </w:r>
    </w:p>
    <w:p>
      <w:pPr>
        <w:pStyle w:val="Department"/>
        <w:tabs>
          <w:tab w:val="left" w:pos="-2160" w:leader="none"/>
          <w:tab w:val="left" w:pos="630" w:leader="none"/>
          <w:tab w:val="left" w:pos="4320" w:leader="none"/>
          <w:tab w:val="left" w:pos="7290" w:leader="none"/>
        </w:tabs>
        <w:rPr>
          <w:sz w:val="18"/>
        </w:rPr>
      </w:pPr>
      <w:r>
        <w:rPr/>
        <w:tab/>
      </w:r>
      <w:r>
        <w:rPr>
          <w:b/>
          <w:sz w:val="18"/>
          <w:u w:val="single"/>
        </w:rPr>
        <w:t>Enron Americas</w:t>
      </w:r>
    </w:p>
    <w:p>
      <w:pPr>
        <w:pStyle w:val="Department"/>
        <w:tabs>
          <w:tab w:val="left" w:pos="-2160" w:leader="none"/>
          <w:tab w:val="left" w:pos="630" w:leader="none"/>
          <w:tab w:val="left" w:pos="4320" w:leader="none"/>
          <w:tab w:val="left" w:pos="7290" w:leader="none"/>
        </w:tabs>
        <w:rPr>
          <w:sz w:val="18"/>
        </w:rPr>
      </w:pPr>
      <w:r>
        <w:rPr>
          <w:sz w:val="18"/>
        </w:rPr>
        <w:tab/>
        <w:t xml:space="preserve">John Lavorato    </w:t>
        <w:softHyphen/>
        <w:t>__________(initial)</w:t>
        <w:tab/>
        <w:t>North American Natural Gas</w:t>
        <w:tab/>
        <w:tab/>
        <w:t>John Lavorato</w:t>
      </w:r>
    </w:p>
    <w:p>
      <w:pPr>
        <w:pStyle w:val="Department"/>
        <w:tabs>
          <w:tab w:val="left" w:pos="-2160" w:leader="none"/>
          <w:tab w:val="left" w:pos="630" w:leader="none"/>
          <w:tab w:val="left" w:pos="4320" w:leader="none"/>
          <w:tab w:val="left" w:pos="7290" w:leader="none"/>
        </w:tabs>
        <w:rPr>
          <w:sz w:val="18"/>
        </w:rPr>
      </w:pPr>
      <w:r>
        <w:rPr>
          <w:sz w:val="18"/>
        </w:rPr>
        <w:tab/>
        <w:tab/>
        <w:t>Southern Cone Natural Gas</w:t>
        <w:tab/>
        <w:tab/>
        <w:t>Joe Kishkill</w:t>
      </w:r>
    </w:p>
    <w:p>
      <w:pPr>
        <w:pStyle w:val="Department"/>
        <w:tabs>
          <w:tab w:val="left" w:pos="-2160" w:leader="none"/>
          <w:tab w:val="left" w:pos="630" w:leader="none"/>
          <w:tab w:val="left" w:pos="4320" w:leader="none"/>
          <w:tab w:val="left" w:pos="7290" w:leader="none"/>
        </w:tabs>
        <w:rPr>
          <w:sz w:val="18"/>
        </w:rPr>
      </w:pPr>
      <w:r>
        <w:rPr>
          <w:sz w:val="18"/>
        </w:rPr>
        <w:tab/>
        <w:tab/>
        <w:t>Southern Cone Electricity</w:t>
        <w:tab/>
        <w:tab/>
        <w:t>Joe Kishkill</w:t>
      </w:r>
    </w:p>
    <w:p>
      <w:pPr>
        <w:pStyle w:val="Department"/>
        <w:tabs>
          <w:tab w:val="left" w:pos="-2160" w:leader="none"/>
          <w:tab w:val="left" w:pos="630" w:leader="none"/>
          <w:tab w:val="left" w:pos="4320" w:leader="none"/>
          <w:tab w:val="left" w:pos="7290" w:leader="none"/>
        </w:tabs>
        <w:rPr>
          <w:sz w:val="18"/>
        </w:rPr>
      </w:pPr>
      <w:r>
        <w:rPr>
          <w:sz w:val="18"/>
        </w:rPr>
        <w:tab/>
        <w:tab/>
        <w:t>Southern Cone Crude</w:t>
        <w:tab/>
        <w:tab/>
        <w:t>Joe Kishkill</w:t>
      </w:r>
    </w:p>
    <w:p>
      <w:pPr>
        <w:pStyle w:val="Department"/>
        <w:tabs>
          <w:tab w:val="left" w:pos="-2160" w:leader="none"/>
          <w:tab w:val="left" w:pos="630" w:leader="none"/>
          <w:tab w:val="left" w:pos="4320" w:leader="none"/>
          <w:tab w:val="left" w:pos="7290" w:leader="none"/>
        </w:tabs>
        <w:rPr>
          <w:sz w:val="18"/>
        </w:rPr>
      </w:pPr>
      <w:r>
        <w:rPr>
          <w:sz w:val="18"/>
        </w:rPr>
        <w:tab/>
        <w:t>Louise Kitchen   __________(initial)</w:t>
        <w:tab/>
        <w:t>North American Electricity</w:t>
        <w:tab/>
        <w:tab/>
        <w:t xml:space="preserve">Kevin Presto/Tim Belden </w:t>
      </w:r>
    </w:p>
    <w:p>
      <w:pPr>
        <w:pStyle w:val="Department"/>
        <w:tabs>
          <w:tab w:val="left" w:pos="-2160" w:leader="none"/>
          <w:tab w:val="left" w:pos="630" w:leader="none"/>
          <w:tab w:val="left" w:pos="4320" w:leader="none"/>
          <w:tab w:val="left" w:pos="7290" w:leader="none"/>
        </w:tabs>
        <w:rPr>
          <w:sz w:val="18"/>
        </w:rPr>
      </w:pPr>
      <w:r>
        <w:rPr>
          <w:sz w:val="18"/>
        </w:rPr>
      </w:r>
    </w:p>
    <w:p>
      <w:pPr>
        <w:pStyle w:val="Department"/>
        <w:tabs>
          <w:tab w:val="left" w:pos="-2160" w:leader="none"/>
          <w:tab w:val="left" w:pos="630" w:leader="none"/>
          <w:tab w:val="left" w:pos="4320" w:leader="none"/>
          <w:tab w:val="left" w:pos="7290" w:leader="none"/>
        </w:tabs>
        <w:rPr>
          <w:sz w:val="18"/>
        </w:rPr>
      </w:pPr>
      <w:r>
        <w:rPr>
          <w:sz w:val="18"/>
        </w:rPr>
        <w:tab/>
        <w:tab/>
        <w:tab/>
        <w:tab/>
        <w:t xml:space="preserve">       </w:t>
        <w:tab/>
        <w:tab/>
      </w:r>
    </w:p>
    <w:p>
      <w:pPr>
        <w:pStyle w:val="Department"/>
        <w:tabs>
          <w:tab w:val="left" w:pos="-2160" w:leader="none"/>
          <w:tab w:val="left" w:pos="630" w:leader="none"/>
          <w:tab w:val="left" w:pos="4320" w:leader="none"/>
          <w:tab w:val="left" w:pos="7290" w:leader="none"/>
        </w:tabs>
        <w:rPr/>
      </w:pPr>
      <w:r>
        <w:rPr>
          <w:sz w:val="18"/>
        </w:rPr>
        <w:tab/>
      </w:r>
      <w:r>
        <w:rPr>
          <w:b/>
          <w:sz w:val="18"/>
          <w:u w:val="single"/>
        </w:rPr>
        <w:t>Enron Europe and Industrial Markets</w:t>
      </w:r>
      <w:r>
        <w:rPr>
          <w:sz w:val="18"/>
        </w:rPr>
        <w:tab/>
      </w:r>
    </w:p>
    <w:p>
      <w:pPr>
        <w:pStyle w:val="Department"/>
        <w:tabs>
          <w:tab w:val="left" w:pos="-2160" w:leader="none"/>
          <w:tab w:val="left" w:pos="630" w:leader="none"/>
          <w:tab w:val="left" w:pos="4320" w:leader="none"/>
          <w:tab w:val="left" w:pos="7290" w:leader="none"/>
        </w:tabs>
        <w:rPr>
          <w:sz w:val="18"/>
        </w:rPr>
      </w:pPr>
      <w:r>
        <w:rPr>
          <w:sz w:val="18"/>
        </w:rPr>
        <w:tab/>
        <w:t>John Sherriff     __________(initial)</w:t>
        <w:tab/>
        <w:t>European Natural Gas</w:t>
        <w:tab/>
        <w:tab/>
        <w:t>Richard Lewis</w:t>
      </w:r>
    </w:p>
    <w:p>
      <w:pPr>
        <w:pStyle w:val="Department"/>
        <w:tabs>
          <w:tab w:val="left" w:pos="-2160" w:leader="none"/>
          <w:tab w:val="left" w:pos="630" w:leader="none"/>
          <w:tab w:val="left" w:pos="4320" w:leader="none"/>
          <w:tab w:val="left" w:pos="7290" w:leader="none"/>
        </w:tabs>
        <w:rPr>
          <w:sz w:val="18"/>
        </w:rPr>
      </w:pPr>
      <w:r>
        <w:rPr>
          <w:sz w:val="18"/>
        </w:rPr>
        <w:tab/>
        <w:tab/>
        <w:t>UK Electricity</w:t>
        <w:tab/>
        <w:tab/>
        <w:t>Richard Lewis</w:t>
      </w:r>
    </w:p>
    <w:p>
      <w:pPr>
        <w:pStyle w:val="Department"/>
        <w:tabs>
          <w:tab w:val="left" w:pos="-2160" w:leader="none"/>
          <w:tab w:val="left" w:pos="630" w:leader="none"/>
          <w:tab w:val="left" w:pos="4320" w:leader="none"/>
          <w:tab w:val="left" w:pos="7290" w:leader="none"/>
        </w:tabs>
        <w:rPr>
          <w:sz w:val="18"/>
        </w:rPr>
      </w:pPr>
      <w:r>
        <w:rPr>
          <w:sz w:val="18"/>
        </w:rPr>
        <w:tab/>
        <w:tab/>
        <w:t>Nordic Electricity</w:t>
        <w:tab/>
        <w:tab/>
        <w:t>Thor Lien</w:t>
      </w:r>
    </w:p>
    <w:p>
      <w:pPr>
        <w:pStyle w:val="Department"/>
        <w:tabs>
          <w:tab w:val="left" w:pos="-2160" w:leader="none"/>
          <w:tab w:val="left" w:pos="630" w:leader="none"/>
          <w:tab w:val="left" w:pos="4320" w:leader="none"/>
          <w:tab w:val="left" w:pos="7290" w:leader="none"/>
        </w:tabs>
        <w:rPr>
          <w:sz w:val="18"/>
        </w:rPr>
      </w:pPr>
      <w:r>
        <w:rPr>
          <w:sz w:val="18"/>
        </w:rPr>
        <w:tab/>
        <w:tab/>
        <w:t>Continental Electricity</w:t>
        <w:tab/>
        <w:tab/>
        <w:t>Gregor Baumerich</w:t>
      </w:r>
    </w:p>
    <w:p>
      <w:pPr>
        <w:pStyle w:val="Department"/>
        <w:tabs>
          <w:tab w:val="left" w:pos="-2160" w:leader="none"/>
          <w:tab w:val="left" w:pos="630" w:leader="none"/>
          <w:tab w:val="left" w:pos="4320" w:leader="none"/>
          <w:tab w:val="left" w:pos="7290" w:leader="none"/>
        </w:tabs>
        <w:rPr>
          <w:sz w:val="18"/>
        </w:rPr>
      </w:pPr>
      <w:r>
        <w:rPr>
          <w:sz w:val="18"/>
        </w:rPr>
        <w:tab/>
        <w:tab/>
        <w:t>Australian Electricity</w:t>
        <w:tab/>
        <w:tab/>
        <w:t>Paul Quilkey</w:t>
      </w:r>
    </w:p>
    <w:p>
      <w:pPr>
        <w:pStyle w:val="Department"/>
        <w:tabs>
          <w:tab w:val="left" w:pos="-2160" w:leader="none"/>
          <w:tab w:val="left" w:pos="630" w:leader="none"/>
          <w:tab w:val="left" w:pos="4320" w:leader="none"/>
          <w:tab w:val="left" w:pos="7290" w:leader="none"/>
        </w:tabs>
        <w:rPr>
          <w:sz w:val="18"/>
        </w:rPr>
      </w:pPr>
      <w:r>
        <w:rPr>
          <w:sz w:val="18"/>
        </w:rPr>
        <w:tab/>
        <w:tab/>
        <w:t>Japanese Electricity</w:t>
        <w:tab/>
        <w:tab/>
        <w:t>Joe Hirl</w:t>
      </w:r>
    </w:p>
    <w:p>
      <w:pPr>
        <w:pStyle w:val="Department"/>
        <w:tabs>
          <w:tab w:val="left" w:pos="-2160" w:leader="none"/>
          <w:tab w:val="left" w:pos="630" w:leader="none"/>
          <w:tab w:val="left" w:pos="4320" w:leader="none"/>
          <w:tab w:val="left" w:pos="7290" w:leader="none"/>
        </w:tabs>
        <w:rPr>
          <w:sz w:val="18"/>
        </w:rPr>
      </w:pPr>
      <w:r>
        <w:rPr>
          <w:sz w:val="18"/>
        </w:rPr>
        <w:tab/>
        <w:tab/>
        <w:t>Enron Credit/Debt Trading</w:t>
        <w:tab/>
        <w:tab/>
        <w:t>Bryan Seyfried/Jeff Kinneman</w:t>
      </w:r>
    </w:p>
    <w:p>
      <w:pPr>
        <w:pStyle w:val="Department"/>
        <w:tabs>
          <w:tab w:val="left" w:pos="-2160" w:leader="none"/>
          <w:tab w:val="left" w:pos="630" w:leader="none"/>
          <w:tab w:val="left" w:pos="4320" w:leader="none"/>
          <w:tab w:val="left" w:pos="7290" w:leader="none"/>
        </w:tabs>
        <w:rPr>
          <w:sz w:val="18"/>
        </w:rPr>
      </w:pPr>
      <w:r>
        <w:rPr>
          <w:sz w:val="18"/>
        </w:rPr>
        <w:tab/>
        <w:tab/>
        <w:t>Metals &amp; Minerals</w:t>
        <w:tab/>
        <w:tab/>
        <w:t>Joe Gold</w:t>
      </w:r>
    </w:p>
    <w:p>
      <w:pPr>
        <w:pStyle w:val="Department"/>
        <w:tabs>
          <w:tab w:val="left" w:pos="-2160" w:leader="none"/>
          <w:tab w:val="left" w:pos="630" w:leader="none"/>
          <w:tab w:val="left" w:pos="4320" w:leader="none"/>
          <w:tab w:val="left" w:pos="7290" w:leader="none"/>
        </w:tabs>
        <w:rPr>
          <w:sz w:val="18"/>
        </w:rPr>
      </w:pPr>
      <w:r>
        <w:rPr>
          <w:sz w:val="18"/>
        </w:rPr>
      </w:r>
    </w:p>
    <w:p>
      <w:pPr>
        <w:pStyle w:val="Department"/>
        <w:tabs>
          <w:tab w:val="left" w:pos="-2160" w:leader="none"/>
          <w:tab w:val="left" w:pos="630" w:leader="none"/>
          <w:tab w:val="left" w:pos="4320" w:leader="none"/>
          <w:tab w:val="left" w:pos="7290" w:leader="none"/>
        </w:tabs>
        <w:rPr/>
      </w:pPr>
      <w:r>
        <w:rPr>
          <w:sz w:val="18"/>
        </w:rPr>
        <w:tab/>
      </w:r>
      <w:r>
        <w:rPr>
          <w:b/>
          <w:sz w:val="18"/>
          <w:u w:val="single"/>
        </w:rPr>
        <w:t xml:space="preserve">Enron Industrial Markets </w:t>
      </w:r>
    </w:p>
    <w:p>
      <w:pPr>
        <w:pStyle w:val="Department"/>
        <w:tabs>
          <w:tab w:val="left" w:pos="-2160" w:leader="none"/>
          <w:tab w:val="left" w:pos="630" w:leader="none"/>
          <w:tab w:val="left" w:pos="4320" w:leader="none"/>
          <w:tab w:val="left" w:pos="7290" w:leader="none"/>
        </w:tabs>
        <w:rPr>
          <w:sz w:val="18"/>
        </w:rPr>
      </w:pPr>
      <w:r>
        <w:rPr>
          <w:sz w:val="18"/>
        </w:rPr>
        <w:tab/>
        <w:t>Jeff McMahon   __________(initial)</w:t>
        <w:tab/>
        <w:t>Pulp &amp; Paper</w:t>
        <w:tab/>
        <w:tab/>
        <w:t>Bob Crane</w:t>
      </w:r>
    </w:p>
    <w:p>
      <w:pPr>
        <w:pStyle w:val="Department"/>
        <w:tabs>
          <w:tab w:val="left" w:pos="-2160" w:leader="none"/>
          <w:tab w:val="left" w:pos="630" w:leader="none"/>
          <w:tab w:val="left" w:pos="3780" w:leader="none"/>
          <w:tab w:val="left" w:pos="4320" w:leader="none"/>
          <w:tab w:val="left" w:pos="7290" w:leader="none"/>
        </w:tabs>
        <w:rPr>
          <w:sz w:val="18"/>
        </w:rPr>
      </w:pPr>
      <w:r>
        <w:rPr>
          <w:sz w:val="18"/>
        </w:rPr>
        <w:tab/>
        <w:tab/>
        <w:tab/>
        <w:t>Lumber</w:t>
        <w:tab/>
        <w:tab/>
        <w:t>Bob Crane</w:t>
      </w:r>
    </w:p>
    <w:p>
      <w:pPr>
        <w:pStyle w:val="Department"/>
        <w:tabs>
          <w:tab w:val="left" w:pos="-2160" w:leader="none"/>
          <w:tab w:val="left" w:pos="630" w:leader="none"/>
          <w:tab w:val="left" w:pos="4320" w:leader="none"/>
          <w:tab w:val="left" w:pos="7290" w:leader="none"/>
        </w:tabs>
        <w:rPr>
          <w:sz w:val="18"/>
        </w:rPr>
      </w:pPr>
      <w:r>
        <w:rPr>
          <w:sz w:val="18"/>
        </w:rPr>
        <w:tab/>
        <w:tab/>
        <w:t>Steel</w:t>
        <w:tab/>
        <w:tab/>
        <w:t>Greg Hermans</w:t>
        <w:tab/>
      </w:r>
    </w:p>
    <w:p>
      <w:pPr>
        <w:pStyle w:val="Department"/>
        <w:tabs>
          <w:tab w:val="left" w:pos="-2160" w:leader="none"/>
          <w:tab w:val="left" w:pos="630" w:leader="none"/>
          <w:tab w:val="left" w:pos="4320" w:leader="none"/>
          <w:tab w:val="left" w:pos="7290" w:leader="none"/>
        </w:tabs>
        <w:rPr>
          <w:sz w:val="18"/>
        </w:rPr>
      </w:pPr>
      <w:r>
        <w:rPr>
          <w:sz w:val="18"/>
        </w:rPr>
      </w:r>
    </w:p>
    <w:p>
      <w:pPr>
        <w:pStyle w:val="Department"/>
        <w:tabs>
          <w:tab w:val="left" w:pos="-2160" w:leader="none"/>
          <w:tab w:val="left" w:pos="630" w:leader="none"/>
          <w:tab w:val="left" w:pos="4320" w:leader="none"/>
          <w:tab w:val="left" w:pos="7290" w:leader="none"/>
        </w:tabs>
        <w:rPr/>
      </w:pPr>
      <w:r>
        <w:rPr/>
        <w:tab/>
      </w:r>
      <w:r>
        <w:rPr>
          <w:b/>
          <w:sz w:val="18"/>
          <w:u w:val="single"/>
        </w:rPr>
        <w:t>Global Markets</w:t>
      </w:r>
      <w:r>
        <w:rPr>
          <w:sz w:val="18"/>
        </w:rPr>
        <w:tab/>
      </w:r>
    </w:p>
    <w:p>
      <w:pPr>
        <w:pStyle w:val="Department"/>
        <w:tabs>
          <w:tab w:val="left" w:pos="-2160" w:leader="none"/>
          <w:tab w:val="left" w:pos="630" w:leader="none"/>
          <w:tab w:val="left" w:pos="3780" w:leader="none"/>
          <w:tab w:val="left" w:pos="4320" w:leader="none"/>
          <w:tab w:val="left" w:pos="7290" w:leader="none"/>
        </w:tabs>
        <w:rPr>
          <w:sz w:val="18"/>
        </w:rPr>
      </w:pPr>
      <w:r>
        <w:rPr>
          <w:sz w:val="18"/>
        </w:rPr>
        <w:tab/>
        <w:t>Jeff Shankman   __________(initial)</w:t>
        <w:tab/>
        <w:tab/>
        <w:t>Global Products</w:t>
        <w:tab/>
        <w:tab/>
        <w:t>John Nowlan</w:t>
      </w:r>
    </w:p>
    <w:p>
      <w:pPr>
        <w:pStyle w:val="Department"/>
        <w:tabs>
          <w:tab w:val="left" w:pos="-2160" w:leader="none"/>
          <w:tab w:val="left" w:pos="630" w:leader="none"/>
          <w:tab w:val="left" w:pos="3780" w:leader="none"/>
          <w:tab w:val="left" w:pos="4320" w:leader="none"/>
          <w:tab w:val="left" w:pos="7290" w:leader="none"/>
        </w:tabs>
        <w:rPr>
          <w:sz w:val="18"/>
        </w:rPr>
      </w:pPr>
      <w:r>
        <w:rPr>
          <w:sz w:val="18"/>
        </w:rPr>
        <w:tab/>
        <w:tab/>
        <w:tab/>
        <w:t xml:space="preserve">EOL Crude Trading </w:t>
        <w:tab/>
        <w:tab/>
        <w:t>Bill White</w:t>
      </w:r>
    </w:p>
    <w:p>
      <w:pPr>
        <w:pStyle w:val="Department"/>
        <w:tabs>
          <w:tab w:val="left" w:pos="-2160" w:leader="none"/>
          <w:tab w:val="left" w:pos="630" w:leader="none"/>
          <w:tab w:val="left" w:pos="4320" w:leader="none"/>
          <w:tab w:val="left" w:pos="7290" w:leader="none"/>
        </w:tabs>
        <w:rPr>
          <w:sz w:val="18"/>
        </w:rPr>
      </w:pPr>
      <w:r>
        <w:rPr>
          <w:sz w:val="18"/>
        </w:rPr>
        <w:tab/>
        <w:tab/>
        <w:t>Coal &amp; Freight</w:t>
        <w:tab/>
        <w:tab/>
        <w:t xml:space="preserve">George McClellan </w:t>
      </w:r>
    </w:p>
    <w:p>
      <w:pPr>
        <w:pStyle w:val="Department"/>
        <w:tabs>
          <w:tab w:val="left" w:pos="-2160" w:leader="none"/>
          <w:tab w:val="left" w:pos="630" w:leader="none"/>
          <w:tab w:val="left" w:pos="4320" w:leader="none"/>
          <w:tab w:val="left" w:pos="7290" w:leader="none"/>
        </w:tabs>
        <w:rPr>
          <w:sz w:val="18"/>
        </w:rPr>
      </w:pPr>
      <w:r>
        <w:rPr>
          <w:sz w:val="18"/>
        </w:rPr>
        <w:tab/>
        <w:tab/>
        <w:t>Emissions</w:t>
        <w:tab/>
        <w:tab/>
        <w:t xml:space="preserve">George McClellan </w:t>
      </w:r>
    </w:p>
    <w:p>
      <w:pPr>
        <w:pStyle w:val="Department"/>
        <w:tabs>
          <w:tab w:val="left" w:pos="-2160" w:leader="none"/>
          <w:tab w:val="left" w:pos="630" w:leader="none"/>
          <w:tab w:val="left" w:pos="4320" w:leader="none"/>
          <w:tab w:val="left" w:pos="7290" w:leader="none"/>
        </w:tabs>
        <w:rPr>
          <w:sz w:val="18"/>
        </w:rPr>
      </w:pPr>
      <w:r>
        <w:rPr>
          <w:sz w:val="18"/>
        </w:rPr>
        <w:tab/>
        <w:tab/>
        <w:t>Weather</w:t>
        <w:tab/>
        <w:tab/>
        <w:t>Mark Tawney</w:t>
      </w:r>
    </w:p>
    <w:p>
      <w:pPr>
        <w:pStyle w:val="Department"/>
        <w:tabs>
          <w:tab w:val="left" w:pos="-2160" w:leader="none"/>
          <w:tab w:val="left" w:pos="630" w:leader="none"/>
          <w:tab w:val="left" w:pos="4320" w:leader="none"/>
          <w:tab w:val="left" w:pos="7290" w:leader="none"/>
        </w:tabs>
        <w:rPr>
          <w:sz w:val="18"/>
        </w:rPr>
      </w:pPr>
      <w:r>
        <w:rPr>
          <w:sz w:val="18"/>
        </w:rPr>
        <w:tab/>
        <w:tab/>
        <w:t xml:space="preserve">Interest Rate, Foreign Currency </w:t>
        <w:tab/>
        <w:tab/>
        <w:t>Gary Hickerson</w:t>
        <w:tab/>
        <w:tab/>
      </w:r>
    </w:p>
    <w:p>
      <w:pPr>
        <w:pStyle w:val="Department"/>
        <w:tabs>
          <w:tab w:val="left" w:pos="-2160" w:leader="none"/>
          <w:tab w:val="left" w:pos="630" w:leader="none"/>
          <w:tab w:val="left" w:pos="4320" w:leader="none"/>
          <w:tab w:val="left" w:pos="7290" w:leader="none"/>
        </w:tabs>
        <w:rPr>
          <w:sz w:val="18"/>
        </w:rPr>
      </w:pPr>
      <w:r>
        <w:rPr>
          <w:sz w:val="18"/>
        </w:rPr>
        <w:tab/>
        <w:tab/>
        <w:t>Equity Trading</w:t>
        <w:tab/>
        <w:tab/>
        <w:t>Gary Hickerson</w:t>
      </w:r>
    </w:p>
    <w:p>
      <w:pPr>
        <w:pStyle w:val="Department"/>
        <w:tabs>
          <w:tab w:val="left" w:pos="-2160" w:leader="none"/>
          <w:tab w:val="left" w:pos="630" w:leader="none"/>
          <w:tab w:val="left" w:pos="4320" w:leader="none"/>
          <w:tab w:val="left" w:pos="7290" w:leader="none"/>
        </w:tabs>
        <w:rPr>
          <w:sz w:val="18"/>
        </w:rPr>
      </w:pPr>
      <w:r>
        <w:rPr>
          <w:sz w:val="18"/>
        </w:rPr>
        <w:tab/>
        <w:tab/>
        <w:t xml:space="preserve">Convertible Arbitrage </w:t>
        <w:tab/>
        <w:tab/>
        <w:t>Gary Hickerson</w:t>
      </w:r>
    </w:p>
    <w:p>
      <w:pPr>
        <w:pStyle w:val="Department"/>
        <w:tabs>
          <w:tab w:val="left" w:pos="-2160" w:leader="none"/>
          <w:tab w:val="left" w:pos="630" w:leader="none"/>
          <w:tab w:val="left" w:pos="4320" w:leader="none"/>
          <w:tab w:val="left" w:pos="7290" w:leader="none"/>
        </w:tabs>
        <w:rPr>
          <w:sz w:val="18"/>
        </w:rPr>
      </w:pPr>
      <w:r>
        <w:rPr>
          <w:sz w:val="18"/>
        </w:rPr>
        <w:tab/>
        <w:tab/>
        <w:t xml:space="preserve">LNG </w:t>
        <w:tab/>
        <w:tab/>
        <w:t>Eric Gonzales</w:t>
      </w:r>
    </w:p>
    <w:p>
      <w:pPr>
        <w:pStyle w:val="Department"/>
        <w:tabs>
          <w:tab w:val="left" w:pos="-2160" w:leader="none"/>
          <w:tab w:val="left" w:pos="630" w:leader="none"/>
          <w:tab w:val="left" w:pos="4320" w:leader="none"/>
          <w:tab w:val="left" w:pos="7290" w:leader="none"/>
        </w:tabs>
        <w:rPr>
          <w:sz w:val="18"/>
        </w:rPr>
      </w:pPr>
      <w:r>
        <w:rPr>
          <w:sz w:val="18"/>
        </w:rPr>
        <w:tab/>
        <w:tab/>
        <w:t xml:space="preserve">Agriculture </w:t>
        <w:tab/>
        <w:tab/>
        <w:t>Gary Hickerson</w:t>
      </w:r>
    </w:p>
    <w:p>
      <w:pPr>
        <w:pStyle w:val="Department"/>
        <w:tabs>
          <w:tab w:val="left" w:pos="-2160" w:leader="none"/>
          <w:tab w:val="left" w:pos="630" w:leader="none"/>
          <w:tab w:val="left" w:pos="4320" w:leader="none"/>
          <w:tab w:val="left" w:pos="7290" w:leader="none"/>
        </w:tabs>
        <w:rPr>
          <w:sz w:val="18"/>
        </w:rPr>
      </w:pPr>
      <w:r>
        <w:rPr>
          <w:sz w:val="18"/>
        </w:rPr>
        <w:tab/>
        <w:tab/>
        <w:t xml:space="preserve">Livestock </w:t>
        <w:tab/>
        <w:tab/>
        <w:t>Gary Hickerson</w:t>
      </w:r>
    </w:p>
    <w:p>
      <w:pPr>
        <w:pStyle w:val="Department"/>
        <w:tabs>
          <w:tab w:val="left" w:pos="-2160" w:leader="none"/>
          <w:tab w:val="left" w:pos="630" w:leader="none"/>
          <w:tab w:val="left" w:pos="4320" w:leader="none"/>
          <w:tab w:val="left" w:pos="7290" w:leader="none"/>
        </w:tabs>
        <w:rPr>
          <w:sz w:val="18"/>
        </w:rPr>
      </w:pPr>
      <w:r>
        <w:rPr>
          <w:sz w:val="18"/>
        </w:rPr>
        <w:tab/>
        <w:tab/>
        <w:t>Soft Commodities</w:t>
        <w:tab/>
        <w:tab/>
        <w:t>Gary Hickerson</w:t>
      </w:r>
    </w:p>
    <w:p>
      <w:pPr>
        <w:pStyle w:val="Department"/>
        <w:tabs>
          <w:tab w:val="left" w:pos="-2160" w:leader="none"/>
          <w:tab w:val="left" w:pos="630" w:leader="none"/>
          <w:tab w:val="left" w:pos="4320" w:leader="none"/>
          <w:tab w:val="left" w:pos="7290" w:leader="none"/>
        </w:tabs>
        <w:rPr>
          <w:sz w:val="18"/>
        </w:rPr>
      </w:pPr>
      <w:r>
        <w:rPr>
          <w:sz w:val="18"/>
        </w:rPr>
        <w:tab/>
        <w:tab/>
        <w:tab/>
        <w:tab/>
        <w:tab/>
      </w:r>
    </w:p>
    <w:p>
      <w:pPr>
        <w:pStyle w:val="Department"/>
        <w:tabs>
          <w:tab w:val="left" w:pos="630" w:leader="none"/>
          <w:tab w:val="left" w:pos="1080" w:leader="none"/>
          <w:tab w:val="left" w:pos="3780" w:leader="none"/>
          <w:tab w:val="left" w:pos="7110" w:leader="none"/>
          <w:tab w:val="left" w:pos="7290" w:leader="none"/>
        </w:tabs>
        <w:rPr>
          <w:sz w:val="16"/>
        </w:rPr>
      </w:pPr>
      <w:r>
        <w:rPr>
          <w:sz w:val="18"/>
        </w:rPr>
        <w:tab/>
      </w:r>
    </w:p>
    <w:p>
      <w:pPr>
        <w:pStyle w:val="Department"/>
        <w:tabs>
          <w:tab w:val="left" w:pos="630" w:leader="none"/>
          <w:tab w:val="left" w:pos="1080" w:leader="none"/>
          <w:tab w:val="left" w:pos="3780" w:leader="none"/>
          <w:tab w:val="left" w:pos="7110" w:leader="none"/>
          <w:tab w:val="left" w:pos="7290" w:leader="none"/>
        </w:tabs>
        <w:rPr>
          <w:sz w:val="18"/>
        </w:rPr>
      </w:pPr>
      <w:r>
        <w:rPr>
          <w:sz w:val="18"/>
        </w:rPr>
      </w:r>
    </w:p>
    <w:p>
      <w:pPr>
        <w:pStyle w:val="Department"/>
        <w:tabs>
          <w:tab w:val="left" w:pos="630" w:leader="none"/>
          <w:tab w:val="left" w:pos="3780" w:leader="none"/>
          <w:tab w:val="left" w:pos="7110" w:leader="none"/>
          <w:tab w:val="left" w:pos="7290" w:leader="none"/>
        </w:tabs>
        <w:rPr>
          <w:sz w:val="18"/>
        </w:rPr>
      </w:pPr>
      <w:r>
        <w:rPr>
          <w:sz w:val="18"/>
        </w:rPr>
      </w:r>
    </w:p>
    <w:p>
      <w:pPr>
        <w:pStyle w:val="Department"/>
        <w:tabs>
          <w:tab w:val="left" w:pos="630" w:leader="none"/>
          <w:tab w:val="left" w:pos="3780" w:leader="none"/>
          <w:tab w:val="left" w:pos="7110" w:leader="none"/>
          <w:tab w:val="left" w:pos="7290" w:leader="none"/>
        </w:tabs>
        <w:rPr>
          <w:sz w:val="18"/>
        </w:rPr>
      </w:pPr>
      <w:r>
        <w:rPr>
          <w:sz w:val="18"/>
        </w:rPr>
      </w:r>
    </w:p>
    <w:p>
      <w:pPr>
        <w:pStyle w:val="Department"/>
        <w:tabs>
          <w:tab w:val="left" w:pos="630" w:leader="none"/>
          <w:tab w:val="left" w:pos="3780" w:leader="none"/>
          <w:tab w:val="left" w:pos="7110" w:leader="none"/>
          <w:tab w:val="left" w:pos="7290" w:leader="none"/>
        </w:tabs>
        <w:rPr>
          <w:sz w:val="18"/>
        </w:rPr>
      </w:pPr>
      <w:r>
        <w:rPr>
          <w:sz w:val="18"/>
        </w:rPr>
      </w:r>
    </w:p>
    <w:p>
      <w:pPr>
        <w:pStyle w:val="Department"/>
        <w:tabs>
          <w:tab w:val="left" w:pos="1080" w:leader="none"/>
          <w:tab w:val="left" w:pos="3780" w:leader="none"/>
          <w:tab w:val="left" w:pos="7110" w:leader="none"/>
          <w:tab w:val="left" w:pos="7290" w:leader="none"/>
        </w:tabs>
        <w:ind w:start="630" w:end="0"/>
        <w:rPr/>
      </w:pPr>
      <w:r>
        <w:rPr>
          <w:sz w:val="18"/>
        </w:rPr>
        <w:t xml:space="preserve">Approved:  </w:t>
      </w:r>
      <w:r>
        <w:rPr>
          <w:sz w:val="18"/>
          <w:u w:val="single"/>
        </w:rPr>
        <w:t xml:space="preserve">_____________________________________  </w:t>
        <w:tab/>
      </w:r>
      <w:r>
        <w:rPr>
          <w:sz w:val="18"/>
        </w:rPr>
        <w:tab/>
        <w:tab/>
        <w:t>Date: ________</w:t>
        <w:tab/>
        <w:tab/>
        <w:tab/>
        <w:tab/>
        <w:t xml:space="preserve">                           </w:t>
      </w:r>
    </w:p>
    <w:p>
      <w:pPr>
        <w:pStyle w:val="Department"/>
        <w:tabs>
          <w:tab w:val="left" w:pos="630" w:leader="none"/>
          <w:tab w:val="left" w:pos="1080" w:leader="none"/>
          <w:tab w:val="left" w:pos="3780" w:leader="none"/>
          <w:tab w:val="left" w:pos="7110" w:leader="none"/>
          <w:tab w:val="left" w:pos="7290" w:leader="none"/>
        </w:tabs>
        <w:rPr>
          <w:sz w:val="18"/>
        </w:rPr>
      </w:pPr>
      <w:r>
        <w:rPr>
          <w:rFonts w:eastAsia="Arial"/>
          <w:sz w:val="18"/>
        </w:rPr>
        <w:t xml:space="preserve">      </w:t>
      </w:r>
      <w:r>
        <w:rPr>
          <w:sz w:val="18"/>
        </w:rPr>
        <w:tab/>
        <w:t xml:space="preserve">                      Rick Buy, Enron Corp. Executive Vice President &amp; Chief Risk Officer</w:t>
      </w:r>
    </w:p>
    <w:sectPr>
      <w:headerReference w:type="default" r:id="rId3"/>
      <w:headerReference w:type="first" r:id="rId4"/>
      <w:footerReference w:type="default" r:id="rId5"/>
      <w:footerReference w:type="first" r:id="rId6"/>
      <w:type w:val="nextPage"/>
      <w:pgSz w:w="12240" w:h="15840"/>
      <w:pgMar w:left="360" w:right="274" w:gutter="0" w:header="720" w:top="776" w:footer="346" w:bottom="40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p>
    <w:pPr>
      <w:pStyle w:val="Footer"/>
      <w:tabs>
        <w:tab w:val="clear" w:pos="4320"/>
        <w:tab w:val="left" w:pos="3780" w:leader="none"/>
        <w:tab w:val="center" w:pos="7560" w:leader="none"/>
        <w:tab w:val="right" w:pos="8640" w:leader="none"/>
      </w:tabs>
      <w:rPr>
        <w:sz w:val="14"/>
      </w:rPr>
    </w:pPr>
    <w:r>
      <w:rPr>
        <w:sz w:val="14"/>
      </w:rPr>
      <w:t>lavorato_sherriffauth.doc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6"/>
      </w:rPr>
    </w:pPr>
    <w:r>
      <w:rPr>
        <w:rFonts w:eastAsia="Arial"/>
        <w:b/>
        <w:sz w:val="16"/>
      </w:rPr>
      <w:t xml:space="preserve">     </w:t>
    </w:r>
    <w:r>
      <w:rPr>
        <w:b/>
        <w:sz w:val="16"/>
      </w:rPr>
      <w:t>Respect</w:t>
      <w:tab/>
      <w:t xml:space="preserve">            Integrity</w:t>
      <w:tab/>
      <w:t xml:space="preserve">               Communication</w:t>
      <w:tab/>
      <w:t xml:space="preserve">                                                            Excellence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2001-04-09T11:06:00Z</dcterms:created>
  <dc:creator>Jeff Ford</dc:creator>
  <dc:description/>
  <dc:language>en-CA</dc:language>
  <cp:lastModifiedBy>vvaldez</cp:lastModifiedBy>
  <cp:lastPrinted>2001-01-29T18:31:00Z</cp:lastPrinted>
  <dcterms:modified xsi:type="dcterms:W3CDTF">2001-04-09T11:24:00Z</dcterms:modified>
  <cp:revision>3</cp:revision>
  <dc:subject>Authorized Traders_</dc:subject>
  <dc:title>Eron Capital &amp; Trade Resources Memo</dc:title>
</cp:coreProperties>
</file>