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Wholesale Services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Spend and Approval Guidelines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Effective June 18, 2001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80"/>
        <w:gridCol w:w="3060"/>
      </w:tblGrid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EWS Job Title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Spend and Approval Limit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Contractor, Specialist, Senior Specialist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Senior Administrative Assistant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 to $250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Executive Assistant, Executive Coordinator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 to $500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 to $5000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 to $25,000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Senior Director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 to $50,000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 to $100,000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Vice President Exceptions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 to $250,000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Managing Director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 to $1,000,000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Office of the Chair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 to $5,000,000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Purchasing Review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 IT Equipment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Spend limit:</w:t>
      </w:r>
      <w:r>
        <w:rPr>
          <w:rFonts w:cs="Arial" w:ascii="Arial" w:hAnsi="Arial"/>
          <w:sz w:val="20"/>
        </w:rPr>
        <w:t xml:space="preserve">  Defines the amount that each Job Title can spend without additional approval.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Approval limit:</w:t>
      </w:r>
      <w:r>
        <w:rPr>
          <w:rFonts w:cs="Arial" w:ascii="Arial" w:hAnsi="Arial"/>
          <w:sz w:val="20"/>
        </w:rPr>
        <w:t xml:space="preserve">  Defines the authority that each Job Title has to approve the purchases of others.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Example #1:</w:t>
      </w:r>
      <w:r>
        <w:rPr>
          <w:rFonts w:cs="Arial" w:ascii="Arial" w:hAnsi="Arial"/>
          <w:sz w:val="20"/>
        </w:rPr>
        <w:t xml:space="preserve">  Contractor, Specialist, and Senior Specialist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Able to initiate purchases.  All purchase requests require additional approval.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Example #2:</w:t>
      </w:r>
      <w:r>
        <w:rPr>
          <w:rFonts w:cs="Arial" w:ascii="Arial" w:hAnsi="Arial"/>
          <w:sz w:val="20"/>
        </w:rPr>
        <w:t xml:space="preserve">  Senior Director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Able to purchase up to $50,000 without approval.  Purchase requests exceeding this value require additional approval.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Able to approve the purchase requests of others up to $50,000.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/>
      </w:pPr>
      <w:r>
        <w:rPr>
          <w:b/>
          <w:bCs/>
        </w:rPr>
        <w:t>Purchasing Review:</w:t>
      </w:r>
      <w:r>
        <w:rPr/>
        <w:t xml:space="preserve">  In addition to any required monetary approval, all IT equipment purchase requests require additional review to ensure that the request is aligned with Enron’s IT strategy and standards.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 xml:space="preserve">Contact </w:t>
      </w:r>
      <w:r>
        <w:rPr>
          <w:rFonts w:cs="Arial" w:ascii="Arial" w:hAnsi="Arial"/>
          <w:b/>
          <w:bCs/>
          <w:sz w:val="20"/>
        </w:rPr>
        <w:t>Tammy R. Shepperd</w:t>
      </w:r>
      <w:r>
        <w:rPr>
          <w:rFonts w:cs="Arial" w:ascii="Arial" w:hAnsi="Arial"/>
          <w:sz w:val="20"/>
        </w:rPr>
        <w:t xml:space="preserve"> at 713-853-6589 for any questions regarding these guidelines.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435"/>
        </w:tabs>
        <w:ind w:start="435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Cs w:val="20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2"/>
      <w:szCs w:val="20"/>
    </w:rPr>
  </w:style>
  <w:style w:type="paragraph" w:styleId="BodyText">
    <w:name w:val="Body Text"/>
    <w:basedOn w:val="Normal"/>
    <w:pPr/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2001-06-18T11:19:00Z</dcterms:created>
  <dc:creator>Enron Wholesale Services</dc:creator>
  <dc:description/>
  <dc:language>en-CA</dc:language>
  <cp:lastModifiedBy>arobert4</cp:lastModifiedBy>
  <cp:lastPrinted>2001-06-18T09:25:00Z</cp:lastPrinted>
  <dcterms:modified xsi:type="dcterms:W3CDTF">2001-06-18T14:06:00Z</dcterms:modified>
  <cp:revision>16</cp:revision>
  <dc:subject/>
  <dc:title>Enron Wholesale Services</dc:title>
</cp:coreProperties>
</file>