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4229100</wp:posOffset>
            </wp:positionH>
            <wp:positionV relativeFrom="paragraph">
              <wp:posOffset>-457200</wp:posOffset>
            </wp:positionV>
            <wp:extent cx="2514600" cy="41592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55" r="-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FF0000"/>
        </w:rPr>
        <w:t xml:space="preserve">experience </w:t>
      </w:r>
      <w:r>
        <w:rPr>
          <w:b/>
          <w:bCs/>
          <w:color w:val="FF0000"/>
        </w:rPr>
        <w:t>ENRON</w:t>
      </w:r>
      <w:r>
        <w:rPr>
          <w:b/>
          <w:bCs/>
        </w:rPr>
        <w:t xml:space="preserve"> Summary for EWS  Third Quarter 2001</w:t>
      </w:r>
    </w:p>
    <w:p>
      <w:pPr>
        <w:pStyle w:val="Normal"/>
        <w:rPr>
          <w:b/>
          <w:bCs/>
        </w:rPr>
      </w:pPr>
      <w:r>
        <w:rPr>
          <w:b/>
          <w:bCs/>
        </w:rPr>
        <w:t>October 16, 2001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</w:r>
    </w:p>
    <w:p>
      <w:pPr>
        <w:pStyle w:val="Heading2"/>
        <w:tabs>
          <w:tab w:val="clear" w:pos="720"/>
          <w:tab w:val="left" w:pos="3240" w:leader="none"/>
        </w:tabs>
        <w:ind w:hanging="0" w:start="0"/>
        <w:rPr>
          <w:sz w:val="24"/>
        </w:rPr>
      </w:pPr>
      <w:r>
        <w:rPr>
          <w:sz w:val="24"/>
        </w:rPr>
        <w:t>Q3 2001</w:t>
        <w:tab/>
        <w:t>Q2 2001</w:t>
        <w:tab/>
        <w:tab/>
        <w:tab/>
        <w:tab/>
        <w:t>Q1 2001</w:t>
        <w:tab/>
        <w:tab/>
        <w:tab/>
      </w:r>
    </w:p>
    <w:tbl>
      <w:tblPr>
        <w:tblpPr w:vertAnchor="text" w:horzAnchor="margin" w:rightFromText="180" w:tblpX="5" w:tblpY="170"/>
        <w:tblW w:w="935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921"/>
        <w:gridCol w:w="1059"/>
        <w:gridCol w:w="239"/>
        <w:gridCol w:w="1066"/>
        <w:gridCol w:w="896"/>
        <w:gridCol w:w="1084"/>
        <w:gridCol w:w="239"/>
        <w:gridCol w:w="990"/>
        <w:gridCol w:w="897"/>
        <w:gridCol w:w="954"/>
      </w:tblGrid>
      <w:tr>
        <w:trPr/>
        <w:tc>
          <w:tcPr>
            <w:tcW w:w="1008" w:type="dxa"/>
            <w:tcBorders>
              <w:top w:val="single" w:sz="12" w:space="0" w:color="008000"/>
              <w:start w:val="single" w:sz="4" w:space="0" w:color="000000"/>
              <w:bottom w:val="single" w:sz="6" w:space="0" w:color="008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EWS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Requests</w:t>
            </w:r>
          </w:p>
        </w:tc>
        <w:tc>
          <w:tcPr>
            <w:tcW w:w="921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EWS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Tactical</w:t>
            </w:r>
          </w:p>
        </w:tc>
        <w:tc>
          <w:tcPr>
            <w:tcW w:w="1059" w:type="dxa"/>
            <w:tcBorders>
              <w:top w:val="single" w:sz="12" w:space="0" w:color="008000"/>
              <w:bottom w:val="single" w:sz="6" w:space="0" w:color="008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EWS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Strategic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6" w:space="0" w:color="008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66" w:type="dxa"/>
            <w:tcBorders>
              <w:top w:val="single" w:sz="12" w:space="0" w:color="008000"/>
              <w:start w:val="single" w:sz="4" w:space="0" w:color="000000"/>
              <w:bottom w:val="single" w:sz="6" w:space="0" w:color="008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EWS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Total 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Requests</w:t>
            </w:r>
          </w:p>
        </w:tc>
        <w:tc>
          <w:tcPr>
            <w:tcW w:w="896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EWS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Tactical </w:t>
            </w:r>
          </w:p>
        </w:tc>
        <w:tc>
          <w:tcPr>
            <w:tcW w:w="1084" w:type="dxa"/>
            <w:tcBorders>
              <w:top w:val="single" w:sz="12" w:space="0" w:color="008000"/>
              <w:bottom w:val="single" w:sz="6" w:space="0" w:color="008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EWS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Strategic 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6" w:space="0" w:color="008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top w:val="single" w:sz="12" w:space="0" w:color="008000"/>
              <w:start w:val="single" w:sz="4" w:space="0" w:color="000000"/>
              <w:bottom w:val="single" w:sz="6" w:space="0" w:color="008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Requests</w:t>
            </w:r>
          </w:p>
        </w:tc>
        <w:tc>
          <w:tcPr>
            <w:tcW w:w="897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EWS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Tactical </w:t>
            </w:r>
          </w:p>
        </w:tc>
        <w:tc>
          <w:tcPr>
            <w:tcW w:w="954" w:type="dxa"/>
            <w:tcBorders>
              <w:top w:val="single" w:sz="12" w:space="0" w:color="008000"/>
              <w:bottom w:val="single" w:sz="6" w:space="0" w:color="008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EWS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Strategic </w:t>
            </w:r>
          </w:p>
        </w:tc>
      </w:tr>
      <w:tr>
        <w:trPr>
          <w:trHeight w:val="323" w:hRule="atLeast"/>
        </w:trPr>
        <w:tc>
          <w:tcPr>
            <w:tcW w:w="1008" w:type="dxa"/>
            <w:tcBorders>
              <w:top w:val="single" w:sz="6" w:space="0" w:color="008000"/>
              <w:start w:val="single" w:sz="4" w:space="0" w:color="000000"/>
              <w:bottom w:val="single" w:sz="12" w:space="0" w:color="008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921" w:type="dxa"/>
            <w:tcBorders>
              <w:top w:val="single" w:sz="6" w:space="0" w:color="008000"/>
              <w:bottom w:val="single" w:sz="12" w:space="0" w:color="008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59" w:type="dxa"/>
            <w:tcBorders>
              <w:top w:val="single" w:sz="6" w:space="0" w:color="008000"/>
              <w:bottom w:val="single" w:sz="12" w:space="0" w:color="008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39" w:type="dxa"/>
            <w:tcBorders>
              <w:top w:val="single" w:sz="6" w:space="0" w:color="008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066" w:type="dxa"/>
            <w:tcBorders>
              <w:top w:val="single" w:sz="6" w:space="0" w:color="008000"/>
              <w:start w:val="single" w:sz="4" w:space="0" w:color="000000"/>
              <w:bottom w:val="single" w:sz="12" w:space="0" w:color="008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33</w:t>
            </w:r>
          </w:p>
        </w:tc>
        <w:tc>
          <w:tcPr>
            <w:tcW w:w="896" w:type="dxa"/>
            <w:tcBorders>
              <w:top w:val="single" w:sz="6" w:space="0" w:color="008000"/>
              <w:bottom w:val="single" w:sz="12" w:space="0" w:color="008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84" w:type="dxa"/>
            <w:tcBorders>
              <w:top w:val="single" w:sz="6" w:space="0" w:color="008000"/>
              <w:bottom w:val="single" w:sz="12" w:space="0" w:color="008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39" w:type="dxa"/>
            <w:tcBorders>
              <w:top w:val="single" w:sz="6" w:space="0" w:color="008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0" w:type="dxa"/>
            <w:tcBorders>
              <w:top w:val="single" w:sz="6" w:space="0" w:color="008000"/>
              <w:start w:val="single" w:sz="4" w:space="0" w:color="000000"/>
              <w:bottom w:val="single" w:sz="12" w:space="0" w:color="008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897" w:type="dxa"/>
            <w:tcBorders>
              <w:top w:val="single" w:sz="6" w:space="0" w:color="008000"/>
              <w:bottom w:val="single" w:sz="12" w:space="0" w:color="008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54" w:type="dxa"/>
            <w:tcBorders>
              <w:top w:val="single" w:sz="6" w:space="0" w:color="008000"/>
              <w:bottom w:val="single" w:sz="12" w:space="0" w:color="008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/>
      <w:r>
        <w:rPr>
          <w:b/>
          <w:bCs/>
          <w:i/>
          <w:iCs/>
          <w:sz w:val="18"/>
        </w:rPr>
        <w:t>Tactical = Revenue Generating Visits (See detail page 2)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  <w:t>Strategic = Educational Visits (See detail page 3)</w:t>
      </w:r>
    </w:p>
    <w:p>
      <w:pPr>
        <w:pStyle w:val="Normal"/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Highlights: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  <w:bCs/>
          <w:i/>
          <w:iCs/>
          <w:color w:val="FF0000"/>
          <w:sz w:val="22"/>
        </w:rPr>
        <w:t>experience</w:t>
      </w:r>
      <w:r>
        <w:rPr>
          <w:b/>
          <w:bCs/>
          <w:color w:val="FF0000"/>
          <w:sz w:val="22"/>
        </w:rPr>
        <w:t>ENRON</w:t>
      </w:r>
      <w:r>
        <w:rPr>
          <w:sz w:val="22"/>
        </w:rPr>
        <w:t xml:space="preserve"> supported 63 visits in Q3 2001, (85 in Q201, 85 in Q101) of which 40 percent came from EWS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A total of 50 requests in third quarter (57 in Q2 2001 &amp; 48 in Q1 2001) came from Enron businesses to visit and understand the Enron gas trading.</w:t>
      </w:r>
    </w:p>
    <w:tbl>
      <w:tblPr>
        <w:tblW w:w="73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160"/>
        <w:gridCol w:w="2160"/>
      </w:tblGrid>
      <w:tr>
        <w:trPr>
          <w:trHeight w:val="368" w:hRule="atLeast"/>
        </w:trPr>
        <w:tc>
          <w:tcPr>
            <w:tcW w:w="2988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B.U. Requests to Visit Gas Trading</w:t>
            </w:r>
          </w:p>
        </w:tc>
        <w:tc>
          <w:tcPr>
            <w:tcW w:w="2160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 Requests by B.U.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Tactical Requests by B.U.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EWS Visits to Gas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 of 25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16 of 21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EES Visits to Gas</w:t>
            </w:r>
          </w:p>
        </w:tc>
        <w:tc>
          <w:tcPr>
            <w:tcW w:w="216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 of 17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7 of 13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EBS Visits to Gas</w:t>
            </w:r>
          </w:p>
        </w:tc>
        <w:tc>
          <w:tcPr>
            <w:tcW w:w="216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3 of  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3 of   3</w:t>
            </w:r>
          </w:p>
        </w:tc>
      </w:tr>
      <w:tr>
        <w:trPr>
          <w:trHeight w:val="530" w:hRule="atLeast"/>
        </w:trPr>
        <w:tc>
          <w:tcPr>
            <w:tcW w:w="2988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Corp Visits to Gas</w:t>
            </w:r>
          </w:p>
        </w:tc>
        <w:tc>
          <w:tcPr>
            <w:tcW w:w="216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 of 16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3  of 13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total of 14 requests in third quarter (20 in Q2 2001 &amp; 27 in Q1 2001) came from Enron businesses to visit and understand Enron power trading.</w:t>
      </w:r>
    </w:p>
    <w:tbl>
      <w:tblPr>
        <w:tblW w:w="73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160"/>
        <w:gridCol w:w="2160"/>
      </w:tblGrid>
      <w:tr>
        <w:trPr>
          <w:trHeight w:val="513" w:hRule="atLeast"/>
        </w:trPr>
        <w:tc>
          <w:tcPr>
            <w:tcW w:w="2988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B.U. Requests to Visit Power Trading</w:t>
            </w:r>
          </w:p>
        </w:tc>
        <w:tc>
          <w:tcPr>
            <w:tcW w:w="2160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 Requests by B.U.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Tactical Requests by B.U.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EWS Visits to Power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4 of 25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4 of 4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EES Visits to Power</w:t>
            </w:r>
          </w:p>
        </w:tc>
        <w:tc>
          <w:tcPr>
            <w:tcW w:w="216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10 of 17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1 of 10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EBS Visits to Power</w:t>
            </w:r>
          </w:p>
        </w:tc>
        <w:tc>
          <w:tcPr>
            <w:tcW w:w="216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0 of   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0 of  0</w:t>
            </w:r>
          </w:p>
        </w:tc>
      </w:tr>
      <w:tr>
        <w:trPr>
          <w:trHeight w:val="530" w:hRule="atLeast"/>
        </w:trPr>
        <w:tc>
          <w:tcPr>
            <w:tcW w:w="2988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Corp Visits to Power</w:t>
            </w:r>
          </w:p>
        </w:tc>
        <w:tc>
          <w:tcPr>
            <w:tcW w:w="216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0 of 16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0 of  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A total of 17 requests in third quarter (19 in Q2 2001) came from Enron businesses to visit and understand EnronOnline.</w:t>
      </w:r>
    </w:p>
    <w:tbl>
      <w:tblPr>
        <w:tblW w:w="73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160"/>
        <w:gridCol w:w="2160"/>
      </w:tblGrid>
      <w:tr>
        <w:trPr>
          <w:trHeight w:val="368" w:hRule="atLeast"/>
        </w:trPr>
        <w:tc>
          <w:tcPr>
            <w:tcW w:w="2988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B.U. Requests to Visit EOL Trading</w:t>
            </w:r>
          </w:p>
        </w:tc>
        <w:tc>
          <w:tcPr>
            <w:tcW w:w="2160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 Requests by B.U.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Tactical Requests by B.U.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EWS Visits to Power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10 of 25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7 of 10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EES Visits to Power</w:t>
            </w:r>
          </w:p>
        </w:tc>
        <w:tc>
          <w:tcPr>
            <w:tcW w:w="216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1 of 17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 of  1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EBS Visits to Power</w:t>
            </w:r>
          </w:p>
        </w:tc>
        <w:tc>
          <w:tcPr>
            <w:tcW w:w="216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4 of   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3 of  4</w:t>
            </w:r>
          </w:p>
        </w:tc>
      </w:tr>
      <w:tr>
        <w:trPr>
          <w:trHeight w:val="530" w:hRule="atLeast"/>
        </w:trPr>
        <w:tc>
          <w:tcPr>
            <w:tcW w:w="2988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Corp Visits to Power</w:t>
            </w:r>
          </w:p>
        </w:tc>
        <w:tc>
          <w:tcPr>
            <w:tcW w:w="2160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2 of 16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2 of  2</w:t>
            </w:r>
          </w:p>
        </w:tc>
      </w:tr>
    </w:tbl>
    <w:p>
      <w:pPr>
        <w:pStyle w:val="Heading4"/>
        <w:ind w:firstLine="720" w:start="720" w:end="0"/>
        <w:jc w:val="start"/>
        <w:rPr/>
      </w:pPr>
      <w:r>
        <w:rPr/>
      </w:r>
    </w:p>
    <w:p>
      <w:pPr>
        <w:pStyle w:val="Heading4"/>
        <w:ind w:firstLine="720" w:start="720" w:end="0"/>
        <w:jc w:val="start"/>
        <w:rPr/>
      </w:pPr>
      <w:r>
        <w:rPr/>
        <w:t>Q3 2001 EWS Tactical (Revenue-Generating) Visits</w:t>
      </w:r>
    </w:p>
    <w:p>
      <w:pPr>
        <w:pStyle w:val="Heading1"/>
        <w:ind w:hanging="0" w:start="-540" w:end="0"/>
        <w:rPr/>
      </w:pPr>
      <w:r>
        <w:rPr/>
        <w:t>Americas</w:t>
      </w:r>
    </w:p>
    <w:tbl>
      <w:tblPr>
        <w:tblW w:w="10440" w:type="dxa"/>
        <w:jc w:val="start"/>
        <w:tblInd w:w="-34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1440"/>
        <w:gridCol w:w="1080"/>
        <w:gridCol w:w="1734"/>
        <w:gridCol w:w="1734"/>
        <w:gridCol w:w="1146"/>
        <w:gridCol w:w="1866"/>
        <w:gridCol w:w="1440"/>
      </w:tblGrid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Prospect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Visit Date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Americas Division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Americas Host</w:t>
            </w:r>
          </w:p>
        </w:tc>
        <w:tc>
          <w:tcPr>
            <w:tcW w:w="1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9"/>
              <w:ind w:hanging="0" w:start="0"/>
              <w:rPr>
                <w:rFonts w:eastAsia="Arial Unicode MS"/>
              </w:rPr>
            </w:pPr>
            <w:r>
              <w:rPr/>
              <w:t xml:space="preserve">Product </w:t>
            </w:r>
          </w:p>
        </w:tc>
        <w:tc>
          <w:tcPr>
            <w:tcW w:w="1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Status as of 9/30/01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</w:rPr>
              <w:t>Est. Close</w:t>
            </w:r>
          </w:p>
        </w:tc>
      </w:tr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CEMEX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Jul 12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Mexico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Jaime Williams</w:t>
            </w:r>
          </w:p>
        </w:tc>
        <w:tc>
          <w:tcPr>
            <w:tcW w:w="1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Risk Management Services</w:t>
            </w:r>
          </w:p>
        </w:tc>
        <w:tc>
          <w:tcPr>
            <w:tcW w:w="1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Dead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N/A</w:t>
            </w:r>
          </w:p>
        </w:tc>
      </w:tr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Ocean Energy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2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Texas Gas Origination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Gary Bryant</w:t>
            </w:r>
          </w:p>
        </w:tc>
        <w:tc>
          <w:tcPr>
            <w:tcW w:w="1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Commodity &amp; back office management</w:t>
            </w:r>
          </w:p>
        </w:tc>
        <w:tc>
          <w:tcPr>
            <w:tcW w:w="1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Dead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N/A</w:t>
            </w:r>
          </w:p>
        </w:tc>
      </w:tr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Texas General Land Office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10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Texas Gas Origination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Gary Bryant</w:t>
            </w:r>
          </w:p>
        </w:tc>
        <w:tc>
          <w:tcPr>
            <w:tcW w:w="1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Commodity Management</w:t>
            </w:r>
          </w:p>
        </w:tc>
        <w:tc>
          <w:tcPr>
            <w:tcW w:w="1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Undefined</w:t>
            </w:r>
          </w:p>
        </w:tc>
      </w:tr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Exxon Mobil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20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East Power Origination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Larry Jester</w:t>
            </w:r>
          </w:p>
        </w:tc>
        <w:tc>
          <w:tcPr>
            <w:tcW w:w="1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Power Supplier for TX facilities</w:t>
            </w:r>
          </w:p>
        </w:tc>
        <w:tc>
          <w:tcPr>
            <w:tcW w:w="1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Q401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-540" w:end="0"/>
        <w:rPr/>
      </w:pPr>
      <w:r>
        <w:rPr/>
        <w:t>Industrial Markets</w:t>
      </w:r>
    </w:p>
    <w:tbl>
      <w:tblPr>
        <w:tblW w:w="10587" w:type="dxa"/>
        <w:jc w:val="start"/>
        <w:tblInd w:w="-34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1422"/>
        <w:gridCol w:w="1071"/>
        <w:gridCol w:w="1718"/>
        <w:gridCol w:w="1719"/>
        <w:gridCol w:w="1270"/>
        <w:gridCol w:w="1800"/>
        <w:gridCol w:w="1587"/>
      </w:tblGrid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Prospect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color w:val="0000FF"/>
              </w:rPr>
            </w:pPr>
            <w:r>
              <w:rPr>
                <w:rFonts w:eastAsia="Arial"/>
                <w:color w:val="0000FF"/>
              </w:rPr>
              <w:t xml:space="preserve"> </w:t>
            </w:r>
            <w:r>
              <w:rPr>
                <w:color w:val="0000FF"/>
              </w:rPr>
              <w:t>Visit Date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EIM Division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EIM Host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 xml:space="preserve">Product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Status as of 9/30/01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6"/>
              <w:snapToGrid w:val="false"/>
              <w:ind w:hanging="0" w:start="0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Heading6"/>
              <w:ind w:hanging="0" w:start="0"/>
              <w:rPr/>
            </w:pPr>
            <w:r>
              <w:rPr/>
            </w:r>
          </w:p>
          <w:p>
            <w:pPr>
              <w:pStyle w:val="Heading6"/>
              <w:ind w:hanging="0" w:start="0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Est. Close</w:t>
            </w:r>
          </w:p>
        </w:tc>
      </w:tr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April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Jul 24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Origination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Om Bhatia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6mth fixed price pulp deal.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Closed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Q301</w:t>
            </w:r>
          </w:p>
        </w:tc>
      </w:tr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Itochu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Jul 26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Origination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Om Bhatia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Financial Transactions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Undefined</w:t>
            </w:r>
          </w:p>
        </w:tc>
      </w:tr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Carolina Holdings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Jul 27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– Mid Markets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Kevin Cordesman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Financial Swaps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Closed/</w:t>
            </w: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Q301</w:t>
            </w:r>
          </w:p>
        </w:tc>
      </w:tr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Norkol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1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Origination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Clint Comeaux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Closed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Q301</w:t>
            </w:r>
          </w:p>
        </w:tc>
      </w:tr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Western Pacific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15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Origination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John Daniel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Current spot customer, proposing Long term paper deal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2001</w:t>
            </w:r>
          </w:p>
        </w:tc>
      </w:tr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The Techs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21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Steel Origination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Tammy Mulroney/Chuck Bechman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  <w:highlight w:val="yellow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Unknown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  <w:highlight w:val="yellow"/>
              </w:rPr>
            </w:pPr>
            <w:r>
              <w:rPr>
                <w:rFonts w:eastAsia="Arial Unicode MS" w:cs="Arial" w:ascii="Arial" w:hAnsi="Arial"/>
                <w:sz w:val="16"/>
                <w:szCs w:val="20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Unknown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Unknown</w:t>
            </w:r>
          </w:p>
        </w:tc>
      </w:tr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Schaeffer Industries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28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Steel - Trading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Kenton Schaefer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Structure supply &amp; trade agreements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12/31/01</w:t>
            </w:r>
          </w:p>
        </w:tc>
      </w:tr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Groupo Imfa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29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Steel - Trading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Nick Ernst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5000 ton/mth swap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12/31/01</w:t>
            </w:r>
          </w:p>
        </w:tc>
      </w:tr>
      <w:tr>
        <w:trPr>
          <w:trHeight w:val="360" w:hRule="atLeast"/>
        </w:trPr>
        <w:tc>
          <w:tcPr>
            <w:tcW w:w="1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Kruger Inc.</w:t>
            </w:r>
          </w:p>
        </w:tc>
        <w:tc>
          <w:tcPr>
            <w:tcW w:w="1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Sep 25</w:t>
            </w:r>
          </w:p>
        </w:tc>
        <w:tc>
          <w:tcPr>
            <w:tcW w:w="1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Trading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Jay Epstein</w:t>
            </w:r>
          </w:p>
        </w:tc>
        <w:tc>
          <w:tcPr>
            <w:tcW w:w="1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Newsprint derivatives for hedging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Q4 2001 1M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-540" w:end="0"/>
        <w:rPr/>
      </w:pPr>
      <w:r>
        <w:rPr/>
        <w:t>Global Markets</w:t>
      </w:r>
    </w:p>
    <w:tbl>
      <w:tblPr>
        <w:tblW w:w="10440" w:type="dxa"/>
        <w:jc w:val="start"/>
        <w:tblInd w:w="-34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1440"/>
        <w:gridCol w:w="1080"/>
        <w:gridCol w:w="1734"/>
        <w:gridCol w:w="1734"/>
        <w:gridCol w:w="1392"/>
        <w:gridCol w:w="1620"/>
        <w:gridCol w:w="1440"/>
      </w:tblGrid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Prospect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Visit Date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EGM Division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EGM Host</w:t>
            </w:r>
          </w:p>
        </w:tc>
        <w:tc>
          <w:tcPr>
            <w:tcW w:w="1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Product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Status as of 9/30/01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20"/>
              </w:rPr>
            </w:r>
          </w:p>
          <w:p>
            <w:pPr>
              <w:pStyle w:val="Heading6"/>
              <w:ind w:hanging="0" w:start="0"/>
              <w:rPr>
                <w:rFonts w:ascii="Arial" w:hAnsi="Arial" w:cs="Arial"/>
                <w:color w:val="0000FF"/>
                <w:sz w:val="16"/>
                <w:szCs w:val="20"/>
              </w:rPr>
            </w:pPr>
            <w:r>
              <w:rPr>
                <w:rFonts w:cs="Arial"/>
                <w:color w:val="0000FF"/>
                <w:sz w:val="16"/>
                <w:szCs w:val="20"/>
              </w:rPr>
            </w:r>
          </w:p>
          <w:p>
            <w:pPr>
              <w:pStyle w:val="Heading6"/>
              <w:ind w:hanging="0" w:start="0"/>
              <w:rPr>
                <w:szCs w:val="24"/>
              </w:rPr>
            </w:pPr>
            <w:r>
              <w:rPr/>
              <w:t>Est. Close</w:t>
            </w:r>
          </w:p>
        </w:tc>
      </w:tr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The Hub Group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Jul 27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Freight – Mid Markets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Chris Kravas</w:t>
            </w:r>
          </w:p>
        </w:tc>
        <w:tc>
          <w:tcPr>
            <w:tcW w:w="1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Closed Spot trading – 50 load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Closed</w:t>
            </w:r>
            <w:r>
              <w:rPr>
                <w:rFonts w:eastAsia="Arial Unicode MS" w:cs="Arial" w:ascii="Arial" w:hAnsi="Arial"/>
                <w:sz w:val="16"/>
                <w:szCs w:val="20"/>
              </w:rPr>
              <w:t xml:space="preserve"> first load. Still Active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Q301</w:t>
            </w:r>
          </w:p>
        </w:tc>
      </w:tr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Argoasemex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3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Weather - Origination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Yvette Simpson</w:t>
            </w:r>
          </w:p>
        </w:tc>
        <w:tc>
          <w:tcPr>
            <w:tcW w:w="1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Agriculture Weather Risk Management Deal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Oct. 2001</w:t>
            </w:r>
          </w:p>
        </w:tc>
      </w:tr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GASCO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17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LNG – Atlantic Basin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Jonathan Whitehead</w:t>
            </w:r>
          </w:p>
        </w:tc>
        <w:tc>
          <w:tcPr>
            <w:tcW w:w="1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LNG Sales Contract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Inactive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N/A</w:t>
            </w:r>
          </w:p>
        </w:tc>
      </w:tr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Mark VII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Aug 22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Freight – Mid Markets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Chris Kravas</w:t>
            </w:r>
          </w:p>
        </w:tc>
        <w:tc>
          <w:tcPr>
            <w:tcW w:w="1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Spot &amp; longer term trading partner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Active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Undefined</w:t>
            </w:r>
          </w:p>
        </w:tc>
      </w:tr>
    </w:tbl>
    <w:p>
      <w:pPr>
        <w:pStyle w:val="Heading1"/>
        <w:ind w:hanging="0" w:start="-540" w:end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-540" w:end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-540" w:end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-540" w:end="0"/>
        <w:rPr/>
      </w:pPr>
      <w:r>
        <w:rPr/>
        <w:t>Net Works</w:t>
      </w:r>
    </w:p>
    <w:tbl>
      <w:tblPr>
        <w:tblW w:w="10620" w:type="dxa"/>
        <w:jc w:val="start"/>
        <w:tblInd w:w="-34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1440"/>
        <w:gridCol w:w="1080"/>
        <w:gridCol w:w="1734"/>
        <w:gridCol w:w="1734"/>
        <w:gridCol w:w="1392"/>
        <w:gridCol w:w="1620"/>
        <w:gridCol w:w="1620"/>
      </w:tblGrid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firstLine="20" w:start="-20" w:end="0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Prospect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Visit Date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Networks Division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Networks Host</w:t>
            </w:r>
          </w:p>
        </w:tc>
        <w:tc>
          <w:tcPr>
            <w:tcW w:w="1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Product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Status as of 9/30/01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20"/>
              </w:rPr>
            </w:r>
          </w:p>
          <w:p>
            <w:pPr>
              <w:pStyle w:val="Heading6"/>
              <w:ind w:hanging="0" w:start="0"/>
              <w:rPr>
                <w:szCs w:val="24"/>
              </w:rPr>
            </w:pPr>
            <w:r>
              <w:rPr>
                <w:szCs w:val="24"/>
              </w:rPr>
              <w:t>Est. Close</w:t>
            </w:r>
          </w:p>
        </w:tc>
      </w:tr>
      <w:tr>
        <w:trPr>
          <w:trHeight w:val="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Quebecor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Jul 31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EnronOnline - Origination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John Allario</w:t>
            </w:r>
          </w:p>
        </w:tc>
        <w:tc>
          <w:tcPr>
            <w:tcW w:w="1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Purchase EOL license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Dead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N/A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firstLine="720" w:start="720" w:end="0"/>
        <w:jc w:val="start"/>
        <w:rPr>
          <w:sz w:val="28"/>
        </w:rPr>
      </w:pPr>
      <w:r>
        <w:rPr>
          <w:sz w:val="28"/>
        </w:rPr>
      </w:r>
    </w:p>
    <w:p>
      <w:pPr>
        <w:pStyle w:val="Heading4"/>
        <w:ind w:firstLine="720" w:start="720" w:end="0"/>
        <w:jc w:val="start"/>
        <w:rPr>
          <w:sz w:val="28"/>
        </w:rPr>
      </w:pPr>
      <w:r>
        <w:rPr>
          <w:sz w:val="28"/>
        </w:rPr>
        <w:t>Q3  2001 EWS Strategic (Educational) Visits</w:t>
      </w:r>
    </w:p>
    <w:p>
      <w:pPr>
        <w:pStyle w:val="Header"/>
        <w:tabs>
          <w:tab w:val="clear" w:pos="4320"/>
          <w:tab w:val="clear" w:pos="8640"/>
        </w:tabs>
        <w:ind w:start="-540" w:end="0"/>
        <w:rPr/>
      </w:pPr>
      <w:r>
        <w:rPr/>
        <w:t>Americas</w:t>
      </w:r>
    </w:p>
    <w:tbl>
      <w:tblPr>
        <w:tblW w:w="10655" w:type="dxa"/>
        <w:jc w:val="start"/>
        <w:tblInd w:w="-36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35"/>
        <w:gridCol w:w="1080"/>
        <w:gridCol w:w="2160"/>
        <w:gridCol w:w="1800"/>
        <w:gridCol w:w="2880"/>
      </w:tblGrid>
      <w:tr>
        <w:trPr>
          <w:trHeight w:val="360" w:hRule="atLeast"/>
        </w:trPr>
        <w:tc>
          <w:tcPr>
            <w:tcW w:w="2735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Visitor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Enron Visit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Date</w:t>
            </w:r>
          </w:p>
        </w:tc>
        <w:tc>
          <w:tcPr>
            <w:tcW w:w="21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Americas Division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Americas Host</w:t>
            </w:r>
          </w:p>
        </w:tc>
        <w:tc>
          <w:tcPr>
            <w:tcW w:w="288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Type of Visit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Nissho Iwai</w:t>
            </w:r>
          </w:p>
        </w:tc>
        <w:tc>
          <w:tcPr>
            <w:tcW w:w="10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Sep 26</w:t>
            </w:r>
          </w:p>
        </w:tc>
        <w:tc>
          <w:tcPr>
            <w:tcW w:w="216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Gas</w:t>
            </w:r>
          </w:p>
        </w:tc>
        <w:tc>
          <w:tcPr>
            <w:tcW w:w="18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Joe Hirl</w:t>
            </w:r>
          </w:p>
        </w:tc>
        <w:tc>
          <w:tcPr>
            <w:tcW w:w="28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Strategic Alliance Partner</w:t>
            </w:r>
          </w:p>
        </w:tc>
      </w:tr>
    </w:tbl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-540" w:end="0"/>
        <w:rPr/>
      </w:pPr>
      <w:r>
        <w:rPr/>
        <w:t>Industrial Markets</w:t>
      </w:r>
    </w:p>
    <w:tbl>
      <w:tblPr>
        <w:tblW w:w="10620" w:type="dxa"/>
        <w:jc w:val="start"/>
        <w:tblInd w:w="-36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00"/>
        <w:gridCol w:w="1080"/>
        <w:gridCol w:w="2160"/>
        <w:gridCol w:w="1800"/>
        <w:gridCol w:w="2880"/>
      </w:tblGrid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80" w:start="80" w:end="0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Visitor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Enron Visit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EIM Division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EIM Host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Type of Visit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Doman Industries Ltd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Jul 16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Origination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Craig Hiddleston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Strategic Alliance Partner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Brant Allen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Sep 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Trading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Jay Epstein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Existing Customer – PR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James Monroe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 xml:space="preserve">Sep 5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Trading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Dora Trevino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Recruiting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International Forest Products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Sep 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Trading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Craig Rickard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Strategic Alliance Partner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Official Board Markets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Sep 10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Trading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Erik Deadwyler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Strategic Alliance Partner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Texas A&amp;M Forestry Science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Sep 25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Forest Products - Fundamentals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Elizabeth Hutchinson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Strategic Alliance Partner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260" w:right="1440" w:gutter="0" w:header="720" w:top="90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mc:AlternateContent>
        <mc:Choice Requires="wpg">
          <w:drawing>
            <wp:anchor behindDoc="1" distT="0" distB="0" distL="114935" distR="114935" simplePos="0" locked="0" layoutInCell="1" allowOverlap="1" relativeHeight="7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3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sz w:val="20"/>
      </w:rPr>
      <w:t xml:space="preserve">Property of EWS                                                                                                                                                    </w:t>
    </w:r>
    <w:r>
      <w:rPr/>
      <w:drawing>
        <wp:inline distT="0" distB="0" distL="0" distR="0">
          <wp:extent cx="381000" cy="381000"/>
          <wp:effectExtent l="0" t="0" r="0" b="0"/>
          <wp:docPr id="4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 descr="" titl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rPr/>
    </w:pPr>
    <w:r>
      <w:rPr>
        <w:sz w:val="20"/>
      </w:rPr>
      <w:t>(Only for those with a need to know</w:t>
    </w:r>
    <w:r>
      <w:rPr/>
      <w:t>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start="720" w:end="0"/>
      <w:rPr>
        <w:sz w:val="20"/>
      </w:rPr>
    </w:pPr>
    <w:r>
      <mc:AlternateContent>
        <mc:Choice Requires="wpg">
          <w:drawing>
            <wp:anchor behindDoc="1" distT="0" distB="0" distL="114935" distR="114935" simplePos="0" locked="0" layoutInCell="1" allowOverlap="1" relativeHeight="8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6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sz w:val="20"/>
      </w:rPr>
      <w:t>Property of EWS</w:t>
      <w:tab/>
      <w:tab/>
      <w:tab/>
      <w:tab/>
      <w:tab/>
      <w:tab/>
      <w:tab/>
      <w:tab/>
      <w:tab/>
      <w:tab/>
    </w:r>
    <w:r>
      <w:rPr/>
      <w:drawing>
        <wp:inline distT="0" distB="0" distL="0" distR="0">
          <wp:extent cx="381000" cy="381000"/>
          <wp:effectExtent l="0" t="0" r="0" b="0"/>
          <wp:docPr id="7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 descr="" titl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ind w:start="720" w:end="0"/>
      <w:rPr>
        <w:sz w:val="20"/>
      </w:rPr>
    </w:pPr>
    <w:r>
      <w:rPr>
        <w:sz w:val="20"/>
      </w:rPr>
      <w:t>(Only for those with a need to know)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i/>
        <w:iCs/>
        <w:sz w:val="16"/>
      </w:rPr>
      <w:t xml:space="preserve">experience </w:t>
    </w:r>
    <w:r>
      <w:rPr>
        <w:sz w:val="16"/>
      </w:rPr>
      <w:t>ENRON Q3 2001 EWS Report</w:t>
    </w:r>
  </w:p>
  <w:p>
    <w:pPr>
      <w:pStyle w:val="Header"/>
      <w:rPr/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eastAsia="Arial Unicode MS" w:cs="Arial"/>
      <w:b/>
      <w:bCs/>
      <w:sz w:val="16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color w:val="0000FF"/>
      <w:sz w:val="16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eastAsia="Arial Unicode MS" w:cs="Arial"/>
      <w:b/>
      <w:bCs/>
      <w:sz w:val="22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  <w:color w:val="0000FF"/>
      <w:sz w:val="16"/>
      <w:szCs w:val="20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sz w:val="18"/>
      <w:szCs w:val="18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sz w:val="18"/>
      <w:szCs w:val="18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770" w:leader="none"/>
        <w:tab w:val="right" w:pos="95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image" Target="media/image3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2001-10-08T19:23:00Z</dcterms:created>
  <dc:creator>crobert</dc:creator>
  <dc:description/>
  <dc:language>en-CA</dc:language>
  <cp:lastModifiedBy>crobert</cp:lastModifiedBy>
  <cp:lastPrinted>2001-10-10T12:22:00Z</cp:lastPrinted>
  <dcterms:modified xsi:type="dcterms:W3CDTF">2001-10-16T20:08:00Z</dcterms:modified>
  <cp:revision>56</cp:revision>
  <dc:subject/>
  <dc:title>ExperienceENRON Statistics</dc:title>
</cp:coreProperties>
</file>