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i/>
          <w:i/>
          <w:iCs/>
          <w:color w:val="FF0000"/>
          <w:sz w:val="28"/>
          <w:lang w:val="en-CA" w:eastAsia="en-CA"/>
        </w:rPr>
      </w:pPr>
      <w:r>
        <w:rPr>
          <w:b/>
          <w:bCs/>
          <w:i/>
          <w:iCs/>
          <w:color w:val="FF0000"/>
          <w:sz w:val="28"/>
          <w:lang w:val="en-CA" w:eastAsia="en-CA"/>
        </w:rPr>
        <w:drawing>
          <wp:anchor behindDoc="0" distT="0" distB="0" distL="114935" distR="114935" simplePos="0" locked="0" layoutInCell="1" allowOverlap="1" relativeHeight="6">
            <wp:simplePos x="0" y="0"/>
            <wp:positionH relativeFrom="column">
              <wp:posOffset>3771900</wp:posOffset>
            </wp:positionH>
            <wp:positionV relativeFrom="paragraph">
              <wp:posOffset>-228600</wp:posOffset>
            </wp:positionV>
            <wp:extent cx="2514600" cy="415925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9" t="-55" r="-9" b="-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41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b/>
          <w:bCs/>
          <w:i/>
          <w:i/>
          <w:iCs/>
          <w:color w:val="FF0000"/>
          <w:sz w:val="28"/>
        </w:rPr>
      </w:pPr>
      <w:r>
        <w:rPr>
          <w:b/>
          <w:bCs/>
          <w:i/>
          <w:iCs/>
          <w:color w:val="FF0000"/>
          <w:sz w:val="28"/>
        </w:rPr>
      </w:r>
    </w:p>
    <w:p>
      <w:pPr>
        <w:pStyle w:val="Normal"/>
        <w:rPr/>
      </w:pPr>
      <w:r>
        <w:rPr>
          <w:b/>
          <w:bCs/>
          <w:i/>
          <w:iCs/>
          <w:color w:val="FF0000"/>
          <w:sz w:val="28"/>
        </w:rPr>
        <w:t>experience</w:t>
      </w:r>
      <w:r>
        <w:rPr>
          <w:b/>
          <w:bCs/>
          <w:color w:val="FF0000"/>
          <w:sz w:val="28"/>
        </w:rPr>
        <w:t>ENRON</w:t>
      </w:r>
      <w:r>
        <w:rPr>
          <w:b/>
          <w:bCs/>
          <w:sz w:val="28"/>
        </w:rPr>
        <w:t xml:space="preserve"> Summary for EWS  First Quarter 2001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  <w:tab/>
        <w:tab/>
      </w:r>
    </w:p>
    <w:p>
      <w:pPr>
        <w:pStyle w:val="Heading2"/>
        <w:ind w:hanging="0" w:start="0"/>
        <w:rPr/>
      </w:pPr>
      <w:r>
        <w:rPr/>
        <w:t>Q1 2001</w:t>
        <w:tab/>
        <w:tab/>
        <w:tab/>
        <w:tab/>
        <w:tab/>
        <w:tab/>
        <w:t>Q1 2000</w:t>
      </w:r>
    </w:p>
    <w:tbl>
      <w:tblPr>
        <w:tblpPr w:vertAnchor="text" w:horzAnchor="margin" w:rightFromText="180" w:tblpX="5" w:tblpY="170"/>
        <w:tblW w:w="943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48"/>
        <w:gridCol w:w="1440"/>
        <w:gridCol w:w="1601"/>
        <w:gridCol w:w="540"/>
        <w:gridCol w:w="1459"/>
        <w:gridCol w:w="1222"/>
        <w:gridCol w:w="1620"/>
      </w:tblGrid>
      <w:tr>
        <w:trPr/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color w:val="0000FF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  <w:t>Total EWS</w:t>
            </w:r>
          </w:p>
          <w:p>
            <w:pPr>
              <w:pStyle w:val="Normal"/>
              <w:rPr>
                <w:b/>
                <w:bCs/>
                <w:color w:val="0000FF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  <w:t>Requests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color w:val="0000FF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  <w:t>Tactical Requests</w:t>
            </w:r>
          </w:p>
          <w:p>
            <w:pPr>
              <w:pStyle w:val="Normal"/>
              <w:rPr>
                <w:b/>
                <w:bCs/>
                <w:color w:val="0000FF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</w:r>
          </w:p>
        </w:tc>
        <w:tc>
          <w:tcPr>
            <w:tcW w:w="16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color w:val="0000FF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  <w:t>Strategic Requests</w:t>
            </w:r>
          </w:p>
        </w:tc>
        <w:tc>
          <w:tcPr>
            <w:tcW w:w="5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color w:val="0000FF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</w:r>
          </w:p>
        </w:tc>
        <w:tc>
          <w:tcPr>
            <w:tcW w:w="14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color w:val="0000FF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  <w:t>Total EWS Requests</w:t>
            </w:r>
          </w:p>
        </w:tc>
        <w:tc>
          <w:tcPr>
            <w:tcW w:w="12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color w:val="0000FF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  <w:t>Tactical Requests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color w:val="0000FF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  <w:t>Strategic Requests</w:t>
            </w:r>
          </w:p>
        </w:tc>
      </w:tr>
      <w:tr>
        <w:trPr>
          <w:trHeight w:val="323" w:hRule="atLeast"/>
        </w:trPr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22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6</w:t>
            </w:r>
          </w:p>
        </w:tc>
        <w:tc>
          <w:tcPr>
            <w:tcW w:w="16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16</w:t>
            </w:r>
          </w:p>
        </w:tc>
        <w:tc>
          <w:tcPr>
            <w:tcW w:w="54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4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</w:t>
            </w:r>
          </w:p>
        </w:tc>
        <w:tc>
          <w:tcPr>
            <w:tcW w:w="12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</w:t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>
          <w:b/>
          <w:bCs/>
          <w:i/>
          <w:i/>
          <w:iCs/>
          <w:sz w:val="18"/>
        </w:rPr>
      </w:pPr>
      <w:r/>
      <w:r>
        <w:rPr>
          <w:b/>
          <w:bCs/>
          <w:i/>
          <w:iCs/>
          <w:sz w:val="18"/>
        </w:rPr>
        <w:t>Tactical = Revenue Generating (See detail page 2)</w:t>
      </w:r>
    </w:p>
    <w:p>
      <w:pPr>
        <w:pStyle w:val="Header"/>
        <w:tabs>
          <w:tab w:val="clear" w:pos="4320"/>
          <w:tab w:val="clear" w:pos="8640"/>
        </w:tabs>
        <w:rPr>
          <w:b/>
          <w:bCs/>
          <w:i/>
          <w:i/>
          <w:iCs/>
          <w:sz w:val="18"/>
        </w:rPr>
      </w:pPr>
      <w:r>
        <w:rPr>
          <w:b/>
          <w:bCs/>
          <w:i/>
          <w:iCs/>
          <w:sz w:val="18"/>
        </w:rPr>
        <w:t>Strategic = Educational (See detail page 2 &amp; 3)</w:t>
      </w:r>
    </w:p>
    <w:p>
      <w:pPr>
        <w:pStyle w:val="Normal"/>
        <w:rPr>
          <w:b/>
          <w:bCs/>
          <w:i/>
          <w:i/>
          <w:iCs/>
          <w:sz w:val="18"/>
        </w:rPr>
      </w:pPr>
      <w:r>
        <w:rPr>
          <w:b/>
          <w:bCs/>
          <w:i/>
          <w:iCs/>
          <w:sz w:val="18"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Highlights:</w:t>
      </w:r>
    </w:p>
    <w:p>
      <w:pPr>
        <w:pStyle w:val="Header"/>
        <w:tabs>
          <w:tab w:val="clear" w:pos="4320"/>
          <w:tab w:val="clear" w:pos="8640"/>
        </w:tabs>
        <w:rPr/>
      </w:pPr>
      <w:r>
        <w:rPr>
          <w:b/>
          <w:bCs/>
          <w:i/>
          <w:iCs/>
          <w:color w:val="FF0000"/>
        </w:rPr>
        <w:t>experience</w:t>
      </w:r>
      <w:r>
        <w:rPr>
          <w:b/>
          <w:bCs/>
          <w:color w:val="FF0000"/>
        </w:rPr>
        <w:t>ENRON</w:t>
      </w:r>
      <w:r>
        <w:rPr/>
        <w:t xml:space="preserve"> supported 85 visits in Q1 2001, of which 26% came from EWS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 total of 48 requests came from Enron businesses to visit and understand the Gas Trading business model and products/services.</w:t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</w:r>
    </w:p>
    <w:tbl>
      <w:tblPr>
        <w:tblW w:w="94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147"/>
        <w:gridCol w:w="2441"/>
        <w:gridCol w:w="2880"/>
      </w:tblGrid>
      <w:tr>
        <w:trPr>
          <w:trHeight w:val="368" w:hRule="atLeast"/>
        </w:trPr>
        <w:tc>
          <w:tcPr>
            <w:tcW w:w="41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color w:val="0000FF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  <w:t>B.U. Requests to Visit Gas Trading</w:t>
            </w:r>
          </w:p>
        </w:tc>
        <w:tc>
          <w:tcPr>
            <w:tcW w:w="24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color w:val="0000FF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  <w:t>Total Requests by B.U.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color w:val="0000FF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  <w:t>Tactical Requests by B.U.</w:t>
            </w:r>
          </w:p>
        </w:tc>
      </w:tr>
      <w:tr>
        <w:trPr>
          <w:trHeight w:val="350" w:hRule="atLeast"/>
        </w:trPr>
        <w:tc>
          <w:tcPr>
            <w:tcW w:w="41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EWS Visits to Gas</w:t>
            </w:r>
          </w:p>
        </w:tc>
        <w:tc>
          <w:tcPr>
            <w:tcW w:w="24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14 of 22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5 of   6</w:t>
            </w:r>
          </w:p>
        </w:tc>
      </w:tr>
      <w:tr>
        <w:trPr>
          <w:trHeight w:val="350" w:hRule="atLeast"/>
        </w:trPr>
        <w:tc>
          <w:tcPr>
            <w:tcW w:w="41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EES Visits to Gas</w:t>
            </w:r>
          </w:p>
        </w:tc>
        <w:tc>
          <w:tcPr>
            <w:tcW w:w="24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14 of 29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6 of  16</w:t>
            </w:r>
          </w:p>
        </w:tc>
      </w:tr>
      <w:tr>
        <w:trPr>
          <w:trHeight w:val="350" w:hRule="atLeast"/>
        </w:trPr>
        <w:tc>
          <w:tcPr>
            <w:tcW w:w="41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EBS Visits to Gas</w:t>
            </w:r>
          </w:p>
        </w:tc>
        <w:tc>
          <w:tcPr>
            <w:tcW w:w="24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t>3 of  4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 of   1</w:t>
            </w:r>
          </w:p>
        </w:tc>
      </w:tr>
      <w:tr>
        <w:trPr>
          <w:trHeight w:val="530" w:hRule="atLeast"/>
        </w:trPr>
        <w:tc>
          <w:tcPr>
            <w:tcW w:w="41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Corp Visits to Gas</w:t>
            </w:r>
          </w:p>
        </w:tc>
        <w:tc>
          <w:tcPr>
            <w:tcW w:w="24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17 of 29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3 of   4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 total of 27 requests came from other businesses to visit and understand the Power Trading business model and products/services</w:t>
      </w:r>
    </w:p>
    <w:p>
      <w:pPr>
        <w:pStyle w:val="Normal"/>
        <w:rPr/>
      </w:pPr>
      <w:r>
        <w:rPr/>
      </w:r>
    </w:p>
    <w:tbl>
      <w:tblPr>
        <w:tblW w:w="94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147"/>
        <w:gridCol w:w="2621"/>
        <w:gridCol w:w="2700"/>
      </w:tblGrid>
      <w:tr>
        <w:trPr>
          <w:trHeight w:val="368" w:hRule="atLeast"/>
        </w:trPr>
        <w:tc>
          <w:tcPr>
            <w:tcW w:w="41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color w:val="0000FF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  <w:t>B.U. Requests to Visit Power Trading</w:t>
            </w:r>
          </w:p>
          <w:p>
            <w:pPr>
              <w:pStyle w:val="Normal"/>
              <w:rPr>
                <w:b/>
                <w:bCs/>
                <w:color w:val="0000FF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</w:r>
          </w:p>
        </w:tc>
        <w:tc>
          <w:tcPr>
            <w:tcW w:w="26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color w:val="0000FF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  <w:t>Total Requests by B.U.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color w:val="0000FF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  <w:t>Tactical Requests by B.U.</w:t>
            </w:r>
          </w:p>
        </w:tc>
      </w:tr>
      <w:tr>
        <w:trPr>
          <w:trHeight w:val="350" w:hRule="atLeast"/>
        </w:trPr>
        <w:tc>
          <w:tcPr>
            <w:tcW w:w="41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EWS Visits to Power</w:t>
            </w:r>
          </w:p>
        </w:tc>
        <w:tc>
          <w:tcPr>
            <w:tcW w:w="26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t>5 of 22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t>1 of   6</w:t>
            </w:r>
          </w:p>
        </w:tc>
      </w:tr>
      <w:tr>
        <w:trPr>
          <w:trHeight w:val="350" w:hRule="atLeast"/>
        </w:trPr>
        <w:tc>
          <w:tcPr>
            <w:tcW w:w="41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EES Visits to Power</w:t>
            </w:r>
          </w:p>
        </w:tc>
        <w:tc>
          <w:tcPr>
            <w:tcW w:w="26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17 of 29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14 of  16</w:t>
            </w:r>
          </w:p>
        </w:tc>
      </w:tr>
      <w:tr>
        <w:trPr>
          <w:trHeight w:val="350" w:hRule="atLeast"/>
        </w:trPr>
        <w:tc>
          <w:tcPr>
            <w:tcW w:w="41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EBS Visits to Power</w:t>
            </w:r>
          </w:p>
        </w:tc>
        <w:tc>
          <w:tcPr>
            <w:tcW w:w="26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t>0 of   4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t>0 of   1</w:t>
            </w:r>
          </w:p>
        </w:tc>
      </w:tr>
      <w:tr>
        <w:trPr>
          <w:trHeight w:val="530" w:hRule="atLeast"/>
        </w:trPr>
        <w:tc>
          <w:tcPr>
            <w:tcW w:w="41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Corp Visits to Power</w:t>
            </w:r>
          </w:p>
        </w:tc>
        <w:tc>
          <w:tcPr>
            <w:tcW w:w="26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t>5 of 29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t>1 of   4</w:t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4"/>
        <w:ind w:firstLine="720" w:start="720" w:end="0"/>
        <w:jc w:val="start"/>
        <w:rPr>
          <w:sz w:val="28"/>
        </w:rPr>
      </w:pPr>
      <w:r>
        <w:rPr>
          <w:sz w:val="28"/>
        </w:rPr>
      </w:r>
    </w:p>
    <w:p>
      <w:pPr>
        <w:pStyle w:val="Heading4"/>
        <w:ind w:firstLine="720" w:start="720" w:end="0"/>
        <w:jc w:val="start"/>
        <w:rPr>
          <w:sz w:val="28"/>
        </w:rPr>
      </w:pPr>
      <w:r>
        <w:rPr>
          <w:sz w:val="28"/>
        </w:rPr>
        <w:t>2001 EWS Tactical (Revenue-Generating) Visits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Heading1"/>
        <w:ind w:hanging="0" w:start="-540" w:end="0"/>
        <w:rPr/>
      </w:pPr>
      <w:r>
        <w:rPr/>
        <w:t>Americas</w:t>
      </w:r>
    </w:p>
    <w:tbl>
      <w:tblPr>
        <w:tblW w:w="10554" w:type="dxa"/>
        <w:jc w:val="start"/>
        <w:tblInd w:w="-880" w:type="dxa"/>
        <w:tblLayout w:type="fixed"/>
        <w:tblCellMar>
          <w:top w:w="20" w:type="dxa"/>
          <w:start w:w="20" w:type="dxa"/>
          <w:bottom w:w="0" w:type="dxa"/>
          <w:end w:w="20" w:type="dxa"/>
        </w:tblCellMar>
      </w:tblPr>
      <w:tblGrid>
        <w:gridCol w:w="1980"/>
        <w:gridCol w:w="1080"/>
        <w:gridCol w:w="1734"/>
        <w:gridCol w:w="1734"/>
        <w:gridCol w:w="1146"/>
        <w:gridCol w:w="1440"/>
        <w:gridCol w:w="1440"/>
      </w:tblGrid>
      <w:tr>
        <w:trPr>
          <w:trHeight w:val="360" w:hRule="atLeast"/>
        </w:trPr>
        <w:tc>
          <w:tcPr>
            <w:tcW w:w="1980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16"/>
                <w:szCs w:val="20"/>
              </w:rPr>
              <w:t>Prospect</w:t>
            </w:r>
          </w:p>
        </w:tc>
        <w:tc>
          <w:tcPr>
            <w:tcW w:w="1080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5"/>
              <w:ind w:hanging="0" w:start="0"/>
              <w:rPr>
                <w:color w:val="0000FF"/>
              </w:rPr>
            </w:pPr>
            <w:r>
              <w:rPr>
                <w:color w:val="0000FF"/>
              </w:rPr>
              <w:t>Enron Visit Date</w:t>
            </w:r>
          </w:p>
        </w:tc>
        <w:tc>
          <w:tcPr>
            <w:tcW w:w="17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16"/>
                <w:szCs w:val="20"/>
              </w:rPr>
              <w:t>EWS Dept.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16"/>
                <w:szCs w:val="20"/>
              </w:rPr>
              <w:t>EWS Host</w:t>
            </w:r>
          </w:p>
        </w:tc>
        <w:tc>
          <w:tcPr>
            <w:tcW w:w="1146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16"/>
                <w:szCs w:val="20"/>
              </w:rPr>
              <w:t xml:space="preserve">Product </w:t>
            </w:r>
          </w:p>
        </w:tc>
        <w:tc>
          <w:tcPr>
            <w:tcW w:w="1440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16"/>
                <w:szCs w:val="20"/>
              </w:rPr>
              <w:t>Est. Close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16"/>
                <w:szCs w:val="20"/>
              </w:rPr>
            </w:r>
          </w:p>
          <w:p>
            <w:pPr>
              <w:pStyle w:val="Heading3"/>
              <w:ind w:hanging="0" w:start="0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  <w:t>Est. Value</w:t>
            </w:r>
          </w:p>
        </w:tc>
      </w:tr>
      <w:tr>
        <w:trPr>
          <w:trHeight w:val="360" w:hRule="atLeast"/>
        </w:trPr>
        <w:tc>
          <w:tcPr>
            <w:tcW w:w="1980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20"/>
                <w:highlight w:val="yellow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Petrileos de Venezuela</w:t>
            </w:r>
          </w:p>
        </w:tc>
        <w:tc>
          <w:tcPr>
            <w:tcW w:w="108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  <w:t>01 - 04</w:t>
            </w:r>
          </w:p>
        </w:tc>
        <w:tc>
          <w:tcPr>
            <w:tcW w:w="17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South America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Pedriio Blanco</w:t>
            </w:r>
          </w:p>
        </w:tc>
        <w:tc>
          <w:tcPr>
            <w:tcW w:w="1146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Telecom &amp; Trading</w:t>
            </w:r>
          </w:p>
        </w:tc>
        <w:tc>
          <w:tcPr>
            <w:tcW w:w="144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May 2001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</w:r>
          </w:p>
          <w:p>
            <w:pPr>
              <w:pStyle w:val="Normal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cs="Arial" w:ascii="Arial" w:hAnsi="Arial"/>
                <w:sz w:val="16"/>
                <w:szCs w:val="20"/>
              </w:rPr>
              <w:t>Undefined</w:t>
            </w:r>
          </w:p>
        </w:tc>
      </w:tr>
      <w:tr>
        <w:trPr>
          <w:trHeight w:val="360" w:hRule="atLeast"/>
        </w:trPr>
        <w:tc>
          <w:tcPr>
            <w:tcW w:w="1980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Petrobras</w:t>
            </w:r>
          </w:p>
        </w:tc>
        <w:tc>
          <w:tcPr>
            <w:tcW w:w="108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  <w:t>02 - 07</w:t>
            </w:r>
          </w:p>
        </w:tc>
        <w:tc>
          <w:tcPr>
            <w:tcW w:w="17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South America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Mark Provenzano</w:t>
            </w:r>
          </w:p>
        </w:tc>
        <w:tc>
          <w:tcPr>
            <w:tcW w:w="1146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Trading</w:t>
            </w:r>
          </w:p>
        </w:tc>
        <w:tc>
          <w:tcPr>
            <w:tcW w:w="144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Undefined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</w:r>
          </w:p>
          <w:p>
            <w:pPr>
              <w:pStyle w:val="Normal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cs="Arial" w:ascii="Arial" w:hAnsi="Arial"/>
                <w:sz w:val="16"/>
                <w:szCs w:val="20"/>
              </w:rPr>
              <w:t>Undefined</w:t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1"/>
        <w:ind w:hanging="0" w:start="-540" w:end="0"/>
        <w:rPr/>
      </w:pPr>
      <w:r>
        <w:rPr/>
        <w:t>Industrial Markets</w:t>
      </w:r>
    </w:p>
    <w:tbl>
      <w:tblPr>
        <w:tblW w:w="10554" w:type="dxa"/>
        <w:jc w:val="start"/>
        <w:tblInd w:w="-880" w:type="dxa"/>
        <w:tblLayout w:type="fixed"/>
        <w:tblCellMar>
          <w:top w:w="20" w:type="dxa"/>
          <w:start w:w="20" w:type="dxa"/>
          <w:bottom w:w="0" w:type="dxa"/>
          <w:end w:w="20" w:type="dxa"/>
        </w:tblCellMar>
      </w:tblPr>
      <w:tblGrid>
        <w:gridCol w:w="1980"/>
        <w:gridCol w:w="1080"/>
        <w:gridCol w:w="1734"/>
        <w:gridCol w:w="1734"/>
        <w:gridCol w:w="1146"/>
        <w:gridCol w:w="1440"/>
        <w:gridCol w:w="1440"/>
      </w:tblGrid>
      <w:tr>
        <w:trPr>
          <w:trHeight w:val="360" w:hRule="atLeast"/>
        </w:trPr>
        <w:tc>
          <w:tcPr>
            <w:tcW w:w="1980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16"/>
                <w:szCs w:val="20"/>
              </w:rPr>
              <w:t>Prospect</w:t>
            </w:r>
          </w:p>
        </w:tc>
        <w:tc>
          <w:tcPr>
            <w:tcW w:w="1080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5"/>
              <w:ind w:hanging="0" w:start="0"/>
              <w:rPr>
                <w:color w:val="0000FF"/>
              </w:rPr>
            </w:pPr>
            <w:r>
              <w:rPr>
                <w:color w:val="0000FF"/>
              </w:rPr>
              <w:t>Enron Visit Date</w:t>
            </w:r>
          </w:p>
        </w:tc>
        <w:tc>
          <w:tcPr>
            <w:tcW w:w="17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16"/>
                <w:szCs w:val="20"/>
              </w:rPr>
              <w:t>EWS Dept.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16"/>
                <w:szCs w:val="20"/>
              </w:rPr>
              <w:t>EWS Host</w:t>
            </w:r>
          </w:p>
        </w:tc>
        <w:tc>
          <w:tcPr>
            <w:tcW w:w="1146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16"/>
                <w:szCs w:val="20"/>
              </w:rPr>
              <w:t xml:space="preserve">Product </w:t>
            </w:r>
          </w:p>
        </w:tc>
        <w:tc>
          <w:tcPr>
            <w:tcW w:w="1440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16"/>
                <w:szCs w:val="20"/>
              </w:rPr>
              <w:t>Est. Close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16"/>
                <w:szCs w:val="20"/>
              </w:rPr>
            </w:r>
          </w:p>
          <w:p>
            <w:pPr>
              <w:pStyle w:val="Heading3"/>
              <w:ind w:hanging="0" w:start="0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  <w:t>Est. Value</w:t>
            </w:r>
          </w:p>
        </w:tc>
      </w:tr>
      <w:tr>
        <w:trPr>
          <w:trHeight w:val="360" w:hRule="atLeast"/>
        </w:trPr>
        <w:tc>
          <w:tcPr>
            <w:tcW w:w="1980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Nestle USA</w:t>
            </w:r>
          </w:p>
        </w:tc>
        <w:tc>
          <w:tcPr>
            <w:tcW w:w="108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  <w:t>02 - 28</w:t>
            </w:r>
          </w:p>
        </w:tc>
        <w:tc>
          <w:tcPr>
            <w:tcW w:w="17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Industrial Markets</w:t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Pulp &amp; Paper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Jerrod Cyprow</w:t>
            </w:r>
          </w:p>
        </w:tc>
        <w:tc>
          <w:tcPr>
            <w:tcW w:w="1146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Paper Hedging</w:t>
            </w:r>
          </w:p>
        </w:tc>
        <w:tc>
          <w:tcPr>
            <w:tcW w:w="144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Dec 2001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</w:r>
          </w:p>
          <w:p>
            <w:pPr>
              <w:pStyle w:val="Normal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cs="Arial" w:ascii="Arial" w:hAnsi="Arial"/>
                <w:sz w:val="16"/>
                <w:szCs w:val="20"/>
              </w:rPr>
            </w:r>
          </w:p>
          <w:p>
            <w:pPr>
              <w:pStyle w:val="Normal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cs="Arial" w:ascii="Arial" w:hAnsi="Arial"/>
                <w:sz w:val="16"/>
                <w:szCs w:val="20"/>
              </w:rPr>
              <w:t>$250,000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1"/>
        <w:ind w:hanging="0" w:start="-540" w:end="0"/>
        <w:rPr/>
      </w:pPr>
      <w:r>
        <w:rPr/>
        <w:t>Global Markets</w:t>
      </w:r>
    </w:p>
    <w:tbl>
      <w:tblPr>
        <w:tblW w:w="10554" w:type="dxa"/>
        <w:jc w:val="start"/>
        <w:tblInd w:w="-880" w:type="dxa"/>
        <w:tblLayout w:type="fixed"/>
        <w:tblCellMar>
          <w:top w:w="20" w:type="dxa"/>
          <w:start w:w="20" w:type="dxa"/>
          <w:bottom w:w="0" w:type="dxa"/>
          <w:end w:w="20" w:type="dxa"/>
        </w:tblCellMar>
      </w:tblPr>
      <w:tblGrid>
        <w:gridCol w:w="1980"/>
        <w:gridCol w:w="1080"/>
        <w:gridCol w:w="1734"/>
        <w:gridCol w:w="1734"/>
        <w:gridCol w:w="1146"/>
        <w:gridCol w:w="1440"/>
        <w:gridCol w:w="1440"/>
      </w:tblGrid>
      <w:tr>
        <w:trPr>
          <w:trHeight w:val="360" w:hRule="atLeast"/>
        </w:trPr>
        <w:tc>
          <w:tcPr>
            <w:tcW w:w="1980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16"/>
                <w:szCs w:val="20"/>
              </w:rPr>
              <w:t>Prospect</w:t>
            </w:r>
          </w:p>
        </w:tc>
        <w:tc>
          <w:tcPr>
            <w:tcW w:w="1080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5"/>
              <w:ind w:hanging="0" w:start="0"/>
              <w:rPr>
                <w:color w:val="0000FF"/>
              </w:rPr>
            </w:pPr>
            <w:r>
              <w:rPr>
                <w:color w:val="0000FF"/>
              </w:rPr>
              <w:t>Enron Visit Date</w:t>
            </w:r>
          </w:p>
        </w:tc>
        <w:tc>
          <w:tcPr>
            <w:tcW w:w="17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16"/>
                <w:szCs w:val="20"/>
              </w:rPr>
              <w:t>EWS Dept.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16"/>
                <w:szCs w:val="20"/>
              </w:rPr>
              <w:t>EWS Host</w:t>
            </w:r>
          </w:p>
        </w:tc>
        <w:tc>
          <w:tcPr>
            <w:tcW w:w="1146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16"/>
                <w:szCs w:val="20"/>
              </w:rPr>
              <w:t xml:space="preserve">Product </w:t>
            </w:r>
          </w:p>
        </w:tc>
        <w:tc>
          <w:tcPr>
            <w:tcW w:w="1440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16"/>
                <w:szCs w:val="20"/>
              </w:rPr>
              <w:t>Est. Close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16"/>
                <w:szCs w:val="20"/>
              </w:rPr>
            </w:r>
          </w:p>
          <w:p>
            <w:pPr>
              <w:pStyle w:val="Heading3"/>
              <w:ind w:hanging="0" w:start="0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  <w:t>Est. Value</w:t>
            </w:r>
          </w:p>
        </w:tc>
      </w:tr>
      <w:tr>
        <w:trPr>
          <w:trHeight w:val="360" w:hRule="atLeast"/>
        </w:trPr>
        <w:tc>
          <w:tcPr>
            <w:tcW w:w="1980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Lyondell Chemical</w:t>
            </w:r>
          </w:p>
        </w:tc>
        <w:tc>
          <w:tcPr>
            <w:tcW w:w="108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  <w:t>02 - 06</w:t>
            </w:r>
          </w:p>
        </w:tc>
        <w:tc>
          <w:tcPr>
            <w:tcW w:w="17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Global Markets - PetChem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Alan Engberg</w:t>
            </w:r>
          </w:p>
        </w:tc>
        <w:tc>
          <w:tcPr>
            <w:tcW w:w="1146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Virtual Power Plant Structure</w:t>
            </w:r>
          </w:p>
        </w:tc>
        <w:tc>
          <w:tcPr>
            <w:tcW w:w="144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Dec 2001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</w:r>
          </w:p>
          <w:p>
            <w:pPr>
              <w:pStyle w:val="Normal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cs="Arial" w:ascii="Arial" w:hAnsi="Arial"/>
                <w:sz w:val="16"/>
                <w:szCs w:val="20"/>
              </w:rPr>
            </w:r>
          </w:p>
          <w:p>
            <w:pPr>
              <w:pStyle w:val="Normal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cs="Arial" w:ascii="Arial" w:hAnsi="Arial"/>
                <w:sz w:val="16"/>
                <w:szCs w:val="20"/>
              </w:rPr>
              <w:t>Undefined</w:t>
            </w:r>
          </w:p>
        </w:tc>
      </w:tr>
      <w:tr>
        <w:trPr>
          <w:trHeight w:val="360" w:hRule="atLeast"/>
        </w:trPr>
        <w:tc>
          <w:tcPr>
            <w:tcW w:w="1980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Irving Oil</w:t>
            </w:r>
          </w:p>
        </w:tc>
        <w:tc>
          <w:tcPr>
            <w:tcW w:w="108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  <w:t>02 - 15</w:t>
            </w:r>
          </w:p>
        </w:tc>
        <w:tc>
          <w:tcPr>
            <w:tcW w:w="17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Global Markets - PetChem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Alan Engberg</w:t>
            </w:r>
          </w:p>
        </w:tc>
        <w:tc>
          <w:tcPr>
            <w:tcW w:w="1146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Cross chemical commodity deal</w:t>
            </w:r>
          </w:p>
        </w:tc>
        <w:tc>
          <w:tcPr>
            <w:tcW w:w="144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2001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</w:r>
          </w:p>
          <w:p>
            <w:pPr>
              <w:pStyle w:val="Normal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cs="Arial" w:ascii="Arial" w:hAnsi="Arial"/>
                <w:sz w:val="16"/>
                <w:szCs w:val="20"/>
              </w:rPr>
            </w:r>
          </w:p>
          <w:p>
            <w:pPr>
              <w:pStyle w:val="Normal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cs="Arial" w:ascii="Arial" w:hAnsi="Arial"/>
                <w:sz w:val="16"/>
                <w:szCs w:val="20"/>
              </w:rPr>
              <w:t>Undefined</w:t>
            </w:r>
          </w:p>
        </w:tc>
      </w:tr>
      <w:tr>
        <w:trPr>
          <w:trHeight w:val="360" w:hRule="atLeast"/>
        </w:trPr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Union Fenosa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  <w:highlight w:val="yellow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  <w:t>03 -28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  <w:highlight w:val="yellow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  <w:highlight w:val="yellow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Global Markets</w:t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LNG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Alice Weekley/Wayne Perry</w:t>
            </w:r>
          </w:p>
        </w:tc>
        <w:tc>
          <w:tcPr>
            <w:tcW w:w="11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Power Plant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Undefined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</w:r>
          </w:p>
          <w:p>
            <w:pPr>
              <w:pStyle w:val="Normal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cs="Arial" w:ascii="Arial" w:hAnsi="Arial"/>
                <w:sz w:val="16"/>
                <w:szCs w:val="20"/>
              </w:rPr>
              <w:t>Undefined</w:t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4"/>
        <w:ind w:firstLine="720" w:start="720" w:end="0"/>
        <w:jc w:val="start"/>
        <w:rPr>
          <w:sz w:val="28"/>
        </w:rPr>
      </w:pPr>
      <w:r>
        <w:rPr>
          <w:sz w:val="28"/>
        </w:rPr>
        <w:t>2001 EWS Strategic (Educational) Visits</w:t>
      </w:r>
    </w:p>
    <w:p>
      <w:pPr>
        <w:pStyle w:val="Header"/>
        <w:tabs>
          <w:tab w:val="clear" w:pos="4320"/>
          <w:tab w:val="clear" w:pos="8640"/>
        </w:tabs>
        <w:ind w:start="-540" w:end="0"/>
        <w:rPr/>
      </w:pPr>
      <w:r>
        <w:rPr/>
        <w:t>Americas</w:t>
      </w:r>
    </w:p>
    <w:tbl>
      <w:tblPr>
        <w:tblW w:w="10655" w:type="dxa"/>
        <w:jc w:val="start"/>
        <w:tblInd w:w="-935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35"/>
        <w:gridCol w:w="1080"/>
        <w:gridCol w:w="2160"/>
        <w:gridCol w:w="1800"/>
        <w:gridCol w:w="2880"/>
      </w:tblGrid>
      <w:tr>
        <w:trPr>
          <w:trHeight w:val="360" w:hRule="atLeast"/>
        </w:trPr>
        <w:tc>
          <w:tcPr>
            <w:tcW w:w="2735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16"/>
                <w:szCs w:val="20"/>
              </w:rPr>
              <w:t>Visitor</w:t>
            </w:r>
          </w:p>
        </w:tc>
        <w:tc>
          <w:tcPr>
            <w:tcW w:w="1080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16"/>
                <w:szCs w:val="20"/>
              </w:rPr>
              <w:t>Enron Visit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16"/>
                <w:szCs w:val="20"/>
              </w:rPr>
              <w:t>Date</w:t>
            </w:r>
          </w:p>
        </w:tc>
        <w:tc>
          <w:tcPr>
            <w:tcW w:w="2160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16"/>
                <w:szCs w:val="20"/>
              </w:rPr>
              <w:t>EWS Dept.</w:t>
            </w:r>
          </w:p>
        </w:tc>
        <w:tc>
          <w:tcPr>
            <w:tcW w:w="1800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16"/>
                <w:szCs w:val="20"/>
              </w:rPr>
              <w:t>EWS Host</w:t>
            </w:r>
          </w:p>
        </w:tc>
        <w:tc>
          <w:tcPr>
            <w:tcW w:w="2880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tcMar>
              <w:top w:w="20" w:type="dxa"/>
              <w:start w:w="20" w:type="dxa"/>
              <w:end w:w="20" w:type="dxa"/>
            </w:tcMar>
            <w:vAlign w:val="bottom"/>
          </w:tcPr>
          <w:p>
            <w:pPr>
              <w:pStyle w:val="Heading6"/>
              <w:ind w:hanging="0" w:start="0"/>
              <w:rPr>
                <w:rFonts w:eastAsia="Arial Unicode MS"/>
              </w:rPr>
            </w:pPr>
            <w:r>
              <w:rPr/>
              <w:t>Type of Visit</w:t>
            </w:r>
          </w:p>
        </w:tc>
      </w:tr>
      <w:tr>
        <w:trPr>
          <w:trHeight w:val="360" w:hRule="atLeast"/>
        </w:trPr>
        <w:tc>
          <w:tcPr>
            <w:tcW w:w="2735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FF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  <w:szCs w:val="20"/>
              </w:rPr>
            </w:r>
          </w:p>
          <w:p>
            <w:pPr>
              <w:pStyle w:val="Normal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Bank of Mitsubishi - Tokyo</w:t>
            </w:r>
          </w:p>
        </w:tc>
        <w:tc>
          <w:tcPr>
            <w:tcW w:w="1080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  <w:t>01 - 05</w:t>
            </w:r>
          </w:p>
        </w:tc>
        <w:tc>
          <w:tcPr>
            <w:tcW w:w="2160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Finance</w:t>
            </w:r>
          </w:p>
        </w:tc>
        <w:tc>
          <w:tcPr>
            <w:tcW w:w="1800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Sarah Heineman</w:t>
            </w:r>
          </w:p>
        </w:tc>
        <w:tc>
          <w:tcPr>
            <w:tcW w:w="2880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tcMar>
              <w:top w:w="20" w:type="dxa"/>
              <w:start w:w="20" w:type="dxa"/>
              <w:end w:w="20" w:type="dxa"/>
            </w:tcMar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Existing Customer</w:t>
            </w:r>
          </w:p>
        </w:tc>
      </w:tr>
      <w:tr>
        <w:trPr>
          <w:trHeight w:val="360" w:hRule="atLeast"/>
        </w:trPr>
        <w:tc>
          <w:tcPr>
            <w:tcW w:w="2735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</w:r>
          </w:p>
          <w:p>
            <w:pPr>
              <w:pStyle w:val="Normal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Applied Terravision</w:t>
            </w:r>
          </w:p>
        </w:tc>
        <w:tc>
          <w:tcPr>
            <w:tcW w:w="1080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  <w:t>01-10</w:t>
            </w:r>
          </w:p>
        </w:tc>
        <w:tc>
          <w:tcPr>
            <w:tcW w:w="2160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Upstream Orig</w:t>
            </w:r>
          </w:p>
        </w:tc>
        <w:tc>
          <w:tcPr>
            <w:tcW w:w="1800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John Grass</w:t>
            </w:r>
          </w:p>
        </w:tc>
        <w:tc>
          <w:tcPr>
            <w:tcW w:w="2880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tcMar>
              <w:top w:w="20" w:type="dxa"/>
              <w:start w:w="20" w:type="dxa"/>
              <w:end w:w="20" w:type="dxa"/>
            </w:tcMar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Strategic Alliance Partner</w:t>
            </w:r>
          </w:p>
        </w:tc>
      </w:tr>
      <w:tr>
        <w:trPr>
          <w:trHeight w:val="360" w:hRule="atLeast"/>
        </w:trPr>
        <w:tc>
          <w:tcPr>
            <w:tcW w:w="2735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</w:r>
          </w:p>
          <w:p>
            <w:pPr>
              <w:pStyle w:val="Normal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UT Professor Leon Lasden</w:t>
            </w:r>
          </w:p>
        </w:tc>
        <w:tc>
          <w:tcPr>
            <w:tcW w:w="1080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  <w:t>01-26</w:t>
            </w:r>
          </w:p>
        </w:tc>
        <w:tc>
          <w:tcPr>
            <w:tcW w:w="2160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Research</w:t>
            </w:r>
          </w:p>
        </w:tc>
        <w:tc>
          <w:tcPr>
            <w:tcW w:w="1800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Vince Kaminski</w:t>
            </w:r>
          </w:p>
        </w:tc>
        <w:tc>
          <w:tcPr>
            <w:tcW w:w="2880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tcMar>
              <w:top w:w="20" w:type="dxa"/>
              <w:start w:w="20" w:type="dxa"/>
              <w:end w:w="20" w:type="dxa"/>
            </w:tcMar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PR</w:t>
            </w:r>
          </w:p>
        </w:tc>
      </w:tr>
      <w:tr>
        <w:trPr>
          <w:trHeight w:val="360" w:hRule="atLeast"/>
        </w:trPr>
        <w:tc>
          <w:tcPr>
            <w:tcW w:w="2735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</w:r>
          </w:p>
          <w:p>
            <w:pPr>
              <w:pStyle w:val="Normal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Rice MBA Students</w:t>
            </w:r>
          </w:p>
        </w:tc>
        <w:tc>
          <w:tcPr>
            <w:tcW w:w="1080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  <w:t>01-31</w:t>
            </w:r>
          </w:p>
        </w:tc>
        <w:tc>
          <w:tcPr>
            <w:tcW w:w="2160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Research</w:t>
            </w:r>
          </w:p>
        </w:tc>
        <w:tc>
          <w:tcPr>
            <w:tcW w:w="1800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Vince Kaminski</w:t>
            </w:r>
          </w:p>
        </w:tc>
        <w:tc>
          <w:tcPr>
            <w:tcW w:w="2880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tcMar>
              <w:top w:w="20" w:type="dxa"/>
              <w:start w:w="20" w:type="dxa"/>
              <w:end w:w="20" w:type="dxa"/>
            </w:tcMar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Recruiting</w:t>
            </w:r>
          </w:p>
        </w:tc>
      </w:tr>
      <w:tr>
        <w:trPr>
          <w:trHeight w:val="360" w:hRule="atLeast"/>
        </w:trPr>
        <w:tc>
          <w:tcPr>
            <w:tcW w:w="2735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</w:r>
          </w:p>
          <w:p>
            <w:pPr>
              <w:pStyle w:val="Normal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Nisource, TJ Aruffo</w:t>
            </w:r>
          </w:p>
        </w:tc>
        <w:tc>
          <w:tcPr>
            <w:tcW w:w="1080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  <w:t>02-01</w:t>
            </w:r>
          </w:p>
        </w:tc>
        <w:tc>
          <w:tcPr>
            <w:tcW w:w="2160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Gas Enovate</w:t>
            </w:r>
          </w:p>
        </w:tc>
        <w:tc>
          <w:tcPr>
            <w:tcW w:w="1800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Gregg Penman</w:t>
            </w:r>
          </w:p>
        </w:tc>
        <w:tc>
          <w:tcPr>
            <w:tcW w:w="2880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tcMar>
              <w:top w:w="20" w:type="dxa"/>
              <w:start w:w="20" w:type="dxa"/>
              <w:end w:w="20" w:type="dxa"/>
            </w:tcMar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Strategic Alliance Partner</w:t>
            </w:r>
          </w:p>
        </w:tc>
      </w:tr>
      <w:tr>
        <w:trPr>
          <w:trHeight w:val="360" w:hRule="atLeast"/>
        </w:trPr>
        <w:tc>
          <w:tcPr>
            <w:tcW w:w="2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Credit Suisse First Boston Corp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  <w:t>02-06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Finance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Tim DeSpain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20" w:type="dxa"/>
              <w:start w:w="20" w:type="dxa"/>
              <w:end w:w="20" w:type="dxa"/>
            </w:tcMar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PR</w:t>
            </w:r>
          </w:p>
        </w:tc>
      </w:tr>
      <w:tr>
        <w:trPr>
          <w:trHeight w:val="360" w:hRule="atLeast"/>
        </w:trPr>
        <w:tc>
          <w:tcPr>
            <w:tcW w:w="2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Energy Regulatory Commission - Mexico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  <w:t>02-12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Mexico – Govt. Affairs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Ricardo Charvel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20" w:type="dxa"/>
              <w:start w:w="20" w:type="dxa"/>
              <w:end w:w="20" w:type="dxa"/>
            </w:tcMar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PR</w:t>
            </w:r>
          </w:p>
        </w:tc>
      </w:tr>
      <w:tr>
        <w:trPr>
          <w:trHeight w:val="360" w:hRule="atLeast"/>
        </w:trPr>
        <w:tc>
          <w:tcPr>
            <w:tcW w:w="2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</w:r>
          </w:p>
          <w:p>
            <w:pPr>
              <w:pStyle w:val="Normal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McInnes Cooper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  <w:t>02-20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Legal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Elizabeth Sager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20" w:type="dxa"/>
              <w:start w:w="20" w:type="dxa"/>
              <w:end w:w="20" w:type="dxa"/>
            </w:tcMar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PR</w:t>
            </w:r>
          </w:p>
        </w:tc>
      </w:tr>
      <w:tr>
        <w:trPr>
          <w:trHeight w:val="360" w:hRule="atLeast"/>
        </w:trPr>
        <w:tc>
          <w:tcPr>
            <w:tcW w:w="2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Juan Carlos Navarro, Mayor of Panama City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  <w:t>03-05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Panama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Larry Kelly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20" w:type="dxa"/>
              <w:start w:w="20" w:type="dxa"/>
              <w:end w:w="20" w:type="dxa"/>
            </w:tcMar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International Dignitary</w:t>
            </w:r>
          </w:p>
        </w:tc>
      </w:tr>
      <w:tr>
        <w:trPr>
          <w:trHeight w:val="360" w:hRule="atLeast"/>
        </w:trPr>
        <w:tc>
          <w:tcPr>
            <w:tcW w:w="2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</w:r>
          </w:p>
          <w:p>
            <w:pPr>
              <w:pStyle w:val="Normal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Edison Electric Institute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  <w:t>03-07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Legal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Shari Stack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20" w:type="dxa"/>
              <w:start w:w="20" w:type="dxa"/>
              <w:end w:w="20" w:type="dxa"/>
            </w:tcMar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Strategic Alliance Partner</w:t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-540" w:end="0"/>
        <w:rPr/>
      </w:pPr>
      <w:r>
        <w:rPr/>
        <w:t>Europe</w:t>
      </w:r>
    </w:p>
    <w:tbl>
      <w:tblPr>
        <w:tblW w:w="10620" w:type="dxa"/>
        <w:jc w:val="start"/>
        <w:tblInd w:w="-90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00"/>
        <w:gridCol w:w="1080"/>
        <w:gridCol w:w="2160"/>
        <w:gridCol w:w="1800"/>
        <w:gridCol w:w="2880"/>
      </w:tblGrid>
      <w:tr>
        <w:trPr>
          <w:trHeight w:val="360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16"/>
                <w:szCs w:val="20"/>
              </w:rPr>
              <w:t>Visitor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16"/>
                <w:szCs w:val="20"/>
              </w:rPr>
              <w:t>Enron Visit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16"/>
                <w:szCs w:val="20"/>
              </w:rPr>
              <w:t>Date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16"/>
                <w:szCs w:val="20"/>
              </w:rPr>
              <w:t>EWS Dept.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16"/>
                <w:szCs w:val="20"/>
              </w:rPr>
              <w:t>EWS Host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20" w:type="dxa"/>
              <w:start w:w="20" w:type="dxa"/>
              <w:end w:w="20" w:type="dxa"/>
            </w:tcMar>
            <w:vAlign w:val="bottom"/>
          </w:tcPr>
          <w:p>
            <w:pPr>
              <w:pStyle w:val="Heading6"/>
              <w:ind w:hanging="0" w:start="0"/>
              <w:rPr>
                <w:rFonts w:eastAsia="Arial Unicode MS"/>
              </w:rPr>
            </w:pPr>
            <w:r>
              <w:rPr/>
              <w:t>Type of Visit</w:t>
            </w:r>
          </w:p>
        </w:tc>
      </w:tr>
      <w:tr>
        <w:trPr>
          <w:trHeight w:val="360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16"/>
                <w:szCs w:val="20"/>
              </w:rPr>
            </w:r>
          </w:p>
          <w:p>
            <w:pPr>
              <w:pStyle w:val="Normal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WINGAS (Cambridge Energy Conference)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  <w:t>02-12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Europe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John Thompson/Andrew Fairley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20" w:type="dxa"/>
              <w:start w:w="20" w:type="dxa"/>
              <w:end w:w="20" w:type="dxa"/>
            </w:tcMar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PR</w:t>
            </w:r>
          </w:p>
        </w:tc>
      </w:tr>
      <w:tr>
        <w:trPr>
          <w:trHeight w:val="360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</w:r>
          </w:p>
          <w:p>
            <w:pPr>
              <w:pStyle w:val="Normal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Herrn Maichel (Cambridge Energy Conference)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  <w:t>02-14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Europe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John Thompson/Andrew Fairley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20" w:type="dxa"/>
              <w:start w:w="20" w:type="dxa"/>
              <w:end w:w="20" w:type="dxa"/>
            </w:tcMar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Existing Customer</w:t>
            </w:r>
          </w:p>
        </w:tc>
      </w:tr>
      <w:tr>
        <w:trPr>
          <w:trHeight w:val="360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</w:r>
          </w:p>
          <w:p>
            <w:pPr>
              <w:pStyle w:val="Normal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Wolfgang Eschment (Cambridge Energy Conference)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  <w:t>02-15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Europe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John Thompson/Andrew Fairley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20" w:type="dxa"/>
              <w:start w:w="20" w:type="dxa"/>
              <w:end w:w="20" w:type="dxa"/>
            </w:tcMar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Existing Customer</w:t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1"/>
        <w:ind w:hanging="0" w:start="-540" w:end="0"/>
        <w:rPr/>
      </w:pPr>
      <w:r>
        <w:rPr/>
        <w:t>Industrial Markets</w:t>
      </w:r>
    </w:p>
    <w:tbl>
      <w:tblPr>
        <w:tblW w:w="10620" w:type="dxa"/>
        <w:jc w:val="start"/>
        <w:tblInd w:w="-90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00"/>
        <w:gridCol w:w="1080"/>
        <w:gridCol w:w="2160"/>
        <w:gridCol w:w="1800"/>
        <w:gridCol w:w="2880"/>
      </w:tblGrid>
      <w:tr>
        <w:trPr>
          <w:trHeight w:val="360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hanging="80" w:start="80" w:end="0"/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16"/>
                <w:szCs w:val="20"/>
              </w:rPr>
              <w:t>Visitor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16"/>
                <w:szCs w:val="20"/>
              </w:rPr>
              <w:t>Enron Visit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16"/>
                <w:szCs w:val="20"/>
              </w:rPr>
              <w:t>Date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16"/>
                <w:szCs w:val="20"/>
              </w:rPr>
              <w:t>EWS Dept.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16"/>
                <w:szCs w:val="20"/>
              </w:rPr>
              <w:t>EWS Host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20" w:type="dxa"/>
              <w:start w:w="20" w:type="dxa"/>
              <w:end w:w="20" w:type="dxa"/>
            </w:tcMar>
            <w:vAlign w:val="bottom"/>
          </w:tcPr>
          <w:p>
            <w:pPr>
              <w:pStyle w:val="Heading6"/>
              <w:ind w:hanging="0" w:start="0"/>
              <w:rPr>
                <w:rFonts w:eastAsia="Arial Unicode MS"/>
              </w:rPr>
            </w:pPr>
            <w:r>
              <w:rPr/>
              <w:t>Type of Visit</w:t>
            </w:r>
          </w:p>
        </w:tc>
      </w:tr>
      <w:tr>
        <w:trPr>
          <w:trHeight w:val="360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16"/>
                <w:szCs w:val="20"/>
              </w:rPr>
            </w:r>
          </w:p>
          <w:p>
            <w:pPr>
              <w:pStyle w:val="Normal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</w:r>
          </w:p>
          <w:p>
            <w:pPr>
              <w:pStyle w:val="Normal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Steel Mid-Marketers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  <w:t>01-17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Steel Fundamentals Group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Doug Parsons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20" w:type="dxa"/>
              <w:start w:w="20" w:type="dxa"/>
              <w:end w:w="20" w:type="dxa"/>
            </w:tcMar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New Hires</w:t>
            </w:r>
          </w:p>
        </w:tc>
      </w:tr>
      <w:tr>
        <w:trPr>
          <w:trHeight w:val="360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</w:r>
          </w:p>
          <w:p>
            <w:pPr>
              <w:pStyle w:val="Normal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Waterhill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  <w:t>02-26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Pulp &amp; Paper Origination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Elliott Bonner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20" w:type="dxa"/>
              <w:start w:w="20" w:type="dxa"/>
              <w:end w:w="20" w:type="dxa"/>
            </w:tcMar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Strategic Alliance Partner</w:t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1"/>
        <w:ind w:hanging="0" w:start="-540" w:end="0"/>
        <w:rPr/>
      </w:pPr>
      <w:r>
        <w:rPr/>
        <w:t>Global Markets</w:t>
      </w:r>
    </w:p>
    <w:tbl>
      <w:tblPr>
        <w:tblW w:w="10620" w:type="dxa"/>
        <w:jc w:val="start"/>
        <w:tblInd w:w="-90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700"/>
        <w:gridCol w:w="1080"/>
        <w:gridCol w:w="2160"/>
        <w:gridCol w:w="1800"/>
        <w:gridCol w:w="2880"/>
      </w:tblGrid>
      <w:tr>
        <w:trPr>
          <w:trHeight w:val="360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16"/>
                <w:szCs w:val="20"/>
              </w:rPr>
              <w:t>Visitor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16"/>
                <w:szCs w:val="20"/>
              </w:rPr>
              <w:t>Enron Visit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16"/>
                <w:szCs w:val="20"/>
              </w:rPr>
              <w:t>Date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16"/>
                <w:szCs w:val="20"/>
              </w:rPr>
              <w:t>EWS Dept.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16"/>
                <w:szCs w:val="20"/>
              </w:rPr>
              <w:t>EWS Host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20" w:type="dxa"/>
              <w:start w:w="20" w:type="dxa"/>
              <w:end w:w="20" w:type="dxa"/>
            </w:tcMar>
            <w:vAlign w:val="bottom"/>
          </w:tcPr>
          <w:p>
            <w:pPr>
              <w:pStyle w:val="Heading6"/>
              <w:ind w:hanging="0" w:start="0"/>
              <w:rPr>
                <w:rFonts w:eastAsia="Arial Unicode MS"/>
              </w:rPr>
            </w:pPr>
            <w:r>
              <w:rPr/>
              <w:t>Type of Visit</w:t>
            </w:r>
          </w:p>
        </w:tc>
      </w:tr>
      <w:tr>
        <w:trPr>
          <w:trHeight w:val="573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16"/>
                <w:szCs w:val="20"/>
              </w:rPr>
            </w:r>
          </w:p>
          <w:p>
            <w:pPr>
              <w:pStyle w:val="Normal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</w:r>
          </w:p>
          <w:p>
            <w:pPr>
              <w:pStyle w:val="Normal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Envera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  <w:t>03-22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FF0000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color w:val="FF0000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Petro Chemicals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Alan Engberg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20" w:type="dxa"/>
              <w:start w:w="20" w:type="dxa"/>
              <w:end w:w="20" w:type="dxa"/>
            </w:tcMar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  <w:szCs w:val="20"/>
              </w:rPr>
            </w:pPr>
            <w:r>
              <w:rPr>
                <w:rFonts w:eastAsia="Arial Unicode MS" w:cs="Arial" w:ascii="Arial" w:hAnsi="Arial"/>
                <w:sz w:val="16"/>
                <w:szCs w:val="20"/>
              </w:rPr>
              <w:t>Existing Customer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1987" w:right="1440" w:gutter="0" w:header="720" w:top="900" w:footer="720" w:bottom="77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mc:AlternateContent>
        <mc:Choice Requires="wpg">
          <w:drawing>
            <wp:anchor behindDoc="1" distT="0" distB="0" distL="114935" distR="114935" simplePos="0" locked="0" layoutInCell="1" allowOverlap="1" relativeHeight="4">
              <wp:simplePos x="0" y="0"/>
              <wp:positionH relativeFrom="column">
                <wp:posOffset>8098155</wp:posOffset>
              </wp:positionH>
              <wp:positionV relativeFrom="paragraph">
                <wp:posOffset>7620</wp:posOffset>
              </wp:positionV>
              <wp:extent cx="727710" cy="548005"/>
              <wp:effectExtent l="0" t="0" r="0" b="0"/>
              <wp:wrapNone/>
              <wp:docPr id="2" name="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7560" cy="547920"/>
                        <a:chOff x="0" y="0"/>
                        <a:chExt cx="727560" cy="547920"/>
                      </a:xfrm>
                    </wpg:grpSpPr>
                    <pic:pic xmlns:pic="http://schemas.openxmlformats.org/drawingml/2006/picture">
                      <pic:nvPicPr>
                        <pic:cNvPr id="3" name="ENE_C_WHI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612720" cy="547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wps:wsp>
                      <wps:cNvSpPr txBox="1"/>
                      <wps:spPr>
                        <a:xfrm>
                          <a:off x="477000" y="256680"/>
                          <a:ext cx="250920" cy="194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4"/>
                                <w:b/>
                                <w:szCs w:val="24"/>
                                <w:rFonts w:ascii="Times New Roman" w:hAnsi="Times New Roman" w:eastAsia="Times New Roman" w:cs="Times New Roman"/>
                                <w:color w:val="00FFFF"/>
                                <w:lang w:val="en-US" w:bidi="ar-SA"/>
                              </w:rPr>
                              <w:t>®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style="position:absolute;margin-left:637.65pt;margin-top:0.6pt;width:57.3pt;height:43.15pt" coordorigin="12753,12" coordsize="1146,86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ENE_C_WHI" stroked="f" o:allowincell="f" style="position:absolute;left:12753;top:12;width:964;height:862;mso-wrap-style:none;v-text-anchor:middle" type="_x0000_t75">
                <v:imagedata r:id="rId2" o:detectmouseclick="t"/>
                <v:stroke color="#3465a4" joinstyle="round" endcap="flat"/>
                <w10:wrap type="none"/>
              </v:shape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stroked="f" o:allowincell="f" style="position:absolute;left:13504;top:416;width:394;height:305;mso-wrap-style:none;v-text-anchor:middl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4"/>
                          <w:b/>
                          <w:szCs w:val="24"/>
                          <w:rFonts w:ascii="Times New Roman" w:hAnsi="Times New Roman" w:eastAsia="Times New Roman" w:cs="Times New Roman"/>
                          <w:color w:val="00FFFF"/>
                          <w:lang w:val="en-US" w:bidi="ar-SA"/>
                        </w:rPr>
                        <w:t>®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</v:group>
          </w:pict>
        </mc:Fallback>
      </mc:AlternateContent>
    </w:r>
    <w:r>
      <w:rPr/>
      <w:t>Property of EWS</w:t>
    </w:r>
  </w:p>
  <w:p>
    <w:pPr>
      <w:pStyle w:val="Normal"/>
      <w:jc w:val="center"/>
      <w:rPr/>
    </w:pPr>
    <w:r>
      <w:rPr/>
      <w:t>(Only for those with a need to know)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mc:AlternateContent>
        <mc:Choice Requires="wpg">
          <w:drawing>
            <wp:anchor behindDoc="1" distT="0" distB="0" distL="114935" distR="114935" simplePos="0" locked="0" layoutInCell="1" allowOverlap="1" relativeHeight="5">
              <wp:simplePos x="0" y="0"/>
              <wp:positionH relativeFrom="column">
                <wp:posOffset>8098155</wp:posOffset>
              </wp:positionH>
              <wp:positionV relativeFrom="paragraph">
                <wp:posOffset>7620</wp:posOffset>
              </wp:positionV>
              <wp:extent cx="727710" cy="548005"/>
              <wp:effectExtent l="0" t="0" r="0" b="0"/>
              <wp:wrapNone/>
              <wp:docPr id="4" name="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7560" cy="547920"/>
                        <a:chOff x="0" y="0"/>
                        <a:chExt cx="727560" cy="547920"/>
                      </a:xfrm>
                    </wpg:grpSpPr>
                    <pic:pic xmlns:pic="http://schemas.openxmlformats.org/drawingml/2006/picture">
                      <pic:nvPicPr>
                        <pic:cNvPr id="5" name="ENE_C_WHI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612720" cy="547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wps:wsp>
                      <wps:cNvSpPr txBox="1"/>
                      <wps:spPr>
                        <a:xfrm>
                          <a:off x="477000" y="256680"/>
                          <a:ext cx="250920" cy="194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4"/>
                                <w:b/>
                                <w:szCs w:val="24"/>
                                <w:rFonts w:ascii="Times New Roman" w:hAnsi="Times New Roman" w:eastAsia="Times New Roman" w:cs="Times New Roman"/>
                                <w:color w:val="00FFFF"/>
                                <w:lang w:val="en-US" w:bidi="ar-SA"/>
                              </w:rPr>
                              <w:t>®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style="position:absolute;margin-left:637.65pt;margin-top:0.6pt;width:57.3pt;height:43.15pt" coordorigin="12753,12" coordsize="1146,863">
              <v:shape id="shape_0" ID="ENE_C_WHI" stroked="f" o:allowincell="f" style="position:absolute;left:12753;top:12;width:964;height:862;mso-wrap-style:none;v-text-anchor:middle" type="_x0000_t75">
                <v:imagedata r:id="rId2" o:detectmouseclick="t"/>
                <v:stroke color="#3465a4" joinstyle="round" endcap="flat"/>
                <w10:wrap type="none"/>
              </v:shape>
              <v:shape id="shape_0" stroked="f" o:allowincell="f" style="position:absolute;left:13504;top:416;width:394;height:305;mso-wrap-style:none;v-text-anchor:middle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4"/>
                          <w:b/>
                          <w:szCs w:val="24"/>
                          <w:rFonts w:ascii="Times New Roman" w:hAnsi="Times New Roman" w:eastAsia="Times New Roman" w:cs="Times New Roman"/>
                          <w:color w:val="00FFFF"/>
                          <w:lang w:val="en-US" w:bidi="ar-SA"/>
                        </w:rPr>
                        <w:t>®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</v:group>
          </w:pict>
        </mc:Fallback>
      </mc:AlternateContent>
    </w:r>
    <w:r>
      <w:rPr/>
      <w:t>Property of EWS</w:t>
    </w:r>
  </w:p>
  <w:p>
    <w:pPr>
      <w:pStyle w:val="Footer"/>
      <w:jc w:val="center"/>
      <w:rPr/>
    </w:pPr>
    <w:r>
      <w:rPr/>
      <w:t>(Only for those with a need to know)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>
        <w:sz w:val="20"/>
      </w:rPr>
      <w:t xml:space="preserve">EWS </w:t>
    </w:r>
    <w:r>
      <w:rPr>
        <w:i/>
        <w:iCs/>
        <w:sz w:val="20"/>
      </w:rPr>
      <w:t>experience</w:t>
    </w:r>
    <w:r>
      <w:rPr>
        <w:sz w:val="20"/>
      </w:rPr>
      <w:t>ENRON Report</w:t>
    </w:r>
  </w:p>
  <w:p>
    <w:pPr>
      <w:pStyle w:val="Header"/>
      <w:rPr/>
    </w:pPr>
    <w:r>
      <w:rPr>
        <w:sz w:val="20"/>
      </w:rPr>
      <w:t xml:space="preserve">Page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>
      <w:rPr>
        <w:rStyle w:val="PageNumber"/>
        <w:sz w:val="20"/>
      </w:rPr>
      <w:t>3</w:t>
    </w:r>
    <w:r>
      <w:rPr>
        <w:rStyle w:val="PageNumber"/>
        <w:sz w:val="20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Arial" w:hAnsi="Arial" w:cs="Arial"/>
      <w:b/>
      <w:bCs/>
      <w:color w:val="FF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Arial" w:hAnsi="Arial" w:eastAsia="Arial Unicode MS" w:cs="Arial"/>
      <w:b/>
      <w:bCs/>
      <w:sz w:val="16"/>
      <w:szCs w:val="20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Arial" w:hAnsi="Arial" w:cs="Arial"/>
      <w:b/>
      <w:bCs/>
      <w:color w:val="0000FF"/>
      <w:sz w:val="16"/>
      <w:szCs w:val="20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b/>
      <w:bCs/>
      <w:color w:val="0000FF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rFonts w:ascii="Arial" w:hAnsi="Arial" w:eastAsia="Arial Unicode MS" w:cs="Arial"/>
      <w:b/>
      <w:bCs/>
      <w:sz w:val="22"/>
      <w:szCs w:val="20"/>
    </w:rPr>
  </w:style>
  <w:style w:type="character" w:styleId="DefaultParagraphFont">
    <w:name w:val="Default Paragraph Font"/>
    <w:qFormat/>
    <w:rPr/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xl24">
    <w:name w:val="xl2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Arial" w:hAnsi="Arial" w:eastAsia="Arial Unicode MS" w:cs="Arial"/>
      <w:sz w:val="18"/>
      <w:szCs w:val="18"/>
    </w:rPr>
  </w:style>
  <w:style w:type="paragraph" w:styleId="xl25">
    <w:name w:val="xl2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Arial" w:hAnsi="Arial" w:eastAsia="Arial Unicode MS" w:cs="Arial"/>
      <w:sz w:val="18"/>
      <w:szCs w:val="18"/>
    </w:rPr>
  </w:style>
  <w:style w:type="paragraph" w:styleId="xl26">
    <w:name w:val="xl2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Arial" w:hAnsi="Arial" w:eastAsia="Arial Unicode MS" w:cs="Arial"/>
      <w:b/>
      <w:bCs/>
      <w:sz w:val="18"/>
      <w:szCs w:val="18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Header"/>
    <w:qFormat/>
    <w:pPr>
      <w:suppressLineNumbers/>
      <w:tabs>
        <w:tab w:val="clear" w:pos="4320"/>
        <w:tab w:val="clear" w:pos="8640"/>
        <w:tab w:val="center" w:pos="4406" w:leader="none"/>
        <w:tab w:val="right" w:pos="8813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2.pn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2001-05-01T15:17:00Z</dcterms:created>
  <dc:creator>crobert</dc:creator>
  <dc:description/>
  <dc:language>en-CA</dc:language>
  <cp:lastModifiedBy>crobert</cp:lastModifiedBy>
  <cp:lastPrinted>2001-05-01T12:00:00Z</cp:lastPrinted>
  <dcterms:modified xsi:type="dcterms:W3CDTF">2001-05-01T15:17:00Z</dcterms:modified>
  <cp:revision>2</cp:revision>
  <dc:subject/>
  <dc:title>ExperienceENRON Statistics</dc:title>
</cp:coreProperties>
</file>