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r>
        <mc:AlternateContent>
          <mc:Choice Requires="wps">
            <w:drawing>
              <wp:anchor behindDoc="0" distT="0" distB="0" distL="118745" distR="118745" simplePos="0" locked="0" layoutInCell="0" allowOverlap="1" relativeHeight="2">
                <wp:simplePos x="0" y="0"/>
                <wp:positionH relativeFrom="page">
                  <wp:posOffset>915035</wp:posOffset>
                </wp:positionH>
                <wp:positionV relativeFrom="page">
                  <wp:posOffset>457835</wp:posOffset>
                </wp:positionV>
                <wp:extent cx="1557020" cy="1188720"/>
                <wp:effectExtent l="0" t="0" r="0" b="0"/>
                <wp:wrapSquare wrapText="bothSides"/>
                <wp:docPr id="1" name="Frame1"/>
                <a:graphic xmlns:a="http://schemas.openxmlformats.org/drawingml/2006/main">
                  <a:graphicData uri="http://schemas.microsoft.com/office/word/2010/wordprocessingShape">
                    <wps:wsp>
                      <wps:cNvSpPr txBox="1"/>
                      <wps:spPr>
                        <a:xfrm>
                          <a:off x="0" y="0"/>
                          <a:ext cx="1557020" cy="1188720"/>
                        </a:xfrm>
                        <a:prstGeom prst="rect"/>
                        <a:solidFill>
                          <a:srgbClr val="FFFFFF">
                            <a:alpha val="0"/>
                          </a:srgbClr>
                        </a:solidFill>
                      </wps:spPr>
                      <wps:txbx>
                        <w:txbxContent>
                          <w:p>
                            <w:pPr>
                              <w:pStyle w:val="Normal"/>
                              <w:rPr>
                                <w:sz w:val="23"/>
                              </w:rPr>
                            </w:pPr>
                            <w:r>
                              <w:rPr>
                                <w:sz w:val="23"/>
                              </w:rPr>
                              <w:tab/>
                            </w:r>
                            <w:r>
                              <w:rPr>
                                <w:sz w:val="23"/>
                              </w:rPr>
                              <w:drawing>
                                <wp:inline distT="0" distB="0" distL="0" distR="0">
                                  <wp:extent cx="1213485" cy="11887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13485" cy="11887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22.6pt;height:93.6pt;mso-wrap-distance-left:9.35pt;mso-wrap-distance-right:9.35pt;mso-wrap-distance-top:0pt;mso-wrap-distance-bottom:0pt;margin-top:36.05pt;mso-position-vertical-relative:page;margin-left:72.05pt;mso-position-horizontal-relative:page">
                <v:fill opacity="0f"/>
                <v:textbox inset="0in,0in,0in,0in">
                  <w:txbxContent>
                    <w:p>
                      <w:pPr>
                        <w:pStyle w:val="Normal"/>
                        <w:rPr>
                          <w:sz w:val="23"/>
                        </w:rPr>
                      </w:pPr>
                      <w:r>
                        <w:rPr>
                          <w:sz w:val="23"/>
                        </w:rPr>
                        <w:tab/>
                      </w:r>
                      <w:r>
                        <w:rPr>
                          <w:sz w:val="23"/>
                        </w:rPr>
                        <w:drawing>
                          <wp:inline distT="0" distB="0" distL="0" distR="0">
                            <wp:extent cx="1213485" cy="11887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13485" cy="1188720"/>
                                    </a:xfrm>
                                    <a:prstGeom prst="rect">
                                      <a:avLst/>
                                    </a:prstGeom>
                                    <a:noFill/>
                                  </pic:spPr>
                                </pic:pic>
                              </a:graphicData>
                            </a:graphic>
                          </wp:inline>
                        </w:drawing>
                      </w:r>
                    </w:p>
                  </w:txbxContent>
                </v:textbox>
                <w10:wrap type="square"/>
              </v:rect>
            </w:pict>
          </mc:Fallback>
        </mc:AlternateContent>
      </w:r>
    </w:p>
    <w:p>
      <w:pPr>
        <w:pStyle w:val="Heading"/>
        <w:rPr>
          <w:sz w:val="23"/>
        </w:rPr>
      </w:pPr>
      <w:r>
        <w:rPr>
          <w:sz w:val="23"/>
        </w:rPr>
      </w:r>
    </w:p>
    <w:p>
      <w:pPr>
        <w:pStyle w:val="Heading"/>
        <w:rPr>
          <w:sz w:val="23"/>
        </w:rPr>
      </w:pPr>
      <w:r>
        <w:rPr>
          <w:sz w:val="23"/>
        </w:rPr>
      </w:r>
    </w:p>
    <w:p>
      <w:pPr>
        <w:pStyle w:val="Heading"/>
        <w:rPr>
          <w:sz w:val="23"/>
        </w:rPr>
      </w:pPr>
      <w:r>
        <w:rPr>
          <w:sz w:val="23"/>
        </w:rPr>
      </w:r>
      <w:r>
        <mc:AlternateContent>
          <mc:Choice Requires="wps">
            <w:drawing>
              <wp:anchor behindDoc="0" distT="0" distB="0" distL="118745" distR="118745" simplePos="0" locked="0" layoutInCell="0" allowOverlap="1" relativeHeight="4">
                <wp:simplePos x="0" y="0"/>
                <wp:positionH relativeFrom="page">
                  <wp:posOffset>2905125</wp:posOffset>
                </wp:positionH>
                <wp:positionV relativeFrom="page">
                  <wp:posOffset>1489075</wp:posOffset>
                </wp:positionV>
                <wp:extent cx="4013835" cy="569595"/>
                <wp:effectExtent l="0" t="0" r="0" b="0"/>
                <wp:wrapSquare wrapText="bothSides"/>
                <wp:docPr id="4" name="Frame2"/>
                <a:graphic xmlns:a="http://schemas.openxmlformats.org/drawingml/2006/main">
                  <a:graphicData uri="http://schemas.microsoft.com/office/word/2010/wordprocessingShape">
                    <wps:wsp>
                      <wps:cNvSpPr txBox="1"/>
                      <wps:spPr>
                        <a:xfrm>
                          <a:off x="0" y="0"/>
                          <a:ext cx="4013835" cy="569595"/>
                        </a:xfrm>
                        <a:prstGeom prst="rect"/>
                        <a:solidFill>
                          <a:srgbClr val="FFFFFF">
                            <a:alpha val="0"/>
                          </a:srgbClr>
                        </a:solidFill>
                      </wps:spPr>
                      <wps:txbx>
                        <w:txbxContent>
                          <w:p>
                            <w:pPr>
                              <w:pStyle w:val="Normal"/>
                              <w:rPr/>
                            </w:pPr>
                            <w:r>
                              <w:rPr>
                                <w:i/>
                                <w:sz w:val="23"/>
                              </w:rPr>
                              <w:tab/>
                            </w:r>
                            <w:r>
                              <w:rPr>
                                <w:i/>
                                <w:sz w:val="22"/>
                                <w:u w:val="single"/>
                              </w:rPr>
                              <w:t>PRIVILEGED AND CONFIDENTIAL ATTORNEY-CLIENT</w:t>
                            </w:r>
                          </w:p>
                          <w:p>
                            <w:pPr>
                              <w:pStyle w:val="Normal"/>
                              <w:rPr>
                                <w:sz w:val="22"/>
                              </w:rPr>
                            </w:pPr>
                            <w:r>
                              <w:rPr>
                                <w:i/>
                                <w:sz w:val="22"/>
                              </w:rPr>
                              <w:tab/>
                            </w:r>
                            <w:r>
                              <w:rPr>
                                <w:i/>
                                <w:sz w:val="22"/>
                                <w:u w:val="single"/>
                              </w:rPr>
                              <w:t>COMMUNICATION AND ATTORNEY WORK PRODUCT</w:t>
                            </w:r>
                          </w:p>
                        </w:txbxContent>
                      </wps:txbx>
                      <wps:bodyPr anchor="t" lIns="0" tIns="0" rIns="0" bIns="0">
                        <a:noAutofit/>
                      </wps:bodyPr>
                    </wps:wsp>
                  </a:graphicData>
                </a:graphic>
              </wp:anchor>
            </w:drawing>
          </mc:Choice>
          <mc:Fallback>
            <w:pict>
              <v:rect fillcolor="#FFFFFF" style="position:absolute;rotation:-0;width:316.05pt;height:44.85pt;mso-wrap-distance-left:9.35pt;mso-wrap-distance-right:9.35pt;mso-wrap-distance-top:0pt;mso-wrap-distance-bottom:0pt;margin-top:117.25pt;mso-position-vertical-relative:page;margin-left:228.75pt;mso-position-horizontal-relative:page">
                <v:fill opacity="0f"/>
                <v:textbox inset="0in,0in,0in,0in">
                  <w:txbxContent>
                    <w:p>
                      <w:pPr>
                        <w:pStyle w:val="Normal"/>
                        <w:rPr/>
                      </w:pPr>
                      <w:r>
                        <w:rPr>
                          <w:i/>
                          <w:sz w:val="23"/>
                        </w:rPr>
                        <w:tab/>
                      </w:r>
                      <w:r>
                        <w:rPr>
                          <w:i/>
                          <w:sz w:val="22"/>
                          <w:u w:val="single"/>
                        </w:rPr>
                        <w:t>PRIVILEGED AND CONFIDENTIAL ATTORNEY-CLIENT</w:t>
                      </w:r>
                    </w:p>
                    <w:p>
                      <w:pPr>
                        <w:pStyle w:val="Normal"/>
                        <w:rPr>
                          <w:sz w:val="22"/>
                        </w:rPr>
                      </w:pPr>
                      <w:r>
                        <w:rPr>
                          <w:i/>
                          <w:sz w:val="22"/>
                        </w:rPr>
                        <w:tab/>
                      </w:r>
                      <w:r>
                        <w:rPr>
                          <w:i/>
                          <w:sz w:val="22"/>
                          <w:u w:val="single"/>
                        </w:rPr>
                        <w:t>COMMUNICATION AND ATTORNEY WORK PRODUCT</w:t>
                      </w:r>
                    </w:p>
                  </w:txbxContent>
                </v:textbox>
                <w10:wrap type="square"/>
              </v:rect>
            </w:pict>
          </mc:Fallback>
        </mc:AlternateContent>
      </w:r>
    </w:p>
    <w:p>
      <w:pPr>
        <w:pStyle w:val="Heading"/>
        <w:rPr>
          <w:sz w:val="23"/>
        </w:rPr>
      </w:pPr>
      <w:r>
        <w:rPr>
          <w:sz w:val="23"/>
        </w:rPr>
      </w:r>
    </w:p>
    <w:p>
      <w:pPr>
        <w:pStyle w:val="Normal"/>
        <w:jc w:val="end"/>
        <w:rPr>
          <w:i/>
          <w:i/>
          <w:sz w:val="23"/>
          <w:u w:val="single"/>
        </w:rPr>
      </w:pPr>
      <w:r>
        <w:rPr>
          <w:i/>
          <w:sz w:val="23"/>
          <w:u w:val="single"/>
        </w:rPr>
      </w:r>
    </w:p>
    <w:tbl>
      <w:tblPr>
        <w:tblW w:w="10082" w:type="dxa"/>
        <w:jc w:val="start"/>
        <w:tblInd w:w="108" w:type="dxa"/>
        <w:tblLayout w:type="fixed"/>
        <w:tblCellMar>
          <w:top w:w="0" w:type="dxa"/>
          <w:start w:w="108" w:type="dxa"/>
          <w:bottom w:w="0" w:type="dxa"/>
          <w:end w:w="108" w:type="dxa"/>
        </w:tblCellMar>
      </w:tblPr>
      <w:tblGrid>
        <w:gridCol w:w="1020"/>
        <w:gridCol w:w="7"/>
        <w:gridCol w:w="5407"/>
        <w:gridCol w:w="7"/>
        <w:gridCol w:w="1394"/>
        <w:gridCol w:w="7"/>
        <w:gridCol w:w="2233"/>
        <w:gridCol w:w="7"/>
      </w:tblGrid>
      <w:tr>
        <w:trPr>
          <w:trHeight w:val="332" w:hRule="exact"/>
        </w:trPr>
        <w:tc>
          <w:tcPr>
            <w:tcW w:w="1027" w:type="dxa"/>
            <w:gridSpan w:val="2"/>
            <w:tcBorders>
              <w:top w:val="single" w:sz="12" w:space="0" w:color="000000"/>
            </w:tcBorders>
          </w:tcPr>
          <w:p>
            <w:pPr>
              <w:pStyle w:val="Normal"/>
              <w:snapToGrid w:val="false"/>
              <w:rPr>
                <w:sz w:val="23"/>
              </w:rPr>
            </w:pPr>
            <w:r>
              <w:rPr>
                <w:sz w:val="23"/>
              </w:rPr>
            </w:r>
          </w:p>
        </w:tc>
        <w:tc>
          <w:tcPr>
            <w:tcW w:w="5414" w:type="dxa"/>
            <w:gridSpan w:val="2"/>
            <w:tcBorders>
              <w:top w:val="single" w:sz="12" w:space="0" w:color="000000"/>
            </w:tcBorders>
          </w:tcPr>
          <w:p>
            <w:pPr>
              <w:pStyle w:val="Normal"/>
              <w:snapToGrid w:val="false"/>
              <w:rPr>
                <w:sz w:val="23"/>
              </w:rPr>
            </w:pPr>
            <w:r>
              <w:rPr>
                <w:sz w:val="23"/>
              </w:rPr>
            </w:r>
          </w:p>
        </w:tc>
        <w:tc>
          <w:tcPr>
            <w:tcW w:w="1401" w:type="dxa"/>
            <w:gridSpan w:val="2"/>
            <w:tcBorders>
              <w:top w:val="single" w:sz="12" w:space="0" w:color="000000"/>
            </w:tcBorders>
          </w:tcPr>
          <w:p>
            <w:pPr>
              <w:pStyle w:val="Normal"/>
              <w:snapToGrid w:val="false"/>
              <w:rPr>
                <w:sz w:val="23"/>
              </w:rPr>
            </w:pPr>
            <w:r>
              <w:rPr>
                <w:sz w:val="23"/>
              </w:rPr>
            </w:r>
          </w:p>
        </w:tc>
        <w:tc>
          <w:tcPr>
            <w:tcW w:w="2240" w:type="dxa"/>
            <w:tcBorders>
              <w:top w:val="single" w:sz="12" w:space="0" w:color="000000"/>
            </w:tcBorders>
          </w:tcPr>
          <w:p>
            <w:pPr>
              <w:pStyle w:val="Normal"/>
              <w:snapToGrid w:val="false"/>
              <w:rPr>
                <w:sz w:val="23"/>
              </w:rPr>
            </w:pPr>
            <w:r>
              <w:rPr>
                <w:sz w:val="23"/>
              </w:rPr>
            </w:r>
          </w:p>
        </w:tc>
      </w:tr>
      <w:tr>
        <w:trPr>
          <w:trHeight w:val="332" w:hRule="exact"/>
        </w:trPr>
        <w:tc>
          <w:tcPr>
            <w:tcW w:w="1027" w:type="dxa"/>
            <w:gridSpan w:val="2"/>
            <w:tcBorders/>
          </w:tcPr>
          <w:p>
            <w:pPr>
              <w:pStyle w:val="Normal"/>
              <w:ind w:start="-180" w:end="0"/>
              <w:jc w:val="end"/>
              <w:rPr>
                <w:sz w:val="23"/>
              </w:rPr>
            </w:pPr>
            <w:r>
              <w:rPr>
                <w:sz w:val="23"/>
              </w:rPr>
              <w:t>To:</w:t>
            </w:r>
          </w:p>
        </w:tc>
        <w:tc>
          <w:tcPr>
            <w:tcW w:w="5414" w:type="dxa"/>
            <w:gridSpan w:val="2"/>
            <w:tcBorders/>
          </w:tcPr>
          <w:p>
            <w:pPr>
              <w:pStyle w:val="To"/>
              <w:rPr>
                <w:sz w:val="23"/>
              </w:rPr>
            </w:pPr>
            <w:r>
              <w:rPr>
                <w:sz w:val="23"/>
              </w:rPr>
              <w:t>Mark E. Haedicke</w:t>
            </w:r>
          </w:p>
        </w:tc>
        <w:tc>
          <w:tcPr>
            <w:tcW w:w="1401" w:type="dxa"/>
            <w:gridSpan w:val="2"/>
            <w:tcBorders/>
          </w:tcPr>
          <w:p>
            <w:pPr>
              <w:pStyle w:val="Normal"/>
              <w:snapToGrid w:val="false"/>
              <w:ind w:start="-180" w:end="0"/>
              <w:jc w:val="end"/>
              <w:rPr>
                <w:sz w:val="23"/>
              </w:rPr>
            </w:pPr>
            <w:r>
              <w:rPr>
                <w:sz w:val="23"/>
              </w:rPr>
            </w:r>
          </w:p>
        </w:tc>
        <w:tc>
          <w:tcPr>
            <w:tcW w:w="2240" w:type="dxa"/>
            <w:tcBorders/>
          </w:tcPr>
          <w:p>
            <w:pPr>
              <w:pStyle w:val="Normal"/>
              <w:snapToGrid w:val="false"/>
              <w:jc w:val="end"/>
              <w:rPr>
                <w:sz w:val="23"/>
              </w:rPr>
            </w:pPr>
            <w:r>
              <w:rPr>
                <w:sz w:val="23"/>
              </w:rPr>
            </w:r>
          </w:p>
        </w:tc>
      </w:tr>
      <w:tr>
        <w:trPr>
          <w:trHeight w:val="558" w:hRule="exact"/>
        </w:trPr>
        <w:tc>
          <w:tcPr>
            <w:tcW w:w="1027" w:type="dxa"/>
            <w:gridSpan w:val="2"/>
            <w:tcBorders/>
          </w:tcPr>
          <w:p>
            <w:pPr>
              <w:pStyle w:val="Normal"/>
              <w:ind w:start="-180" w:end="0"/>
              <w:jc w:val="end"/>
              <w:rPr>
                <w:sz w:val="23"/>
              </w:rPr>
            </w:pPr>
            <w:r>
              <w:rPr>
                <w:sz w:val="23"/>
              </w:rPr>
              <w:t>From:</w:t>
            </w:r>
          </w:p>
        </w:tc>
        <w:tc>
          <w:tcPr>
            <w:tcW w:w="5414" w:type="dxa"/>
            <w:gridSpan w:val="2"/>
            <w:tcBorders/>
          </w:tcPr>
          <w:p>
            <w:pPr>
              <w:pStyle w:val="From"/>
              <w:rPr>
                <w:sz w:val="23"/>
              </w:rPr>
            </w:pPr>
            <w:r>
              <w:rPr>
                <w:sz w:val="23"/>
              </w:rPr>
              <w:t>Andy Edison                                                      Richard Sanders</w:t>
            </w:r>
          </w:p>
        </w:tc>
        <w:tc>
          <w:tcPr>
            <w:tcW w:w="1401" w:type="dxa"/>
            <w:gridSpan w:val="2"/>
            <w:tcBorders/>
          </w:tcPr>
          <w:p>
            <w:pPr>
              <w:pStyle w:val="Normal"/>
              <w:ind w:start="-180" w:end="0"/>
              <w:jc w:val="end"/>
              <w:rPr>
                <w:sz w:val="23"/>
              </w:rPr>
            </w:pPr>
            <w:r>
              <w:rPr>
                <w:sz w:val="23"/>
              </w:rPr>
              <w:t>Department:</w:t>
            </w:r>
          </w:p>
        </w:tc>
        <w:tc>
          <w:tcPr>
            <w:tcW w:w="2240" w:type="dxa"/>
            <w:tcBorders/>
          </w:tcPr>
          <w:p>
            <w:pPr>
              <w:pStyle w:val="Department"/>
              <w:rPr>
                <w:sz w:val="23"/>
              </w:rPr>
            </w:pPr>
            <w:bookmarkStart w:id="0" w:name="From"/>
            <w:bookmarkEnd w:id="0"/>
            <w:r>
              <w:rPr>
                <w:sz w:val="23"/>
              </w:rPr>
              <w:t>EWS Legal</w:t>
            </w:r>
          </w:p>
        </w:tc>
      </w:tr>
      <w:tr>
        <w:trPr>
          <w:trHeight w:val="306" w:hRule="exact"/>
        </w:trPr>
        <w:tc>
          <w:tcPr>
            <w:tcW w:w="1020" w:type="dxa"/>
            <w:tcBorders>
              <w:bottom w:val="double" w:sz="6" w:space="0" w:color="000000"/>
            </w:tcBorders>
          </w:tcPr>
          <w:p>
            <w:pPr>
              <w:pStyle w:val="Normal"/>
              <w:ind w:start="-180" w:end="0"/>
              <w:jc w:val="end"/>
              <w:rPr>
                <w:sz w:val="23"/>
              </w:rPr>
            </w:pPr>
            <w:r>
              <w:rPr>
                <w:sz w:val="23"/>
              </w:rPr>
              <w:t>Subject:</w:t>
            </w:r>
          </w:p>
        </w:tc>
        <w:tc>
          <w:tcPr>
            <w:tcW w:w="5414" w:type="dxa"/>
            <w:gridSpan w:val="2"/>
            <w:tcBorders>
              <w:bottom w:val="double" w:sz="6" w:space="0" w:color="000000"/>
            </w:tcBorders>
          </w:tcPr>
          <w:p>
            <w:pPr>
              <w:pStyle w:val="Subject"/>
              <w:rPr>
                <w:sz w:val="23"/>
              </w:rPr>
            </w:pPr>
            <w:r>
              <w:rPr>
                <w:sz w:val="23"/>
              </w:rPr>
              <w:t>Status of EWS Litigation</w:t>
            </w:r>
          </w:p>
        </w:tc>
        <w:tc>
          <w:tcPr>
            <w:tcW w:w="1401" w:type="dxa"/>
            <w:gridSpan w:val="2"/>
            <w:tcBorders>
              <w:bottom w:val="double" w:sz="6" w:space="0" w:color="000000"/>
            </w:tcBorders>
          </w:tcPr>
          <w:p>
            <w:pPr>
              <w:pStyle w:val="Normal"/>
              <w:ind w:start="-180" w:end="0"/>
              <w:jc w:val="end"/>
              <w:rPr>
                <w:sz w:val="23"/>
              </w:rPr>
            </w:pPr>
            <w:r>
              <w:rPr>
                <w:sz w:val="23"/>
              </w:rPr>
              <w:t>Date:</w:t>
            </w:r>
          </w:p>
        </w:tc>
        <w:tc>
          <w:tcPr>
            <w:tcW w:w="2240" w:type="dxa"/>
            <w:gridSpan w:val="2"/>
            <w:tcBorders>
              <w:bottom w:val="double" w:sz="6" w:space="0" w:color="000000"/>
            </w:tcBorders>
          </w:tcPr>
          <w:p>
            <w:pPr>
              <w:pStyle w:val="Subject"/>
              <w:tabs>
                <w:tab w:val="left" w:pos="540" w:leader="none"/>
              </w:tabs>
              <w:spacing w:before="0" w:after="120"/>
              <w:rPr>
                <w:sz w:val="23"/>
              </w:rPr>
            </w:pPr>
            <w:r>
              <w:rPr>
                <w:sz w:val="23"/>
              </w:rPr>
              <w:fldChar w:fldCharType="begin"/>
            </w:r>
            <w:r>
              <w:rPr>
                <w:sz w:val="23"/>
              </w:rPr>
              <w:instrText xml:space="preserve"> DATE \@"MMMM\ d', 'yyyy" </w:instrText>
            </w:r>
            <w:r>
              <w:rPr>
                <w:sz w:val="23"/>
              </w:rPr>
              <w:fldChar w:fldCharType="separate"/>
            </w:r>
            <w:r>
              <w:rPr>
                <w:sz w:val="23"/>
              </w:rPr>
              <w:t>September 28, 2025</w:t>
            </w:r>
            <w:r>
              <w:rPr>
                <w:sz w:val="23"/>
              </w:rPr>
              <w:fldChar w:fldCharType="end"/>
            </w:r>
          </w:p>
        </w:tc>
      </w:tr>
    </w:tbl>
    <w:p>
      <w:pPr>
        <w:pStyle w:val="Body"/>
        <w:rPr>
          <w:sz w:val="23"/>
        </w:rPr>
      </w:pPr>
      <w:r>
        <w:rPr>
          <w:sz w:val="23"/>
        </w:rPr>
      </w:r>
      <w:bookmarkStart w:id="1" w:name="StartOfMemo"/>
      <w:bookmarkStart w:id="2" w:name="StartOfMemo"/>
      <w:bookmarkEnd w:id="2"/>
    </w:p>
    <w:p>
      <w:pPr>
        <w:pStyle w:val="Body"/>
        <w:ind w:start="0" w:end="0"/>
        <w:rPr>
          <w:b/>
          <w:sz w:val="23"/>
        </w:rPr>
      </w:pPr>
      <w:r>
        <w:rPr>
          <w:b/>
          <w:sz w:val="23"/>
        </w:rPr>
        <w:t>ACTIVE LITIGATION</w:t>
      </w:r>
    </w:p>
    <w:p>
      <w:pPr>
        <w:pStyle w:val="Body"/>
        <w:ind w:start="0" w:end="0"/>
        <w:rPr>
          <w:b/>
          <w:sz w:val="23"/>
          <w:u w:val="single"/>
        </w:rPr>
      </w:pPr>
      <w:r>
        <w:rPr>
          <w:b/>
          <w:sz w:val="23"/>
          <w:u w:val="single"/>
        </w:rPr>
      </w:r>
    </w:p>
    <w:p>
      <w:pPr>
        <w:pStyle w:val="Heading7"/>
        <w:ind w:hanging="0" w:start="0"/>
        <w:rPr>
          <w:sz w:val="23"/>
        </w:rPr>
      </w:pPr>
      <w:r>
        <w:rPr>
          <w:sz w:val="23"/>
        </w:rPr>
        <w:t>Berry Group, Ltd v. Enron North America</w:t>
      </w:r>
    </w:p>
    <w:p>
      <w:pPr>
        <w:pStyle w:val="Body"/>
        <w:ind w:start="0" w:end="0"/>
        <w:rPr>
          <w:bCs/>
          <w:color w:val="000000"/>
          <w:sz w:val="23"/>
        </w:rPr>
      </w:pPr>
      <w:r>
        <w:rPr>
          <w:bCs/>
          <w:color w:val="000000"/>
          <w:sz w:val="23"/>
        </w:rPr>
        <w:t>(Corpus Christi State District Court) (Bracewell &amp; Patterson/Cliff Gunter)</w:t>
      </w:r>
    </w:p>
    <w:p>
      <w:pPr>
        <w:pStyle w:val="Body"/>
        <w:ind w:start="0" w:end="0"/>
        <w:rPr>
          <w:bCs/>
          <w:color w:val="000000"/>
          <w:sz w:val="23"/>
          <w:u w:val="single"/>
        </w:rPr>
      </w:pPr>
      <w:r>
        <w:rPr>
          <w:bCs/>
          <w:color w:val="000000"/>
          <w:sz w:val="23"/>
          <w:u w:val="single"/>
        </w:rPr>
      </w:r>
    </w:p>
    <w:p>
      <w:pPr>
        <w:pStyle w:val="Normal"/>
        <w:numPr>
          <w:ilvl w:val="0"/>
          <w:numId w:val="4"/>
        </w:numPr>
        <w:jc w:val="both"/>
        <w:rPr>
          <w:bCs/>
          <w:sz w:val="23"/>
        </w:rPr>
      </w:pPr>
      <w:r>
        <w:rPr>
          <w:bCs/>
          <w:sz w:val="23"/>
        </w:rPr>
        <w:t>Berry Group is a Corpus Christi based company that lost over $6 million in the Qualitech bankruptcy.</w:t>
      </w:r>
    </w:p>
    <w:p>
      <w:pPr>
        <w:pStyle w:val="Normal"/>
        <w:numPr>
          <w:ilvl w:val="0"/>
          <w:numId w:val="4"/>
        </w:numPr>
        <w:jc w:val="both"/>
        <w:rPr>
          <w:bCs/>
          <w:sz w:val="23"/>
        </w:rPr>
      </w:pPr>
      <w:r>
        <w:rPr>
          <w:bCs/>
          <w:sz w:val="23"/>
        </w:rPr>
        <w:t>Berry alleges that Enron, through Kevin McConville, represented to the Berrys that Enron would pay for any losses the Berry’s incurred as a result of Qualitech bankruptcy.</w:t>
      </w:r>
    </w:p>
    <w:p>
      <w:pPr>
        <w:pStyle w:val="Normal"/>
        <w:numPr>
          <w:ilvl w:val="0"/>
          <w:numId w:val="4"/>
        </w:numPr>
        <w:jc w:val="both"/>
        <w:rPr>
          <w:bCs/>
          <w:sz w:val="23"/>
        </w:rPr>
      </w:pPr>
      <w:r>
        <w:rPr>
          <w:bCs/>
          <w:sz w:val="23"/>
        </w:rPr>
        <w:t>Discovery is proceeding.</w:t>
      </w:r>
    </w:p>
    <w:p>
      <w:pPr>
        <w:pStyle w:val="Normal"/>
        <w:jc w:val="both"/>
        <w:rPr>
          <w:b/>
          <w:bCs/>
          <w:i/>
          <w:i/>
          <w:sz w:val="23"/>
          <w:u w:val="single"/>
        </w:rPr>
      </w:pPr>
      <w:r>
        <w:rPr>
          <w:b/>
          <w:bCs/>
          <w:i/>
          <w:sz w:val="23"/>
          <w:u w:val="single"/>
        </w:rPr>
      </w:r>
    </w:p>
    <w:p>
      <w:pPr>
        <w:pStyle w:val="Heading7"/>
        <w:ind w:hanging="0" w:start="0"/>
        <w:rPr>
          <w:sz w:val="23"/>
        </w:rPr>
      </w:pPr>
      <w:r>
        <w:rPr>
          <w:sz w:val="23"/>
        </w:rPr>
        <w:t>Citrus v. Duke LNG Sales Dispute</w:t>
      </w:r>
    </w:p>
    <w:p>
      <w:pPr>
        <w:pStyle w:val="Normal"/>
        <w:jc w:val="both"/>
        <w:rPr>
          <w:bCs/>
          <w:sz w:val="23"/>
        </w:rPr>
      </w:pPr>
      <w:r>
        <w:rPr>
          <w:bCs/>
          <w:sz w:val="23"/>
        </w:rPr>
        <w:t>(AAA Arbitration) (Susman Godfrey/Neal Manne)</w:t>
      </w:r>
    </w:p>
    <w:p>
      <w:pPr>
        <w:pStyle w:val="Normal"/>
        <w:jc w:val="both"/>
        <w:rPr>
          <w:bCs/>
          <w:sz w:val="23"/>
        </w:rPr>
      </w:pPr>
      <w:r>
        <w:rPr>
          <w:bCs/>
          <w:sz w:val="23"/>
        </w:rPr>
      </w:r>
    </w:p>
    <w:p>
      <w:pPr>
        <w:pStyle w:val="Normal"/>
        <w:numPr>
          <w:ilvl w:val="0"/>
          <w:numId w:val="4"/>
        </w:numPr>
        <w:jc w:val="both"/>
        <w:rPr>
          <w:bCs/>
          <w:sz w:val="23"/>
        </w:rPr>
      </w:pPr>
      <w:r>
        <w:rPr>
          <w:bCs/>
          <w:sz w:val="23"/>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4"/>
        </w:numPr>
        <w:jc w:val="both"/>
        <w:rPr>
          <w:bCs/>
          <w:sz w:val="23"/>
        </w:rPr>
      </w:pPr>
      <w:r>
        <w:rPr>
          <w:bCs/>
          <w:sz w:val="23"/>
        </w:rPr>
        <w:t>Duke’s position in arbitration is that the price cap provisions in the contract are void and that Duke is entitled to either receive a market price or cancel the contract.  Citrus filed a motion in the arbitration arguing that Duke’s position was not within the jurisdiction of the arbitration panel and should be struck.  The arbitration panel deferred its decision on Citrus’ motion until after the arbitration.</w:t>
      </w:r>
    </w:p>
    <w:p>
      <w:pPr>
        <w:pStyle w:val="Normal"/>
        <w:numPr>
          <w:ilvl w:val="0"/>
          <w:numId w:val="4"/>
        </w:numPr>
        <w:jc w:val="both"/>
        <w:rPr>
          <w:bCs/>
          <w:sz w:val="23"/>
        </w:rPr>
      </w:pPr>
      <w:r>
        <w:rPr>
          <w:bCs/>
          <w:sz w:val="23"/>
        </w:rPr>
        <w:t>The market-to-market value to Enron is over $250 million.</w:t>
      </w:r>
    </w:p>
    <w:p>
      <w:pPr>
        <w:pStyle w:val="Normal"/>
        <w:numPr>
          <w:ilvl w:val="0"/>
          <w:numId w:val="4"/>
        </w:numPr>
        <w:jc w:val="both"/>
        <w:rPr>
          <w:bCs/>
          <w:sz w:val="23"/>
        </w:rPr>
      </w:pPr>
      <w:r>
        <w:rPr>
          <w:bCs/>
          <w:sz w:val="23"/>
        </w:rPr>
        <w:t>Both sides have chosen arbitrators.  Enron chose Mike Beatty.  The neutral arbitrator is Joe Morris, former Federal District Judge and General Counsel of Shell.</w:t>
      </w:r>
    </w:p>
    <w:p>
      <w:pPr>
        <w:pStyle w:val="Normal"/>
        <w:numPr>
          <w:ilvl w:val="0"/>
          <w:numId w:val="4"/>
        </w:numPr>
        <w:jc w:val="both"/>
        <w:rPr>
          <w:bCs/>
          <w:sz w:val="23"/>
        </w:rPr>
      </w:pPr>
      <w:r>
        <w:rPr>
          <w:bCs/>
          <w:sz w:val="23"/>
        </w:rPr>
        <w:t>The arbitration is scheduled in August 2001.</w:t>
      </w:r>
    </w:p>
    <w:p>
      <w:pPr>
        <w:pStyle w:val="Normal"/>
        <w:numPr>
          <w:ilvl w:val="0"/>
          <w:numId w:val="4"/>
        </w:numPr>
        <w:jc w:val="both"/>
        <w:rPr>
          <w:b/>
          <w:sz w:val="23"/>
        </w:rPr>
      </w:pPr>
      <w:r>
        <w:rPr>
          <w:bCs/>
          <w:sz w:val="23"/>
        </w:rPr>
        <w:t xml:space="preserve">Discovery is proceeding.  </w:t>
      </w:r>
      <w:r>
        <w:rPr>
          <w:b/>
          <w:sz w:val="23"/>
        </w:rPr>
        <w:t>Depositions will begin on June 12, 2001.</w:t>
      </w:r>
    </w:p>
    <w:p>
      <w:pPr>
        <w:pStyle w:val="Heading1"/>
        <w:keepLines w:val="false"/>
        <w:ind w:hanging="0" w:start="0"/>
        <w:rPr>
          <w:b/>
          <w:bCs/>
          <w:sz w:val="23"/>
        </w:rPr>
      </w:pPr>
      <w:r>
        <w:rPr>
          <w:b/>
          <w:bCs/>
          <w:sz w:val="23"/>
        </w:rPr>
      </w:r>
    </w:p>
    <w:p>
      <w:pPr>
        <w:pStyle w:val="Heading1"/>
        <w:keepLines w:val="false"/>
        <w:ind w:hanging="0" w:start="0"/>
        <w:rPr>
          <w:sz w:val="23"/>
        </w:rPr>
      </w:pPr>
      <w:r>
        <w:rPr>
          <w:sz w:val="23"/>
        </w:rPr>
        <w:t>Columbia and Enron v. TDC Energy Corporation</w:t>
      </w:r>
    </w:p>
    <w:p>
      <w:pPr>
        <w:pStyle w:val="Normal"/>
        <w:jc w:val="both"/>
        <w:rPr>
          <w:sz w:val="23"/>
        </w:rPr>
      </w:pPr>
      <w:r>
        <w:rPr>
          <w:sz w:val="23"/>
        </w:rPr>
        <w:t>(Federal District Court New Orleans) (Robert L. Redfearn, Jr.)</w:t>
      </w:r>
    </w:p>
    <w:p>
      <w:pPr>
        <w:pStyle w:val="Normal"/>
        <w:jc w:val="both"/>
        <w:rPr>
          <w:sz w:val="23"/>
        </w:rPr>
      </w:pPr>
      <w:r>
        <w:rPr>
          <w:sz w:val="23"/>
        </w:rPr>
      </w:r>
    </w:p>
    <w:p>
      <w:pPr>
        <w:pStyle w:val="Normal"/>
        <w:numPr>
          <w:ilvl w:val="0"/>
          <w:numId w:val="4"/>
        </w:numPr>
        <w:jc w:val="both"/>
        <w:rPr>
          <w:sz w:val="23"/>
        </w:rPr>
      </w:pPr>
      <w:r>
        <w:rPr>
          <w:sz w:val="23"/>
        </w:rPr>
        <w:t>Enron and Columbia Energy Services Corp. (“Columbia”) have sued TDC Energy Corporation (“TDC”) for breach of a hedge contract.  Enron and Columbia seek approximately $4.5 million damages.</w:t>
      </w:r>
    </w:p>
    <w:p>
      <w:pPr>
        <w:pStyle w:val="Normal"/>
        <w:numPr>
          <w:ilvl w:val="0"/>
          <w:numId w:val="4"/>
        </w:numPr>
        <w:jc w:val="both"/>
        <w:rPr>
          <w:sz w:val="23"/>
        </w:rPr>
      </w:pPr>
      <w:r>
        <w:rPr>
          <w:sz w:val="23"/>
        </w:rPr>
        <w:t>The hedge contract was an oral agreement reached by TDC and Columbia.  Enron purchased the contract from Columbia beginning in January 2000.</w:t>
      </w:r>
    </w:p>
    <w:p>
      <w:pPr>
        <w:pStyle w:val="Normal"/>
        <w:numPr>
          <w:ilvl w:val="0"/>
          <w:numId w:val="4"/>
        </w:numPr>
        <w:jc w:val="both"/>
        <w:rPr>
          <w:sz w:val="23"/>
        </w:rPr>
      </w:pPr>
      <w:r>
        <w:rPr>
          <w:sz w:val="23"/>
        </w:rPr>
        <w:t>In the course of settlement negotiations, TDC has not disputed that the parties reached an oral agreement.  Rather, TDC’s defense is simply that the Statute of Frauds prevents enforcement of the oral agreement.</w:t>
      </w:r>
    </w:p>
    <w:p>
      <w:pPr>
        <w:pStyle w:val="Normal"/>
        <w:numPr>
          <w:ilvl w:val="0"/>
          <w:numId w:val="4"/>
        </w:numPr>
        <w:jc w:val="both"/>
        <w:rPr>
          <w:sz w:val="23"/>
        </w:rPr>
      </w:pPr>
      <w:r>
        <w:rPr>
          <w:sz w:val="23"/>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4"/>
        </w:numPr>
        <w:jc w:val="both"/>
        <w:rPr>
          <w:sz w:val="23"/>
        </w:rPr>
      </w:pPr>
      <w:r>
        <w:rPr>
          <w:sz w:val="23"/>
        </w:rPr>
        <w:t>In the event a judge or jury determines that the hedge contract is not a legally enforceable obligation, Enron has reserved the right to seek contractual indemnification from Columbia.</w:t>
      </w:r>
    </w:p>
    <w:p>
      <w:pPr>
        <w:pStyle w:val="Normal"/>
        <w:jc w:val="both"/>
        <w:rPr>
          <w:bCs/>
          <w:i/>
          <w:i/>
          <w:sz w:val="23"/>
          <w:u w:val="single"/>
        </w:rPr>
      </w:pPr>
      <w:r>
        <w:rPr>
          <w:bCs/>
          <w:i/>
          <w:sz w:val="23"/>
          <w:u w:val="single"/>
        </w:rPr>
      </w:r>
    </w:p>
    <w:p>
      <w:pPr>
        <w:pStyle w:val="Normal"/>
        <w:jc w:val="both"/>
        <w:rPr>
          <w:bCs/>
          <w:i/>
          <w:i/>
          <w:sz w:val="23"/>
          <w:u w:val="single"/>
        </w:rPr>
      </w:pPr>
      <w:r>
        <w:rPr>
          <w:bCs/>
          <w:i/>
          <w:sz w:val="23"/>
          <w:u w:val="single"/>
        </w:rPr>
        <w:t>Dennis McKenna v. ECT</w:t>
      </w:r>
    </w:p>
    <w:p>
      <w:pPr>
        <w:pStyle w:val="Normal"/>
        <w:jc w:val="both"/>
        <w:rPr>
          <w:bCs/>
          <w:sz w:val="23"/>
        </w:rPr>
      </w:pPr>
      <w:r>
        <w:rPr>
          <w:bCs/>
          <w:sz w:val="23"/>
        </w:rPr>
        <w:t>(AAA Arbitration in Harris County) (</w:t>
      </w:r>
      <w:r>
        <w:rPr>
          <w:rFonts w:cs="Arial"/>
          <w:bCs/>
          <w:color w:val="000000"/>
          <w:sz w:val="23"/>
          <w:szCs w:val="18"/>
          <w:lang w:val="en-US"/>
        </w:rPr>
        <w:t>Bracewell &amp; Patterson/Cliff Gunter and Ileana Blanco)</w:t>
      </w:r>
    </w:p>
    <w:p>
      <w:pPr>
        <w:pStyle w:val="Normal"/>
        <w:tabs>
          <w:tab w:val="clear" w:pos="540"/>
        </w:tabs>
        <w:jc w:val="both"/>
        <w:rPr>
          <w:bCs/>
          <w:sz w:val="23"/>
        </w:rPr>
      </w:pPr>
      <w:r>
        <w:rPr>
          <w:bCs/>
          <w:sz w:val="23"/>
        </w:rPr>
      </w:r>
    </w:p>
    <w:p>
      <w:pPr>
        <w:pStyle w:val="Normal"/>
        <w:numPr>
          <w:ilvl w:val="0"/>
          <w:numId w:val="3"/>
        </w:numPr>
        <w:tabs>
          <w:tab w:val="clear" w:pos="540"/>
          <w:tab w:val="left" w:pos="1080" w:leader="none"/>
        </w:tabs>
        <w:ind w:hanging="360" w:start="1080" w:end="0"/>
        <w:jc w:val="both"/>
        <w:rPr>
          <w:bCs/>
          <w:sz w:val="23"/>
        </w:rPr>
      </w:pPr>
      <w:r>
        <w:rPr>
          <w:bCs/>
          <w:sz w:val="23"/>
        </w:rPr>
        <w:t xml:space="preserve">ECT entered into a Consulting Agreement with McKenna in 1997 in which McKenna was to provide consulting services in connection with a proposed power plant in Mexico.  The contract called for McKenna to earn a success fee of </w:t>
      </w:r>
      <w:r>
        <w:rPr>
          <w:b/>
          <w:sz w:val="23"/>
        </w:rPr>
        <w:t>approximately $3 million</w:t>
      </w:r>
      <w:r>
        <w:rPr>
          <w:bCs/>
          <w:sz w:val="23"/>
        </w:rPr>
        <w:t>.</w:t>
      </w:r>
    </w:p>
    <w:p>
      <w:pPr>
        <w:pStyle w:val="Normal"/>
        <w:numPr>
          <w:ilvl w:val="0"/>
          <w:numId w:val="3"/>
        </w:numPr>
        <w:tabs>
          <w:tab w:val="clear" w:pos="540"/>
          <w:tab w:val="left" w:pos="1080" w:leader="none"/>
        </w:tabs>
        <w:ind w:hanging="360" w:start="1080" w:end="0"/>
        <w:jc w:val="both"/>
        <w:rPr>
          <w:bCs/>
          <w:sz w:val="23"/>
        </w:rPr>
      </w:pPr>
      <w:r>
        <w:rPr>
          <w:bCs/>
          <w:sz w:val="23"/>
        </w:rPr>
        <w:t xml:space="preserve">ECT and McKenna parted ways in 1998.  When McKenna heard about the Vitro project, he requested that ECT pay him the success fee, </w:t>
      </w:r>
      <w:r>
        <w:rPr>
          <w:b/>
          <w:sz w:val="23"/>
        </w:rPr>
        <w:t>although the Vitro project is separate and distinct from the project referenced in the consulting agreement</w:t>
      </w:r>
      <w:r>
        <w:rPr>
          <w:bCs/>
          <w:sz w:val="23"/>
        </w:rPr>
        <w:t>.  ECT refused and McKenna has filed for arbitration</w:t>
      </w:r>
    </w:p>
    <w:p>
      <w:pPr>
        <w:pStyle w:val="Normal"/>
        <w:numPr>
          <w:ilvl w:val="0"/>
          <w:numId w:val="3"/>
        </w:numPr>
        <w:tabs>
          <w:tab w:val="clear" w:pos="540"/>
          <w:tab w:val="left" w:pos="1080" w:leader="none"/>
        </w:tabs>
        <w:ind w:hanging="360" w:start="1080" w:end="0"/>
        <w:jc w:val="both"/>
        <w:rPr>
          <w:bCs/>
          <w:sz w:val="23"/>
        </w:rPr>
      </w:pPr>
      <w:r>
        <w:rPr>
          <w:bCs/>
          <w:sz w:val="23"/>
        </w:rPr>
        <w:t>ECT has named Tom McDade as its party designate arbitrator.  The neutral arbitrator is Finus Cowen.</w:t>
      </w:r>
    </w:p>
    <w:p>
      <w:pPr>
        <w:pStyle w:val="Normal"/>
        <w:numPr>
          <w:ilvl w:val="0"/>
          <w:numId w:val="3"/>
        </w:numPr>
        <w:tabs>
          <w:tab w:val="clear" w:pos="540"/>
          <w:tab w:val="left" w:pos="1080" w:leader="none"/>
        </w:tabs>
        <w:ind w:hanging="360" w:start="1080" w:end="0"/>
        <w:jc w:val="both"/>
        <w:rPr>
          <w:bCs/>
          <w:sz w:val="23"/>
        </w:rPr>
      </w:pPr>
      <w:r>
        <w:rPr>
          <w:bCs/>
          <w:sz w:val="23"/>
        </w:rPr>
        <w:t>The arbitration is scheduled for August 20, 2001.</w:t>
      </w:r>
    </w:p>
    <w:p>
      <w:pPr>
        <w:pStyle w:val="Normal"/>
        <w:jc w:val="both"/>
        <w:rPr>
          <w:bCs/>
          <w:i/>
          <w:i/>
          <w:sz w:val="23"/>
          <w:u w:val="single"/>
        </w:rPr>
      </w:pPr>
      <w:r>
        <w:rPr>
          <w:bCs/>
          <w:i/>
          <w:sz w:val="23"/>
          <w:u w:val="single"/>
        </w:rPr>
      </w:r>
    </w:p>
    <w:p>
      <w:pPr>
        <w:pStyle w:val="Normal"/>
        <w:jc w:val="both"/>
        <w:rPr>
          <w:i/>
          <w:i/>
          <w:sz w:val="23"/>
          <w:u w:val="single"/>
        </w:rPr>
      </w:pPr>
      <w:r>
        <w:rPr>
          <w:i/>
          <w:sz w:val="23"/>
          <w:u w:val="single"/>
        </w:rPr>
        <w:t>Dow Waiver Litigation</w:t>
      </w:r>
    </w:p>
    <w:p>
      <w:pPr>
        <w:pStyle w:val="Normal"/>
        <w:jc w:val="both"/>
        <w:rPr>
          <w:sz w:val="23"/>
        </w:rPr>
      </w:pPr>
      <w:r>
        <w:rPr>
          <w:sz w:val="23"/>
        </w:rPr>
        <w:t>(Harris County State District Court) (Susman Godfrey/Bracewell &amp; Patterson/Vinson &amp; Elkins)</w:t>
      </w:r>
    </w:p>
    <w:p>
      <w:pPr>
        <w:pStyle w:val="Normal"/>
        <w:jc w:val="both"/>
        <w:rPr>
          <w:sz w:val="23"/>
        </w:rPr>
      </w:pPr>
      <w:r>
        <w:rPr>
          <w:sz w:val="23"/>
        </w:rPr>
      </w:r>
    </w:p>
    <w:p>
      <w:pPr>
        <w:pStyle w:val="Normal"/>
        <w:numPr>
          <w:ilvl w:val="0"/>
          <w:numId w:val="5"/>
        </w:numPr>
        <w:jc w:val="both"/>
        <w:rPr>
          <w:sz w:val="23"/>
        </w:rPr>
      </w:pPr>
      <w:r>
        <w:rPr>
          <w:sz w:val="23"/>
        </w:rPr>
        <w:t>Plaintiffs have filed a class action alleging that Houston Pipeline failed to take ratably from gas wells in West Texas.</w:t>
      </w:r>
    </w:p>
    <w:p>
      <w:pPr>
        <w:pStyle w:val="Normal"/>
        <w:numPr>
          <w:ilvl w:val="0"/>
          <w:numId w:val="5"/>
        </w:numPr>
        <w:jc w:val="both"/>
        <w:rPr>
          <w:sz w:val="23"/>
        </w:rPr>
      </w:pPr>
      <w:r>
        <w:rPr>
          <w:sz w:val="23"/>
        </w:rPr>
        <w:t>Plaintiffs allege $466 million in damages</w:t>
      </w:r>
    </w:p>
    <w:p>
      <w:pPr>
        <w:pStyle w:val="Normal"/>
        <w:numPr>
          <w:ilvl w:val="0"/>
          <w:numId w:val="5"/>
        </w:numPr>
        <w:jc w:val="both"/>
        <w:rPr>
          <w:sz w:val="23"/>
        </w:rPr>
      </w:pPr>
      <w:r>
        <w:rPr>
          <w:sz w:val="23"/>
        </w:rPr>
        <w:t>Our preliminary damage model indicates damages of $60 - $160 million if Plaintiffs recover on their claim.</w:t>
      </w:r>
    </w:p>
    <w:p>
      <w:pPr>
        <w:pStyle w:val="Normal"/>
        <w:numPr>
          <w:ilvl w:val="0"/>
          <w:numId w:val="5"/>
        </w:numPr>
        <w:jc w:val="both"/>
        <w:rPr>
          <w:sz w:val="23"/>
        </w:rPr>
      </w:pPr>
      <w:r>
        <w:rPr>
          <w:sz w:val="23"/>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5"/>
        </w:numPr>
        <w:jc w:val="both"/>
        <w:rPr>
          <w:sz w:val="23"/>
        </w:rPr>
      </w:pPr>
      <w:r>
        <w:rPr>
          <w:sz w:val="23"/>
        </w:rPr>
        <w:t>The trial is expected within 12-24 months.</w:t>
      </w:r>
    </w:p>
    <w:p>
      <w:pPr>
        <w:pStyle w:val="Normal"/>
        <w:numPr>
          <w:ilvl w:val="0"/>
          <w:numId w:val="5"/>
        </w:numPr>
        <w:jc w:val="both"/>
        <w:rPr>
          <w:sz w:val="23"/>
        </w:rPr>
      </w:pPr>
      <w:r>
        <w:rPr>
          <w:sz w:val="23"/>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5"/>
        </w:numPr>
        <w:jc w:val="both"/>
        <w:rPr>
          <w:sz w:val="23"/>
        </w:rPr>
      </w:pPr>
      <w:r>
        <w:rPr>
          <w:sz w:val="23"/>
        </w:rPr>
        <w:t>The Plaintiffs filed a motion for a rehearing of the trial court’s rulings.  On January 18</w:t>
      </w:r>
      <w:r>
        <w:rPr>
          <w:sz w:val="23"/>
          <w:vertAlign w:val="superscript"/>
        </w:rPr>
        <w:t>th</w:t>
      </w:r>
      <w:r>
        <w:rPr>
          <w:sz w:val="23"/>
        </w:rPr>
        <w:t>, the Court denied the motion for rehearing.</w:t>
      </w:r>
    </w:p>
    <w:p>
      <w:pPr>
        <w:pStyle w:val="Normal"/>
        <w:numPr>
          <w:ilvl w:val="0"/>
          <w:numId w:val="5"/>
        </w:numPr>
        <w:jc w:val="both"/>
        <w:rPr>
          <w:sz w:val="23"/>
        </w:rPr>
      </w:pPr>
      <w:r>
        <w:rPr>
          <w:sz w:val="23"/>
        </w:rPr>
        <w:t>Plaintiffs have appealed.</w:t>
      </w:r>
    </w:p>
    <w:p>
      <w:pPr>
        <w:pStyle w:val="Normal"/>
        <w:jc w:val="both"/>
        <w:rPr>
          <w:i/>
          <w:i/>
          <w:sz w:val="23"/>
          <w:u w:val="single"/>
        </w:rPr>
      </w:pPr>
      <w:r>
        <w:rPr>
          <w:i/>
          <w:sz w:val="23"/>
          <w:u w:val="single"/>
        </w:rPr>
      </w:r>
    </w:p>
    <w:p>
      <w:pPr>
        <w:pStyle w:val="Heading1"/>
        <w:keepLines w:val="false"/>
        <w:ind w:hanging="0" w:start="0"/>
        <w:rPr>
          <w:sz w:val="23"/>
        </w:rPr>
      </w:pPr>
      <w:r>
        <w:rPr>
          <w:sz w:val="23"/>
        </w:rPr>
        <w:t>Enron v. Antarra Resources</w:t>
      </w:r>
    </w:p>
    <w:p>
      <w:pPr>
        <w:pStyle w:val="Normal"/>
        <w:jc w:val="both"/>
        <w:rPr>
          <w:sz w:val="23"/>
        </w:rPr>
      </w:pPr>
      <w:r>
        <w:rPr>
          <w:sz w:val="23"/>
        </w:rPr>
        <w:t xml:space="preserve">(Harris County State District Court) (Buck, Keenan &amp; Gage/Jim Keenan) </w:t>
      </w:r>
    </w:p>
    <w:p>
      <w:pPr>
        <w:pStyle w:val="Normal"/>
        <w:ind w:start="720" w:end="0"/>
        <w:jc w:val="both"/>
        <w:rPr>
          <w:sz w:val="23"/>
        </w:rPr>
      </w:pPr>
      <w:r>
        <w:rPr>
          <w:sz w:val="23"/>
        </w:rPr>
      </w:r>
    </w:p>
    <w:p>
      <w:pPr>
        <w:pStyle w:val="Normal"/>
        <w:numPr>
          <w:ilvl w:val="0"/>
          <w:numId w:val="4"/>
        </w:numPr>
        <w:jc w:val="both"/>
        <w:rPr>
          <w:sz w:val="23"/>
        </w:rPr>
      </w:pPr>
      <w:r>
        <w:rPr>
          <w:sz w:val="23"/>
        </w:rPr>
        <w:t>Badack Resources, a subsidiary of Antarra, defaulted on a gas sales agreement with ENA.</w:t>
      </w:r>
    </w:p>
    <w:p>
      <w:pPr>
        <w:pStyle w:val="Normal"/>
        <w:numPr>
          <w:ilvl w:val="0"/>
          <w:numId w:val="4"/>
        </w:numPr>
        <w:jc w:val="both"/>
        <w:rPr>
          <w:sz w:val="23"/>
        </w:rPr>
      </w:pPr>
      <w:r>
        <w:rPr>
          <w:sz w:val="23"/>
        </w:rPr>
        <w:t>ENA’s damages are approximately $8.4 million.</w:t>
      </w:r>
    </w:p>
    <w:p>
      <w:pPr>
        <w:pStyle w:val="Normal"/>
        <w:numPr>
          <w:ilvl w:val="0"/>
          <w:numId w:val="4"/>
        </w:numPr>
        <w:jc w:val="both"/>
        <w:rPr>
          <w:sz w:val="23"/>
        </w:rPr>
      </w:pPr>
      <w:r>
        <w:rPr>
          <w:sz w:val="23"/>
        </w:rPr>
        <w:t>Antarra was sued under a corporate guaranty.</w:t>
      </w:r>
    </w:p>
    <w:p>
      <w:pPr>
        <w:pStyle w:val="Normal"/>
        <w:numPr>
          <w:ilvl w:val="0"/>
          <w:numId w:val="4"/>
        </w:numPr>
        <w:jc w:val="both"/>
        <w:rPr>
          <w:sz w:val="23"/>
        </w:rPr>
      </w:pPr>
      <w:r>
        <w:rPr>
          <w:sz w:val="23"/>
        </w:rPr>
        <w:t>ENA filed a motion for summary judgment on the issue of liability under the gas sales contract.  On December 12, 2000, the Court granted Enron’s motion.</w:t>
      </w:r>
    </w:p>
    <w:p>
      <w:pPr>
        <w:pStyle w:val="Normal"/>
        <w:numPr>
          <w:ilvl w:val="0"/>
          <w:numId w:val="4"/>
        </w:numPr>
        <w:jc w:val="both"/>
        <w:rPr>
          <w:sz w:val="23"/>
        </w:rPr>
      </w:pPr>
      <w:r>
        <w:rPr>
          <w:sz w:val="23"/>
        </w:rPr>
        <w:t>Discovery is proceeding on the issue of damages.</w:t>
      </w:r>
    </w:p>
    <w:p>
      <w:pPr>
        <w:pStyle w:val="Normal"/>
        <w:numPr>
          <w:ilvl w:val="0"/>
          <w:numId w:val="4"/>
        </w:numPr>
        <w:jc w:val="both"/>
        <w:rPr>
          <w:sz w:val="23"/>
        </w:rPr>
      </w:pPr>
      <w:r>
        <w:rPr>
          <w:sz w:val="23"/>
        </w:rPr>
        <w:t>Plaintiffs have filed a counterclaim alleging breach of a confidentiality agreement and fraud.</w:t>
      </w:r>
    </w:p>
    <w:p>
      <w:pPr>
        <w:pStyle w:val="Normal"/>
        <w:rPr>
          <w:sz w:val="23"/>
        </w:rPr>
      </w:pPr>
      <w:r>
        <w:rPr>
          <w:sz w:val="23"/>
        </w:rPr>
      </w:r>
    </w:p>
    <w:p>
      <w:pPr>
        <w:pStyle w:val="Heading1"/>
        <w:keepLines w:val="false"/>
        <w:numPr>
          <w:ilvl w:val="0"/>
          <w:numId w:val="0"/>
        </w:numPr>
        <w:ind w:hanging="0" w:start="0"/>
        <w:rPr>
          <w:sz w:val="23"/>
        </w:rPr>
      </w:pPr>
      <w:r>
        <w:rPr>
          <w:sz w:val="23"/>
        </w:rPr>
        <w:t>Enron Economic Development Corp. v. Intrust</w:t>
      </w:r>
    </w:p>
    <w:p>
      <w:pPr>
        <w:pStyle w:val="Normal"/>
        <w:numPr>
          <w:ilvl w:val="0"/>
          <w:numId w:val="0"/>
        </w:numPr>
        <w:ind w:hanging="0" w:start="0"/>
        <w:jc w:val="both"/>
        <w:rPr>
          <w:sz w:val="23"/>
        </w:rPr>
      </w:pPr>
      <w:r>
        <w:rPr>
          <w:sz w:val="23"/>
        </w:rPr>
        <w:t>(Harris County State District Court – Gibbs &amp; Bruns/Jean Frizzell)</w:t>
      </w:r>
    </w:p>
    <w:p>
      <w:pPr>
        <w:pStyle w:val="Normal"/>
        <w:numPr>
          <w:ilvl w:val="0"/>
          <w:numId w:val="0"/>
        </w:numPr>
        <w:ind w:hanging="0" w:start="0"/>
        <w:jc w:val="both"/>
        <w:rPr>
          <w:sz w:val="23"/>
        </w:rPr>
      </w:pPr>
      <w:r>
        <w:rPr>
          <w:sz w:val="23"/>
        </w:rPr>
      </w:r>
    </w:p>
    <w:p>
      <w:pPr>
        <w:pStyle w:val="Normal"/>
        <w:numPr>
          <w:ilvl w:val="0"/>
          <w:numId w:val="5"/>
        </w:numPr>
        <w:jc w:val="both"/>
        <w:rPr>
          <w:sz w:val="23"/>
        </w:rPr>
      </w:pPr>
      <w:r>
        <w:rPr>
          <w:sz w:val="23"/>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5"/>
        </w:numPr>
        <w:jc w:val="both"/>
        <w:rPr>
          <w:sz w:val="23"/>
        </w:rPr>
      </w:pPr>
      <w:r>
        <w:rPr>
          <w:sz w:val="23"/>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5"/>
        </w:numPr>
        <w:jc w:val="both"/>
        <w:rPr>
          <w:sz w:val="23"/>
        </w:rPr>
      </w:pPr>
      <w:r>
        <w:rPr>
          <w:sz w:val="23"/>
        </w:rPr>
        <w:t>Notwithstanding the appraisal, Intrust alleges damages of over $1 million.</w:t>
      </w:r>
    </w:p>
    <w:p>
      <w:pPr>
        <w:pStyle w:val="Normal"/>
        <w:numPr>
          <w:ilvl w:val="0"/>
          <w:numId w:val="5"/>
        </w:numPr>
        <w:jc w:val="both"/>
        <w:rPr>
          <w:sz w:val="23"/>
        </w:rPr>
      </w:pPr>
      <w:r>
        <w:rPr>
          <w:b/>
          <w:bCs/>
          <w:sz w:val="23"/>
        </w:rPr>
        <w:t>On June 4, 2001, the parties settled this case at mediation</w:t>
      </w:r>
      <w:r>
        <w:rPr>
          <w:sz w:val="23"/>
        </w:rPr>
        <w:t>.</w:t>
      </w:r>
    </w:p>
    <w:p>
      <w:pPr>
        <w:pStyle w:val="Heading1"/>
        <w:keepLines w:val="false"/>
        <w:numPr>
          <w:ilvl w:val="0"/>
          <w:numId w:val="0"/>
        </w:numPr>
        <w:ind w:hanging="0" w:start="0"/>
        <w:rPr>
          <w:sz w:val="23"/>
        </w:rPr>
      </w:pPr>
      <w:r>
        <w:rPr>
          <w:sz w:val="23"/>
        </w:rPr>
      </w:r>
    </w:p>
    <w:p>
      <w:pPr>
        <w:pStyle w:val="Heading1"/>
        <w:keepLines w:val="false"/>
        <w:numPr>
          <w:ilvl w:val="0"/>
          <w:numId w:val="0"/>
        </w:numPr>
        <w:ind w:hanging="0" w:start="0"/>
        <w:rPr>
          <w:sz w:val="23"/>
        </w:rPr>
      </w:pPr>
      <w:r>
        <w:rPr>
          <w:sz w:val="23"/>
        </w:rPr>
        <w:t>Enron Power Marketing, Inc. v. California Power Exchange</w:t>
      </w:r>
    </w:p>
    <w:p>
      <w:pPr>
        <w:pStyle w:val="Normal"/>
        <w:numPr>
          <w:ilvl w:val="0"/>
          <w:numId w:val="0"/>
        </w:numPr>
        <w:ind w:hanging="0" w:start="0"/>
        <w:jc w:val="both"/>
        <w:rPr>
          <w:sz w:val="23"/>
        </w:rPr>
      </w:pPr>
      <w:r>
        <w:rPr>
          <w:sz w:val="23"/>
        </w:rPr>
        <w:t>(Los Angeles Federal District Court – Quinn Emanuel) (Federal Energy Regulatory Commission – Bracewell &amp; Patterson)</w:t>
      </w:r>
    </w:p>
    <w:p>
      <w:pPr>
        <w:pStyle w:val="Normal"/>
        <w:numPr>
          <w:ilvl w:val="0"/>
          <w:numId w:val="0"/>
        </w:numPr>
        <w:ind w:hanging="0" w:start="0"/>
        <w:jc w:val="both"/>
        <w:rPr>
          <w:i/>
          <w:i/>
          <w:sz w:val="23"/>
          <w:u w:val="single"/>
        </w:rPr>
      </w:pPr>
      <w:r>
        <w:rPr>
          <w:i/>
          <w:sz w:val="23"/>
          <w:u w:val="single"/>
        </w:rPr>
      </w:r>
    </w:p>
    <w:p>
      <w:pPr>
        <w:pStyle w:val="Normal"/>
        <w:numPr>
          <w:ilvl w:val="0"/>
          <w:numId w:val="5"/>
        </w:numPr>
        <w:jc w:val="both"/>
        <w:rPr>
          <w:sz w:val="23"/>
        </w:rPr>
      </w:pPr>
      <w:r>
        <w:rPr>
          <w:sz w:val="23"/>
        </w:rPr>
        <w:t>On January 31, 2001, the CalPx drew down on $36.5 million of EPMI’s collateral as a result of EMPI’s alleged breach of the CalPx tariff.</w:t>
      </w:r>
    </w:p>
    <w:p>
      <w:pPr>
        <w:pStyle w:val="Normal"/>
        <w:numPr>
          <w:ilvl w:val="0"/>
          <w:numId w:val="5"/>
        </w:numPr>
        <w:jc w:val="both"/>
        <w:rPr>
          <w:sz w:val="23"/>
        </w:rPr>
      </w:pPr>
      <w:r>
        <w:rPr>
          <w:sz w:val="23"/>
        </w:rPr>
        <w:t>CalPx also threatened to draw down on an additional $110 million of EPMI’s collateral if EPMI did not pay its proportional share of the “charge backs” resulting from SCE and PG&amp;E defaults in the ISO Market.</w:t>
      </w:r>
    </w:p>
    <w:p>
      <w:pPr>
        <w:pStyle w:val="Normal"/>
        <w:numPr>
          <w:ilvl w:val="0"/>
          <w:numId w:val="5"/>
        </w:numPr>
        <w:jc w:val="both"/>
        <w:rPr>
          <w:sz w:val="23"/>
        </w:rPr>
      </w:pPr>
      <w:r>
        <w:rPr>
          <w:sz w:val="23"/>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5"/>
        </w:numPr>
        <w:jc w:val="both"/>
        <w:rPr>
          <w:sz w:val="23"/>
        </w:rPr>
      </w:pPr>
      <w:r>
        <w:rPr>
          <w:sz w:val="23"/>
        </w:rPr>
        <w:t>On February 9, 2001, the District Court granted EPMI’s request for a temporary restraining order.  EPMI and CalPx have now entered into an stipulated injunction granting all of EPMI’s requested relief.</w:t>
      </w:r>
    </w:p>
    <w:p>
      <w:pPr>
        <w:pStyle w:val="Normal"/>
        <w:numPr>
          <w:ilvl w:val="0"/>
          <w:numId w:val="5"/>
        </w:numPr>
        <w:jc w:val="both"/>
        <w:rPr>
          <w:sz w:val="23"/>
        </w:rPr>
      </w:pPr>
      <w:r>
        <w:rPr>
          <w:sz w:val="23"/>
        </w:rPr>
        <w:t>EMPI also filed a FERC action requesting that FERC interpret the CalPx charge back provisions of the CalPx tariff.</w:t>
      </w:r>
    </w:p>
    <w:p>
      <w:pPr>
        <w:pStyle w:val="Normal"/>
        <w:numPr>
          <w:ilvl w:val="0"/>
          <w:numId w:val="5"/>
        </w:numPr>
        <w:jc w:val="both"/>
        <w:rPr>
          <w:sz w:val="23"/>
        </w:rPr>
      </w:pPr>
      <w:r>
        <w:rPr>
          <w:sz w:val="23"/>
        </w:rPr>
        <w:t>FERC issued a ruling that the Px charge back methodology was unjust and unreasonable.  Notwithstanding, the Px refuses to refund the collateral.  EPMI has filed a request for clarification with FERC of its previous order.</w:t>
      </w:r>
    </w:p>
    <w:p>
      <w:pPr>
        <w:pStyle w:val="Normal"/>
        <w:ind w:start="720" w:end="0"/>
        <w:jc w:val="both"/>
        <w:rPr>
          <w:sz w:val="23"/>
        </w:rPr>
      </w:pPr>
      <w:r>
        <w:rPr>
          <w:sz w:val="23"/>
        </w:rPr>
      </w:r>
    </w:p>
    <w:p>
      <w:pPr>
        <w:pStyle w:val="Heading1"/>
        <w:keepLines w:val="false"/>
        <w:ind w:hanging="0" w:start="0"/>
        <w:rPr>
          <w:sz w:val="23"/>
        </w:rPr>
      </w:pPr>
      <w:r>
        <w:rPr>
          <w:sz w:val="23"/>
        </w:rPr>
        <w:t>Enron Power Marketing v. Calpine Corp.</w:t>
      </w:r>
    </w:p>
    <w:p>
      <w:pPr>
        <w:pStyle w:val="Normal"/>
        <w:jc w:val="both"/>
        <w:rPr>
          <w:sz w:val="23"/>
        </w:rPr>
      </w:pPr>
      <w:r>
        <w:rPr>
          <w:sz w:val="23"/>
        </w:rPr>
        <w:t>(Houston Federal District Court) (Bill Ogden)</w:t>
      </w:r>
    </w:p>
    <w:p>
      <w:pPr>
        <w:pStyle w:val="Normal"/>
        <w:jc w:val="both"/>
        <w:rPr>
          <w:sz w:val="23"/>
        </w:rPr>
      </w:pPr>
      <w:r>
        <w:rPr>
          <w:sz w:val="23"/>
        </w:rPr>
      </w:r>
    </w:p>
    <w:p>
      <w:pPr>
        <w:pStyle w:val="Normal"/>
        <w:numPr>
          <w:ilvl w:val="0"/>
          <w:numId w:val="4"/>
        </w:numPr>
        <w:jc w:val="both"/>
        <w:rPr>
          <w:sz w:val="23"/>
        </w:rPr>
      </w:pPr>
      <w:r>
        <w:rPr>
          <w:sz w:val="23"/>
        </w:rPr>
        <w:t>EPMI filed a lawsuit against Calpine alleging that Calpine breached its contract with EPMI to assume certain power contracts EPMI had with the Lower Colorado River Authority.</w:t>
      </w:r>
    </w:p>
    <w:p>
      <w:pPr>
        <w:pStyle w:val="Normal"/>
        <w:numPr>
          <w:ilvl w:val="0"/>
          <w:numId w:val="4"/>
        </w:numPr>
        <w:jc w:val="both"/>
        <w:rPr>
          <w:sz w:val="23"/>
        </w:rPr>
      </w:pPr>
      <w:r>
        <w:rPr>
          <w:sz w:val="23"/>
        </w:rPr>
        <w:t xml:space="preserve">EPMI's damages will depend on the cost of covering Calpine's position.  The damages are estimated to be </w:t>
      </w:r>
      <w:r>
        <w:rPr>
          <w:b/>
          <w:bCs/>
          <w:sz w:val="23"/>
        </w:rPr>
        <w:t>somewhere between $0 and $2 million</w:t>
      </w:r>
      <w:r>
        <w:rPr>
          <w:sz w:val="23"/>
        </w:rPr>
        <w:t>.</w:t>
      </w:r>
    </w:p>
    <w:p>
      <w:pPr>
        <w:pStyle w:val="Normal"/>
        <w:numPr>
          <w:ilvl w:val="0"/>
          <w:numId w:val="4"/>
        </w:numPr>
        <w:jc w:val="both"/>
        <w:rPr>
          <w:bCs/>
          <w:sz w:val="23"/>
        </w:rPr>
      </w:pPr>
      <w:r>
        <w:rPr>
          <w:bCs/>
          <w:sz w:val="23"/>
        </w:rPr>
        <w:t>Discovery is proceeding.</w:t>
      </w:r>
    </w:p>
    <w:p>
      <w:pPr>
        <w:pStyle w:val="Normal"/>
        <w:numPr>
          <w:ilvl w:val="0"/>
          <w:numId w:val="4"/>
        </w:numPr>
        <w:jc w:val="both"/>
        <w:rPr>
          <w:bCs/>
          <w:sz w:val="23"/>
        </w:rPr>
      </w:pPr>
      <w:r>
        <w:rPr>
          <w:bCs/>
          <w:sz w:val="23"/>
        </w:rPr>
        <w:t xml:space="preserve">Trial is set for </w:t>
      </w:r>
      <w:r>
        <w:rPr>
          <w:b/>
          <w:sz w:val="23"/>
        </w:rPr>
        <w:t>Fall 2001</w:t>
      </w:r>
      <w:r>
        <w:rPr>
          <w:bCs/>
          <w:sz w:val="23"/>
        </w:rPr>
        <w:t>.</w:t>
      </w:r>
    </w:p>
    <w:p>
      <w:pPr>
        <w:pStyle w:val="Normal"/>
        <w:jc w:val="both"/>
        <w:rPr>
          <w:bCs/>
          <w:i/>
          <w:i/>
          <w:sz w:val="23"/>
          <w:u w:val="single"/>
        </w:rPr>
      </w:pPr>
      <w:r>
        <w:rPr>
          <w:bCs/>
          <w:i/>
          <w:sz w:val="23"/>
          <w:u w:val="single"/>
        </w:rPr>
      </w:r>
    </w:p>
    <w:p>
      <w:pPr>
        <w:pStyle w:val="Normal"/>
        <w:jc w:val="both"/>
        <w:rPr>
          <w:sz w:val="23"/>
        </w:rPr>
      </w:pPr>
      <w:r>
        <w:rPr>
          <w:i/>
          <w:sz w:val="23"/>
          <w:u w:val="single"/>
        </w:rPr>
        <w:t>EnSerCo, L.L.C.v. Drilling Rig Noram 253 and SAM Offshore, Ltd.</w:t>
      </w:r>
    </w:p>
    <w:p>
      <w:pPr>
        <w:pStyle w:val="Normal"/>
        <w:jc w:val="both"/>
        <w:rPr>
          <w:sz w:val="23"/>
        </w:rPr>
      </w:pPr>
      <w:r>
        <w:rPr>
          <w:sz w:val="23"/>
        </w:rPr>
        <w:t>(Southern District, Galveston Division) (Gardere Wynne Sewell &amp; Riggs)</w:t>
      </w:r>
    </w:p>
    <w:p>
      <w:pPr>
        <w:pStyle w:val="Normal"/>
        <w:jc w:val="both"/>
        <w:rPr>
          <w:sz w:val="23"/>
        </w:rPr>
      </w:pPr>
      <w:r>
        <w:rPr>
          <w:sz w:val="23"/>
        </w:rPr>
      </w:r>
    </w:p>
    <w:p>
      <w:pPr>
        <w:pStyle w:val="Normal"/>
        <w:numPr>
          <w:ilvl w:val="0"/>
          <w:numId w:val="5"/>
        </w:numPr>
        <w:jc w:val="both"/>
        <w:rPr>
          <w:sz w:val="23"/>
        </w:rPr>
      </w:pPr>
      <w:r>
        <w:rPr>
          <w:sz w:val="23"/>
        </w:rPr>
        <w:t>Sam Offshore defaulted on $15,500,000 Promissory Note</w:t>
      </w:r>
    </w:p>
    <w:p>
      <w:pPr>
        <w:pStyle w:val="Normal"/>
        <w:numPr>
          <w:ilvl w:val="0"/>
          <w:numId w:val="5"/>
        </w:numPr>
        <w:jc w:val="both"/>
        <w:rPr>
          <w:sz w:val="23"/>
        </w:rPr>
      </w:pPr>
      <w:r>
        <w:rPr>
          <w:sz w:val="23"/>
        </w:rPr>
        <w:t>Enserco seized the vessel on October 15, 1999.  The rig is located in Galveston</w:t>
      </w:r>
    </w:p>
    <w:p>
      <w:pPr>
        <w:pStyle w:val="Normal"/>
        <w:numPr>
          <w:ilvl w:val="0"/>
          <w:numId w:val="5"/>
        </w:numPr>
        <w:jc w:val="both"/>
        <w:rPr>
          <w:sz w:val="23"/>
        </w:rPr>
      </w:pPr>
      <w:r>
        <w:rPr>
          <w:sz w:val="23"/>
        </w:rPr>
        <w:t>Enserco filed suit against the guarantors of the Sam Offshore loan.  The guarantors are foreign companies.</w:t>
      </w:r>
    </w:p>
    <w:p>
      <w:pPr>
        <w:pStyle w:val="Normal"/>
        <w:numPr>
          <w:ilvl w:val="0"/>
          <w:numId w:val="5"/>
        </w:numPr>
        <w:jc w:val="both"/>
        <w:rPr>
          <w:sz w:val="23"/>
        </w:rPr>
      </w:pPr>
      <w:r>
        <w:rPr>
          <w:sz w:val="23"/>
        </w:rPr>
        <w:t>Enserco purchased the rig in a judicial foreclosure sale for $1 million.  We are attempting to sell this rig.</w:t>
      </w:r>
    </w:p>
    <w:p>
      <w:pPr>
        <w:pStyle w:val="Normal"/>
        <w:numPr>
          <w:ilvl w:val="0"/>
          <w:numId w:val="5"/>
        </w:numPr>
        <w:jc w:val="both"/>
        <w:rPr>
          <w:sz w:val="23"/>
        </w:rPr>
      </w:pPr>
      <w:r>
        <w:rPr>
          <w:sz w:val="23"/>
        </w:rPr>
        <w:t>Prior to the trial, the defendants agreed to a deficiency judgment in favor of Enserco.  Enserco agreed to dismiss fraudulent transfer claims against two defendants.</w:t>
      </w:r>
    </w:p>
    <w:p>
      <w:pPr>
        <w:pStyle w:val="Normal"/>
        <w:numPr>
          <w:ilvl w:val="0"/>
          <w:numId w:val="5"/>
        </w:numPr>
        <w:jc w:val="both"/>
        <w:rPr>
          <w:b/>
          <w:bCs/>
          <w:sz w:val="23"/>
        </w:rPr>
      </w:pPr>
      <w:r>
        <w:rPr>
          <w:sz w:val="23"/>
        </w:rPr>
        <w:t>Discovery is proceeding concerning the amount of the deficiency.</w:t>
      </w:r>
    </w:p>
    <w:p>
      <w:pPr>
        <w:pStyle w:val="Normal"/>
        <w:numPr>
          <w:ilvl w:val="0"/>
          <w:numId w:val="5"/>
        </w:numPr>
        <w:jc w:val="both"/>
        <w:rPr>
          <w:sz w:val="23"/>
        </w:rPr>
      </w:pPr>
      <w:r>
        <w:rPr>
          <w:sz w:val="23"/>
        </w:rPr>
        <w:t xml:space="preserve">Trial has been set for </w:t>
      </w:r>
      <w:r>
        <w:rPr>
          <w:b/>
          <w:bCs/>
          <w:sz w:val="23"/>
        </w:rPr>
        <w:t>June 25, 2001</w:t>
      </w:r>
      <w:r>
        <w:rPr>
          <w:sz w:val="23"/>
        </w:rPr>
        <w:t>.</w:t>
      </w:r>
    </w:p>
    <w:p>
      <w:pPr>
        <w:pStyle w:val="Normal"/>
        <w:numPr>
          <w:ilvl w:val="0"/>
          <w:numId w:val="0"/>
        </w:numPr>
        <w:ind w:hanging="0" w:start="0"/>
        <w:jc w:val="both"/>
        <w:rPr>
          <w:i/>
          <w:i/>
          <w:sz w:val="23"/>
          <w:u w:val="single"/>
        </w:rPr>
      </w:pPr>
      <w:r>
        <w:rPr>
          <w:i/>
          <w:sz w:val="23"/>
          <w:u w:val="single"/>
        </w:rPr>
      </w:r>
    </w:p>
    <w:p>
      <w:pPr>
        <w:pStyle w:val="Normal"/>
        <w:numPr>
          <w:ilvl w:val="0"/>
          <w:numId w:val="0"/>
        </w:numPr>
        <w:ind w:hanging="0" w:start="0"/>
        <w:jc w:val="both"/>
        <w:rPr>
          <w:sz w:val="23"/>
        </w:rPr>
      </w:pPr>
      <w:r>
        <w:rPr>
          <w:i/>
          <w:sz w:val="23"/>
          <w:u w:val="single"/>
        </w:rPr>
        <w:t>Glatzer v. Enron Corp. and Enron Finance Corp.</w:t>
      </w:r>
    </w:p>
    <w:p>
      <w:pPr>
        <w:pStyle w:val="Normal"/>
        <w:numPr>
          <w:ilvl w:val="0"/>
          <w:numId w:val="0"/>
        </w:numPr>
        <w:ind w:hanging="0" w:start="0"/>
        <w:jc w:val="both"/>
        <w:rPr>
          <w:sz w:val="23"/>
        </w:rPr>
      </w:pPr>
      <w:r>
        <w:rPr>
          <w:sz w:val="23"/>
        </w:rPr>
        <w:t>(New York state court) (Susman Godfrey)</w:t>
      </w:r>
    </w:p>
    <w:p>
      <w:pPr>
        <w:pStyle w:val="Normal"/>
        <w:numPr>
          <w:ilvl w:val="0"/>
          <w:numId w:val="0"/>
        </w:numPr>
        <w:ind w:hanging="0" w:start="0"/>
        <w:jc w:val="both"/>
        <w:rPr>
          <w:sz w:val="23"/>
        </w:rPr>
      </w:pPr>
      <w:r>
        <w:rPr>
          <w:sz w:val="23"/>
        </w:rPr>
      </w:r>
    </w:p>
    <w:p>
      <w:pPr>
        <w:pStyle w:val="Normal"/>
        <w:numPr>
          <w:ilvl w:val="0"/>
          <w:numId w:val="5"/>
        </w:numPr>
        <w:jc w:val="both"/>
        <w:rPr>
          <w:sz w:val="23"/>
        </w:rPr>
      </w:pPr>
      <w:r>
        <w:rPr>
          <w:sz w:val="23"/>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5"/>
        </w:numPr>
        <w:jc w:val="both"/>
        <w:rPr>
          <w:sz w:val="23"/>
        </w:rPr>
      </w:pPr>
      <w:r>
        <w:rPr>
          <w:sz w:val="23"/>
        </w:rPr>
        <w:t>Plaintiff’s damages are unspecified, but he has offered to settle for $1 million</w:t>
      </w:r>
    </w:p>
    <w:p>
      <w:pPr>
        <w:pStyle w:val="Normal"/>
        <w:numPr>
          <w:ilvl w:val="0"/>
          <w:numId w:val="5"/>
        </w:numPr>
        <w:jc w:val="both"/>
        <w:rPr>
          <w:sz w:val="23"/>
        </w:rPr>
      </w:pPr>
      <w:r>
        <w:rPr>
          <w:sz w:val="23"/>
        </w:rPr>
        <w:t xml:space="preserve">ECT filed a motion for summary judgment and on July 14, 1999, the Court granted ECT’s motion for summary judgment. </w:t>
      </w:r>
    </w:p>
    <w:p>
      <w:pPr>
        <w:pStyle w:val="Normal"/>
        <w:numPr>
          <w:ilvl w:val="0"/>
          <w:numId w:val="5"/>
        </w:numPr>
        <w:jc w:val="both"/>
        <w:rPr>
          <w:i/>
          <w:i/>
          <w:sz w:val="23"/>
          <w:u w:val="single"/>
        </w:rPr>
      </w:pPr>
      <w:r>
        <w:rPr>
          <w:sz w:val="23"/>
        </w:rPr>
        <w:t>The plaintiff appealed the granting of the motion for summary judgment.  On December 10, 2001, the Court of Appeals affirmed the trial court’s decision granting summary judgment.</w:t>
      </w:r>
    </w:p>
    <w:p>
      <w:pPr>
        <w:pStyle w:val="Normal"/>
        <w:numPr>
          <w:ilvl w:val="0"/>
          <w:numId w:val="5"/>
        </w:numPr>
        <w:jc w:val="both"/>
        <w:rPr>
          <w:i/>
          <w:i/>
          <w:sz w:val="23"/>
          <w:u w:val="single"/>
        </w:rPr>
      </w:pPr>
      <w:r>
        <w:rPr>
          <w:sz w:val="23"/>
        </w:rPr>
        <w:t>Plaintiff has recently offered to settle for $500,000.  This offer was rejected.</w:t>
      </w:r>
    </w:p>
    <w:p>
      <w:pPr>
        <w:pStyle w:val="Normal"/>
        <w:jc w:val="both"/>
        <w:rPr>
          <w:i/>
          <w:i/>
          <w:sz w:val="23"/>
          <w:u w:val="single"/>
        </w:rPr>
      </w:pPr>
      <w:r>
        <w:rPr>
          <w:i/>
          <w:sz w:val="23"/>
          <w:u w:val="single"/>
        </w:rPr>
      </w:r>
    </w:p>
    <w:p>
      <w:pPr>
        <w:pStyle w:val="Normal"/>
        <w:jc w:val="both"/>
        <w:rPr>
          <w:i/>
          <w:i/>
          <w:sz w:val="23"/>
          <w:u w:val="single"/>
        </w:rPr>
      </w:pPr>
      <w:r>
        <w:rPr>
          <w:i/>
          <w:sz w:val="23"/>
          <w:u w:val="single"/>
        </w:rPr>
      </w:r>
    </w:p>
    <w:p>
      <w:pPr>
        <w:pStyle w:val="Heading6"/>
        <w:ind w:hanging="0" w:start="0"/>
        <w:rPr>
          <w:sz w:val="23"/>
          <w:u w:val="single"/>
        </w:rPr>
      </w:pPr>
      <w:r>
        <w:rPr>
          <w:sz w:val="23"/>
          <w:u w:val="single"/>
        </w:rPr>
        <w:t>Grynberg</w:t>
      </w:r>
    </w:p>
    <w:p>
      <w:pPr>
        <w:pStyle w:val="Footer"/>
        <w:tabs>
          <w:tab w:val="clear" w:pos="4320"/>
          <w:tab w:val="clear" w:pos="8640"/>
          <w:tab w:val="left" w:pos="540" w:leader="none"/>
        </w:tabs>
        <w:rPr>
          <w:sz w:val="23"/>
        </w:rPr>
      </w:pPr>
      <w:r>
        <w:rPr>
          <w:sz w:val="23"/>
        </w:rPr>
        <w:t>(Wyoming Federal Court) (Gibbs &amp; Bruns) (Vinson &amp; Elkins)</w:t>
      </w:r>
    </w:p>
    <w:p>
      <w:pPr>
        <w:pStyle w:val="Normal"/>
        <w:ind w:start="720" w:end="0"/>
        <w:jc w:val="both"/>
        <w:rPr>
          <w:sz w:val="23"/>
        </w:rPr>
      </w:pPr>
      <w:r>
        <w:rPr>
          <w:sz w:val="23"/>
        </w:rPr>
      </w:r>
    </w:p>
    <w:p>
      <w:pPr>
        <w:pStyle w:val="Normal"/>
        <w:numPr>
          <w:ilvl w:val="0"/>
          <w:numId w:val="5"/>
        </w:numPr>
        <w:jc w:val="both"/>
        <w:rPr>
          <w:sz w:val="23"/>
        </w:rPr>
      </w:pPr>
      <w:r>
        <w:rPr>
          <w:sz w:val="23"/>
        </w:rPr>
        <w:t>Qui tam action brought against HPL, LRC, and all pipeline companies in America alleging fraudulent practices in the measurement of gas.</w:t>
      </w:r>
    </w:p>
    <w:p>
      <w:pPr>
        <w:pStyle w:val="Normal"/>
        <w:numPr>
          <w:ilvl w:val="0"/>
          <w:numId w:val="5"/>
        </w:numPr>
        <w:jc w:val="both"/>
        <w:rPr>
          <w:sz w:val="23"/>
        </w:rPr>
      </w:pPr>
      <w:r>
        <w:rPr>
          <w:sz w:val="23"/>
        </w:rPr>
        <w:t>All of the cases have been consolidated in Wyoming.</w:t>
      </w:r>
    </w:p>
    <w:p>
      <w:pPr>
        <w:pStyle w:val="Normal"/>
        <w:numPr>
          <w:ilvl w:val="0"/>
          <w:numId w:val="5"/>
        </w:numPr>
        <w:jc w:val="both"/>
        <w:rPr>
          <w:sz w:val="23"/>
        </w:rPr>
      </w:pPr>
      <w:r>
        <w:rPr>
          <w:b/>
          <w:bCs/>
          <w:sz w:val="23"/>
        </w:rPr>
        <w:t xml:space="preserve">On May 18, 2001, Judge Downes denied the Defendants’ Motion to Dismiss.  The Defendants are requesting that Judge Downes certify the issue for appelate review.  </w:t>
      </w:r>
    </w:p>
    <w:p>
      <w:pPr>
        <w:pStyle w:val="Normal"/>
        <w:jc w:val="both"/>
        <w:rPr>
          <w:i/>
          <w:i/>
          <w:sz w:val="23"/>
          <w:u w:val="single"/>
        </w:rPr>
      </w:pPr>
      <w:r>
        <w:rPr>
          <w:i/>
          <w:sz w:val="23"/>
          <w:u w:val="single"/>
        </w:rPr>
      </w:r>
    </w:p>
    <w:p>
      <w:pPr>
        <w:pStyle w:val="Normal"/>
        <w:jc w:val="both"/>
        <w:rPr>
          <w:i/>
          <w:i/>
          <w:sz w:val="23"/>
          <w:u w:val="single"/>
        </w:rPr>
      </w:pPr>
      <w:r>
        <w:rPr>
          <w:i/>
          <w:sz w:val="23"/>
          <w:u w:val="single"/>
        </w:rPr>
        <w:t>Hendricks, City of San Francisco, and Sweetwater</w:t>
      </w:r>
    </w:p>
    <w:p>
      <w:pPr>
        <w:pStyle w:val="Normal"/>
        <w:jc w:val="both"/>
        <w:rPr>
          <w:sz w:val="23"/>
        </w:rPr>
      </w:pPr>
      <w:r>
        <w:rPr>
          <w:sz w:val="23"/>
        </w:rPr>
        <w:t>(Gibbs &amp; Bruns/Brobeck, Pflager &amp; Harrison</w:t>
      </w:r>
      <w:r>
        <w:rPr>
          <w:rFonts w:cs="Arial"/>
          <w:color w:val="000000"/>
          <w:sz w:val="23"/>
          <w:szCs w:val="18"/>
          <w:lang w:val="en-US"/>
        </w:rPr>
        <w:t>)</w:t>
      </w:r>
    </w:p>
    <w:p>
      <w:pPr>
        <w:pStyle w:val="Normal"/>
        <w:tabs>
          <w:tab w:val="clear" w:pos="540"/>
        </w:tabs>
        <w:jc w:val="both"/>
        <w:rPr>
          <w:sz w:val="23"/>
        </w:rPr>
      </w:pPr>
      <w:r>
        <w:rPr>
          <w:sz w:val="23"/>
        </w:rPr>
      </w:r>
    </w:p>
    <w:p>
      <w:pPr>
        <w:pStyle w:val="Normal"/>
        <w:numPr>
          <w:ilvl w:val="0"/>
          <w:numId w:val="2"/>
        </w:numPr>
        <w:tabs>
          <w:tab w:val="clear" w:pos="540"/>
          <w:tab w:val="left" w:pos="1080" w:leader="none"/>
        </w:tabs>
        <w:ind w:hanging="360" w:start="1080" w:end="0"/>
        <w:jc w:val="both"/>
        <w:rPr>
          <w:sz w:val="23"/>
        </w:rPr>
      </w:pPr>
      <w:r>
        <w:rPr>
          <w:sz w:val="23"/>
        </w:rPr>
        <w:t>As a result of the California energy crisis, EPMI and EES have been sued in four separate cases.  All four lawsuits allege violations of the California anti-trust and unfair competition laws.</w:t>
      </w:r>
    </w:p>
    <w:p>
      <w:pPr>
        <w:pStyle w:val="Normal"/>
        <w:numPr>
          <w:ilvl w:val="1"/>
          <w:numId w:val="2"/>
        </w:numPr>
        <w:tabs>
          <w:tab w:val="clear" w:pos="540"/>
        </w:tabs>
        <w:jc w:val="both"/>
        <w:rPr>
          <w:sz w:val="23"/>
        </w:rPr>
      </w:pPr>
      <w:r>
        <w:rPr>
          <w:i/>
          <w:iCs/>
          <w:sz w:val="23"/>
          <w:u w:val="single"/>
        </w:rPr>
        <w:t>Hendricks</w:t>
      </w:r>
      <w:r>
        <w:rPr>
          <w:sz w:val="23"/>
        </w:rPr>
        <w:t xml:space="preserve"> is a class action filed in San Diego on behalf of all Californians.</w:t>
      </w:r>
    </w:p>
    <w:p>
      <w:pPr>
        <w:pStyle w:val="Normal"/>
        <w:numPr>
          <w:ilvl w:val="1"/>
          <w:numId w:val="2"/>
        </w:numPr>
        <w:tabs>
          <w:tab w:val="clear" w:pos="540"/>
        </w:tabs>
        <w:jc w:val="both"/>
        <w:rPr>
          <w:sz w:val="23"/>
        </w:rPr>
      </w:pPr>
      <w:r>
        <w:rPr>
          <w:i/>
          <w:iCs/>
          <w:sz w:val="23"/>
          <w:u w:val="single"/>
        </w:rPr>
        <w:t>City of San Francisco</w:t>
      </w:r>
      <w:r>
        <w:rPr>
          <w:i/>
          <w:iCs/>
          <w:sz w:val="23"/>
        </w:rPr>
        <w:t xml:space="preserve"> </w:t>
      </w:r>
      <w:r>
        <w:rPr>
          <w:sz w:val="23"/>
        </w:rPr>
        <w:t>was filed in San Francisco on behalf of the City of San Francisco and all its rate payers.</w:t>
      </w:r>
    </w:p>
    <w:p>
      <w:pPr>
        <w:pStyle w:val="Normal"/>
        <w:numPr>
          <w:ilvl w:val="1"/>
          <w:numId w:val="2"/>
        </w:numPr>
        <w:tabs>
          <w:tab w:val="clear" w:pos="540"/>
        </w:tabs>
        <w:jc w:val="both"/>
        <w:rPr>
          <w:sz w:val="23"/>
        </w:rPr>
      </w:pPr>
      <w:r>
        <w:rPr>
          <w:i/>
          <w:iCs/>
          <w:sz w:val="23"/>
          <w:u w:val="single"/>
        </w:rPr>
        <w:t>Sweetwater Authority</w:t>
      </w:r>
      <w:r>
        <w:rPr>
          <w:sz w:val="23"/>
        </w:rPr>
        <w:t xml:space="preserve"> was filed in San Diego by three water districts based in Southern California.</w:t>
      </w:r>
    </w:p>
    <w:p>
      <w:pPr>
        <w:pStyle w:val="Normal"/>
        <w:numPr>
          <w:ilvl w:val="1"/>
          <w:numId w:val="2"/>
        </w:numPr>
        <w:tabs>
          <w:tab w:val="clear" w:pos="540"/>
        </w:tabs>
        <w:jc w:val="both"/>
        <w:rPr>
          <w:sz w:val="23"/>
        </w:rPr>
      </w:pPr>
      <w:r>
        <w:rPr>
          <w:i/>
          <w:iCs/>
          <w:sz w:val="23"/>
          <w:u w:val="single"/>
        </w:rPr>
        <w:t>Pier 23 Restaurant</w:t>
      </w:r>
      <w:r>
        <w:rPr>
          <w:sz w:val="23"/>
        </w:rPr>
        <w:t xml:space="preserve"> was filed in San Francisco by retail customers of electricity.</w:t>
      </w:r>
    </w:p>
    <w:p>
      <w:pPr>
        <w:pStyle w:val="Normal"/>
        <w:numPr>
          <w:ilvl w:val="0"/>
          <w:numId w:val="4"/>
        </w:numPr>
        <w:jc w:val="both"/>
        <w:rPr>
          <w:sz w:val="23"/>
        </w:rPr>
      </w:pPr>
      <w:r>
        <w:rPr>
          <w:sz w:val="23"/>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4"/>
        </w:numPr>
        <w:jc w:val="both"/>
        <w:rPr>
          <w:sz w:val="23"/>
        </w:rPr>
      </w:pPr>
      <w:r>
        <w:rPr>
          <w:sz w:val="23"/>
        </w:rPr>
        <w:t>In addition, there are ten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4"/>
        </w:numPr>
        <w:jc w:val="both"/>
        <w:rPr>
          <w:bCs/>
          <w:sz w:val="23"/>
        </w:rPr>
      </w:pPr>
      <w:r>
        <w:rPr>
          <w:sz w:val="23"/>
        </w:rPr>
        <w:t>All cases filed in California have been removed to Federal District Court.  This removal stays all discovery.</w:t>
      </w:r>
    </w:p>
    <w:p>
      <w:pPr>
        <w:pStyle w:val="Normal"/>
        <w:numPr>
          <w:ilvl w:val="0"/>
          <w:numId w:val="4"/>
        </w:numPr>
        <w:jc w:val="both"/>
        <w:rPr>
          <w:bCs/>
          <w:sz w:val="23"/>
        </w:rPr>
      </w:pPr>
      <w:r>
        <w:rPr>
          <w:bCs/>
          <w:sz w:val="23"/>
        </w:rPr>
        <w:t>The plaintiffs have filed a motion to remand to State District Court.  Defendants have requested that the motion to remand be stayed until the MDL panel has met.</w:t>
      </w:r>
    </w:p>
    <w:p>
      <w:pPr>
        <w:pStyle w:val="Normal"/>
        <w:numPr>
          <w:ilvl w:val="0"/>
          <w:numId w:val="4"/>
        </w:numPr>
        <w:jc w:val="both"/>
        <w:rPr>
          <w:bCs/>
          <w:sz w:val="23"/>
        </w:rPr>
      </w:pPr>
      <w:r>
        <w:rPr>
          <w:bCs/>
          <w:sz w:val="23"/>
        </w:rPr>
        <w:t>Defendants have requested that the cases be consolidated in one Federal District Court through the Multi-District Litigation process.</w:t>
      </w:r>
    </w:p>
    <w:p>
      <w:pPr>
        <w:pStyle w:val="Normal"/>
        <w:numPr>
          <w:ilvl w:val="0"/>
          <w:numId w:val="4"/>
        </w:numPr>
        <w:jc w:val="both"/>
        <w:rPr>
          <w:bCs/>
          <w:sz w:val="23"/>
        </w:rPr>
      </w:pPr>
      <w:r>
        <w:rPr>
          <w:bCs/>
          <w:sz w:val="23"/>
        </w:rPr>
        <w:t>Defendants have requested that the Plaintiff’s motion to remand be stayed until the Multi-Litigation process has concluded.  The MDL panel will hear the request on May 31, 2001.</w:t>
      </w:r>
    </w:p>
    <w:p>
      <w:pPr>
        <w:pStyle w:val="Normal"/>
        <w:numPr>
          <w:ilvl w:val="0"/>
          <w:numId w:val="4"/>
        </w:numPr>
        <w:jc w:val="both"/>
        <w:rPr>
          <w:bCs/>
          <w:sz w:val="23"/>
        </w:rPr>
      </w:pPr>
      <w:r>
        <w:rPr>
          <w:b/>
          <w:sz w:val="23"/>
        </w:rPr>
        <w:t>At the MDL hearing, the MDL panel indicated that the case will be transferred to Judge Whaley of the Federal District Court in Spokane, Washington</w:t>
      </w:r>
      <w:r>
        <w:rPr>
          <w:bCs/>
          <w:sz w:val="23"/>
        </w:rPr>
        <w:t>.</w:t>
      </w:r>
    </w:p>
    <w:p>
      <w:pPr>
        <w:pStyle w:val="Heading6"/>
        <w:ind w:hanging="0" w:start="0"/>
        <w:rPr>
          <w:bCs/>
          <w:sz w:val="23"/>
          <w:u w:val="single"/>
        </w:rPr>
      </w:pPr>
      <w:r>
        <w:rPr>
          <w:bCs/>
          <w:sz w:val="23"/>
          <w:u w:val="single"/>
        </w:rPr>
      </w:r>
    </w:p>
    <w:p>
      <w:pPr>
        <w:pStyle w:val="Heading6"/>
        <w:ind w:hanging="0" w:start="0"/>
        <w:rPr>
          <w:sz w:val="23"/>
          <w:u w:val="single"/>
        </w:rPr>
      </w:pPr>
      <w:r>
        <w:rPr>
          <w:sz w:val="23"/>
          <w:u w:val="single"/>
        </w:rPr>
        <w:t>Nakonthai Strip Mill (NSM) Thailand</w:t>
      </w:r>
    </w:p>
    <w:p>
      <w:pPr>
        <w:pStyle w:val="Subject"/>
        <w:tabs>
          <w:tab w:val="left" w:pos="540" w:leader="none"/>
        </w:tabs>
        <w:rPr>
          <w:sz w:val="23"/>
        </w:rPr>
      </w:pPr>
      <w:r>
        <w:rPr>
          <w:sz w:val="23"/>
        </w:rPr>
        <w:t>(Los Angeles State Court) (Millbank, Tweed)</w:t>
      </w:r>
    </w:p>
    <w:p>
      <w:pPr>
        <w:pStyle w:val="Normal"/>
        <w:rPr>
          <w:sz w:val="23"/>
        </w:rPr>
      </w:pPr>
      <w:r>
        <w:rPr>
          <w:sz w:val="23"/>
        </w:rPr>
      </w:r>
    </w:p>
    <w:p>
      <w:pPr>
        <w:pStyle w:val="Normal"/>
        <w:numPr>
          <w:ilvl w:val="0"/>
          <w:numId w:val="5"/>
        </w:numPr>
        <w:jc w:val="both"/>
        <w:rPr>
          <w:sz w:val="23"/>
        </w:rPr>
      </w:pPr>
      <w:r>
        <w:rPr>
          <w:sz w:val="23"/>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5"/>
        </w:numPr>
        <w:jc w:val="both"/>
        <w:rPr>
          <w:sz w:val="23"/>
        </w:rPr>
      </w:pPr>
      <w:r>
        <w:rPr>
          <w:sz w:val="23"/>
        </w:rPr>
        <w:t>ECT Securities was an underwriter for approximately $25 million of the bonds and may have liability for any misrepresentations contained in the offering memorandum.</w:t>
      </w:r>
    </w:p>
    <w:p>
      <w:pPr>
        <w:pStyle w:val="Normal"/>
        <w:numPr>
          <w:ilvl w:val="0"/>
          <w:numId w:val="5"/>
        </w:numPr>
        <w:jc w:val="both"/>
        <w:rPr>
          <w:sz w:val="23"/>
        </w:rPr>
      </w:pPr>
      <w:r>
        <w:rPr>
          <w:sz w:val="23"/>
        </w:rPr>
        <w:t>Several lawsuits have been filed against our co-underwriters claiming alleged misrepresentations in the offering memorandum.  The lawsuits are pending in Minneapolis, New Jersey, Chicago and Los Angeles.</w:t>
      </w:r>
    </w:p>
    <w:p>
      <w:pPr>
        <w:pStyle w:val="Normal"/>
        <w:numPr>
          <w:ilvl w:val="0"/>
          <w:numId w:val="5"/>
        </w:numPr>
        <w:jc w:val="both"/>
        <w:rPr>
          <w:sz w:val="23"/>
        </w:rPr>
      </w:pPr>
      <w:r>
        <w:rPr>
          <w:sz w:val="23"/>
        </w:rPr>
        <w:t>ECT Securities has been sued by Farrollan and Legg Mason in Los Angeles State District Court.</w:t>
      </w:r>
    </w:p>
    <w:p>
      <w:pPr>
        <w:pStyle w:val="Normal"/>
        <w:numPr>
          <w:ilvl w:val="0"/>
          <w:numId w:val="5"/>
        </w:numPr>
        <w:jc w:val="both"/>
        <w:rPr>
          <w:sz w:val="23"/>
        </w:rPr>
      </w:pPr>
      <w:r>
        <w:rPr>
          <w:sz w:val="23"/>
        </w:rPr>
        <w:t>Extensive discovery has been conducted to date.  Enron employees’ depositions were taken on February 22, 2001.  Trial is set on July 30, 2001.</w:t>
      </w:r>
    </w:p>
    <w:p>
      <w:pPr>
        <w:pStyle w:val="Normal"/>
        <w:numPr>
          <w:ilvl w:val="0"/>
          <w:numId w:val="5"/>
        </w:numPr>
        <w:jc w:val="both"/>
        <w:rPr>
          <w:sz w:val="23"/>
        </w:rPr>
      </w:pPr>
      <w:r>
        <w:rPr>
          <w:sz w:val="23"/>
        </w:rPr>
        <w:t>Bill Price of Quinn Emanuel has been hired as co-counsel.</w:t>
      </w:r>
    </w:p>
    <w:p>
      <w:pPr>
        <w:pStyle w:val="Heading1"/>
        <w:keepLines w:val="false"/>
        <w:ind w:hanging="0" w:start="0"/>
        <w:rPr>
          <w:sz w:val="23"/>
        </w:rPr>
      </w:pPr>
      <w:r>
        <w:rPr>
          <w:sz w:val="23"/>
        </w:rPr>
      </w:r>
    </w:p>
    <w:p>
      <w:pPr>
        <w:pStyle w:val="Heading6"/>
        <w:ind w:hanging="0" w:start="0"/>
        <w:rPr>
          <w:sz w:val="23"/>
          <w:u w:val="single"/>
        </w:rPr>
      </w:pPr>
      <w:r>
        <w:rPr>
          <w:sz w:val="23"/>
          <w:u w:val="single"/>
        </w:rPr>
        <w:t>Quinque Case</w:t>
      </w:r>
    </w:p>
    <w:p>
      <w:pPr>
        <w:pStyle w:val="Footer"/>
        <w:tabs>
          <w:tab w:val="clear" w:pos="4320"/>
          <w:tab w:val="clear" w:pos="8640"/>
          <w:tab w:val="left" w:pos="540" w:leader="none"/>
        </w:tabs>
        <w:rPr>
          <w:sz w:val="23"/>
        </w:rPr>
      </w:pPr>
      <w:r>
        <w:rPr>
          <w:sz w:val="23"/>
        </w:rPr>
        <w:t>(Kansas State District Court) (Gibbs &amp; Bruns) (Vinson &amp; Elkins)</w:t>
      </w:r>
    </w:p>
    <w:p>
      <w:pPr>
        <w:pStyle w:val="Normal"/>
        <w:ind w:start="720" w:end="0"/>
        <w:jc w:val="both"/>
        <w:rPr>
          <w:sz w:val="23"/>
        </w:rPr>
      </w:pPr>
      <w:r>
        <w:rPr>
          <w:sz w:val="23"/>
        </w:rPr>
      </w:r>
    </w:p>
    <w:p>
      <w:pPr>
        <w:pStyle w:val="Normal"/>
        <w:numPr>
          <w:ilvl w:val="0"/>
          <w:numId w:val="5"/>
        </w:numPr>
        <w:jc w:val="both"/>
        <w:rPr>
          <w:sz w:val="23"/>
        </w:rPr>
      </w:pPr>
      <w:r>
        <w:rPr>
          <w:sz w:val="23"/>
        </w:rPr>
        <w:t>This is a national class action filed in State District Court in Kansas on behalf of all gas producers and royalty interest owners alleging fraudulent practices in the measurement of gas.</w:t>
      </w:r>
    </w:p>
    <w:p>
      <w:pPr>
        <w:pStyle w:val="Normal"/>
        <w:numPr>
          <w:ilvl w:val="0"/>
          <w:numId w:val="5"/>
        </w:numPr>
        <w:jc w:val="both"/>
        <w:rPr>
          <w:sz w:val="23"/>
        </w:rPr>
      </w:pPr>
      <w:r>
        <w:rPr>
          <w:sz w:val="23"/>
        </w:rPr>
        <w:t>Enron removed the case to the Federal District Court of Kansas City alleging Federal Question jurisdiction.</w:t>
      </w:r>
    </w:p>
    <w:p>
      <w:pPr>
        <w:pStyle w:val="Normal"/>
        <w:numPr>
          <w:ilvl w:val="0"/>
          <w:numId w:val="5"/>
        </w:numPr>
        <w:jc w:val="both"/>
        <w:rPr>
          <w:b/>
          <w:bCs/>
          <w:sz w:val="23"/>
        </w:rPr>
      </w:pPr>
      <w:r>
        <w:rPr>
          <w:sz w:val="23"/>
        </w:rPr>
        <w:t>Plaintiffs filed a motion to remand to State District Court.  On January 10</w:t>
      </w:r>
      <w:r>
        <w:rPr>
          <w:sz w:val="23"/>
          <w:vertAlign w:val="superscript"/>
        </w:rPr>
        <w:t>th</w:t>
      </w:r>
      <w:r>
        <w:rPr>
          <w:sz w:val="23"/>
        </w:rPr>
        <w:t xml:space="preserve"> the Federal District Court granted Plaintiff’s motion to remand and sent the case back to the State District Court.  </w:t>
      </w:r>
    </w:p>
    <w:p>
      <w:pPr>
        <w:pStyle w:val="Normal"/>
        <w:numPr>
          <w:ilvl w:val="0"/>
          <w:numId w:val="5"/>
        </w:numPr>
        <w:jc w:val="both"/>
        <w:rPr>
          <w:sz w:val="23"/>
        </w:rPr>
      </w:pPr>
      <w:r>
        <w:rPr>
          <w:sz w:val="23"/>
        </w:rPr>
        <w:t>Plaintiffs have requested remand costs of $248,000.00 be assessed against Enron.</w:t>
      </w:r>
    </w:p>
    <w:p>
      <w:pPr>
        <w:pStyle w:val="Normal"/>
        <w:numPr>
          <w:ilvl w:val="0"/>
          <w:numId w:val="5"/>
        </w:numPr>
        <w:jc w:val="both"/>
        <w:rPr>
          <w:sz w:val="23"/>
        </w:rPr>
      </w:pPr>
      <w:r>
        <w:rPr>
          <w:b/>
          <w:bCs/>
          <w:sz w:val="23"/>
        </w:rPr>
        <w:t>Plaintiffs will file an amended petition on June 8, 2001</w:t>
      </w:r>
      <w:r>
        <w:rPr>
          <w:sz w:val="23"/>
        </w:rPr>
        <w:t>.</w:t>
      </w:r>
    </w:p>
    <w:p>
      <w:pPr>
        <w:pStyle w:val="Normal"/>
        <w:rPr>
          <w:sz w:val="23"/>
        </w:rPr>
      </w:pPr>
      <w:r>
        <w:rPr>
          <w:sz w:val="23"/>
        </w:rPr>
      </w:r>
    </w:p>
    <w:p>
      <w:pPr>
        <w:pStyle w:val="Heading1"/>
        <w:keepLines w:val="false"/>
        <w:ind w:hanging="0" w:start="0"/>
        <w:rPr>
          <w:sz w:val="23"/>
        </w:rPr>
      </w:pPr>
      <w:r>
        <w:rPr>
          <w:sz w:val="23"/>
        </w:rPr>
        <w:t>Wright v. Enron Corporation</w:t>
      </w:r>
    </w:p>
    <w:p>
      <w:pPr>
        <w:pStyle w:val="Normal"/>
        <w:jc w:val="both"/>
        <w:rPr>
          <w:sz w:val="23"/>
        </w:rPr>
      </w:pPr>
      <w:r>
        <w:rPr>
          <w:sz w:val="23"/>
        </w:rPr>
        <w:t>(Gibbs &amp; Bruns/Vinson &amp;  Elkins)</w:t>
      </w:r>
    </w:p>
    <w:p>
      <w:pPr>
        <w:pStyle w:val="Normal"/>
        <w:jc w:val="both"/>
        <w:rPr>
          <w:sz w:val="23"/>
        </w:rPr>
      </w:pPr>
      <w:r>
        <w:rPr>
          <w:sz w:val="23"/>
        </w:rPr>
      </w:r>
    </w:p>
    <w:p>
      <w:pPr>
        <w:pStyle w:val="Normal"/>
        <w:numPr>
          <w:ilvl w:val="0"/>
          <w:numId w:val="4"/>
        </w:numPr>
        <w:jc w:val="both"/>
        <w:rPr>
          <w:sz w:val="23"/>
        </w:rPr>
      </w:pPr>
      <w:r>
        <w:rPr>
          <w:sz w:val="23"/>
        </w:rPr>
        <w:t>Qui tam case alleging that all marketing affiliates, including ECT, were created to defraud the federal government of royalty obligations.</w:t>
      </w:r>
    </w:p>
    <w:p>
      <w:pPr>
        <w:pStyle w:val="Normal"/>
        <w:numPr>
          <w:ilvl w:val="0"/>
          <w:numId w:val="4"/>
        </w:numPr>
        <w:jc w:val="both"/>
        <w:rPr>
          <w:sz w:val="23"/>
        </w:rPr>
      </w:pPr>
      <w:r>
        <w:rPr>
          <w:sz w:val="23"/>
        </w:rPr>
        <w:t xml:space="preserve">This case has been moved to the same judge presiding in </w:t>
      </w:r>
      <w:r>
        <w:rPr>
          <w:sz w:val="23"/>
          <w:u w:val="single"/>
        </w:rPr>
        <w:t>Grynberg</w:t>
      </w:r>
      <w:r>
        <w:rPr>
          <w:sz w:val="23"/>
        </w:rPr>
        <w:t xml:space="preserve"> case in Wyoming.</w:t>
      </w:r>
    </w:p>
    <w:p>
      <w:pPr>
        <w:pStyle w:val="Normal"/>
        <w:numPr>
          <w:ilvl w:val="0"/>
          <w:numId w:val="4"/>
        </w:numPr>
        <w:jc w:val="both"/>
        <w:rPr>
          <w:sz w:val="23"/>
        </w:rPr>
      </w:pPr>
      <w:r>
        <w:rPr>
          <w:sz w:val="23"/>
        </w:rPr>
        <w:t>The Department of Justice has not decided whether to intervene in case against Enron.  The DOJ has intervened as to other defendants.</w:t>
      </w:r>
    </w:p>
    <w:p>
      <w:pPr>
        <w:pStyle w:val="Body"/>
        <w:ind w:start="0" w:end="0"/>
        <w:rPr>
          <w:b/>
          <w:sz w:val="23"/>
        </w:rPr>
      </w:pPr>
      <w:r>
        <w:rPr>
          <w:b/>
          <w:sz w:val="23"/>
        </w:rPr>
      </w:r>
    </w:p>
    <w:p>
      <w:pPr>
        <w:pStyle w:val="Heading1"/>
        <w:keepLines w:val="false"/>
        <w:ind w:hanging="0" w:start="0"/>
        <w:rPr>
          <w:i w:val="false"/>
          <w:i w:val="false"/>
          <w:iCs/>
          <w:sz w:val="23"/>
          <w:u w:val="none"/>
        </w:rPr>
      </w:pPr>
      <w:r>
        <w:rPr>
          <w:sz w:val="23"/>
        </w:rPr>
        <w:t>Garden State Paper Personal Injury Cases</w:t>
      </w:r>
    </w:p>
    <w:p>
      <w:pPr>
        <w:pStyle w:val="Normal"/>
        <w:rPr>
          <w:i/>
          <w:i/>
          <w:iCs/>
          <w:sz w:val="23"/>
          <w:u w:val="none"/>
        </w:rPr>
      </w:pPr>
      <w:r>
        <w:rPr>
          <w:i/>
          <w:iCs/>
          <w:sz w:val="23"/>
          <w:u w:val="none"/>
        </w:rPr>
      </w:r>
    </w:p>
    <w:p>
      <w:pPr>
        <w:pStyle w:val="BodyTextIndent2"/>
        <w:jc w:val="both"/>
        <w:rPr/>
      </w:pPr>
      <w:r>
        <w:rPr>
          <w:b w:val="false"/>
          <w:bCs w:val="false"/>
          <w:sz w:val="23"/>
        </w:rPr>
        <w:tab/>
      </w:r>
      <w:r>
        <w:rPr>
          <w:b w:val="false"/>
          <w:bCs w:val="false"/>
          <w:sz w:val="28"/>
        </w:rPr>
        <w:t>•</w:t>
      </w:r>
      <w:r>
        <w:rPr>
          <w:b w:val="false"/>
          <w:bCs w:val="false"/>
          <w:sz w:val="23"/>
        </w:rPr>
        <w:tab/>
        <w:t>In the last few months, Garden State Paper (“GSP”) has faced three serious personal injury cases.</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Carlos Gines matter</w:t>
      </w:r>
      <w:r>
        <w:rPr>
          <w:b w:val="false"/>
          <w:bCs w:val="false"/>
          <w:sz w:val="23"/>
        </w:rPr>
        <w:t>: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Philip Buffalo matter</w:t>
      </w:r>
      <w:r>
        <w:rPr>
          <w:b w:val="false"/>
          <w:bCs w:val="false"/>
          <w:sz w:val="23"/>
        </w:rPr>
        <w:t>:  Mr. Buffalo was an employee of Penske, another contractor at GSP.  Mr. Buffalo was hit by a forklift operated by a GSP employee, resulting in serious leg and thigh injuries.  Mr. Buffalo has retained counsel, but no lawsuit has been filed.  OSHA has levelled a fine and serious citation against GSP for its employee’s actions.</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Julio DeLeon matter</w:t>
      </w:r>
      <w:r>
        <w:rPr>
          <w:b w:val="false"/>
          <w:bCs w:val="false"/>
          <w:sz w:val="23"/>
        </w:rPr>
        <w:t>:  Mr. DeLeon, an employee of New Jersey Wire (another subcontractor), sustained head injuries while attempting to remove heavy wire rolls from a wire rack.  As of this date, we do not believe Mr. DeLeon has hired counsel.</w:t>
      </w:r>
    </w:p>
    <w:p>
      <w:pPr>
        <w:pStyle w:val="BodyTextIndent2"/>
        <w:jc w:val="both"/>
        <w:rPr/>
      </w:pPr>
      <w:r>
        <w:rPr>
          <w:b w:val="false"/>
          <w:bCs w:val="false"/>
          <w:sz w:val="23"/>
        </w:rPr>
        <w:tab/>
      </w:r>
      <w:r>
        <w:rPr>
          <w:b w:val="false"/>
          <w:bCs w:val="false"/>
          <w:sz w:val="28"/>
        </w:rPr>
        <w:t>•</w:t>
      </w:r>
      <w:r>
        <w:rPr>
          <w:b w:val="false"/>
          <w:bCs w:val="false"/>
          <w:sz w:val="23"/>
        </w:rPr>
        <w:tab/>
      </w:r>
      <w:r>
        <w:rPr>
          <w:sz w:val="23"/>
          <w:u w:val="single"/>
        </w:rPr>
        <w:t>The Olvasky matter</w:t>
      </w:r>
      <w:r>
        <w:rPr>
          <w:sz w:val="23"/>
        </w:rPr>
        <w:t>:  Mr. Olvasky, an employee of Allen Electric, fell at the Garden State Paper plant, struck his head and later died.  This is a wrongful death lawsuit filed in May 2001</w:t>
      </w:r>
      <w:r>
        <w:rPr>
          <w:b w:val="false"/>
          <w:bCs w:val="false"/>
          <w:sz w:val="23"/>
        </w:rPr>
        <w:t>.</w:t>
      </w:r>
    </w:p>
    <w:p>
      <w:pPr>
        <w:pStyle w:val="Heading1"/>
        <w:keepLines w:val="false"/>
        <w:ind w:hanging="0" w:start="0"/>
        <w:rPr>
          <w:b/>
          <w:bCs/>
          <w:sz w:val="23"/>
        </w:rPr>
      </w:pPr>
      <w:r>
        <w:rPr>
          <w:b/>
          <w:bCs/>
          <w:sz w:val="23"/>
        </w:rPr>
      </w:r>
      <w:r>
        <w:br w:type="page"/>
      </w:r>
    </w:p>
    <w:p>
      <w:pPr>
        <w:pStyle w:val="Heading1"/>
        <w:keepLines w:val="false"/>
        <w:ind w:hanging="0" w:start="0"/>
        <w:rPr>
          <w:sz w:val="23"/>
        </w:rPr>
      </w:pPr>
      <w:r>
        <w:rPr>
          <w:sz w:val="23"/>
        </w:rPr>
        <w:t>John Schultes v. Enron North America Corp. and ECT Thailand Investments, Inc.</w:t>
      </w:r>
    </w:p>
    <w:p>
      <w:pPr>
        <w:pStyle w:val="Normal"/>
        <w:jc w:val="both"/>
        <w:rPr>
          <w:sz w:val="23"/>
        </w:rPr>
      </w:pPr>
      <w:r>
        <w:rPr>
          <w:sz w:val="23"/>
        </w:rPr>
        <w:t>(Cleveland Ohio State District Court)</w:t>
      </w:r>
    </w:p>
    <w:p>
      <w:pPr>
        <w:pStyle w:val="Normal"/>
        <w:jc w:val="both"/>
        <w:rPr>
          <w:sz w:val="23"/>
        </w:rPr>
      </w:pPr>
      <w:r>
        <w:rPr>
          <w:sz w:val="23"/>
        </w:rPr>
      </w:r>
    </w:p>
    <w:p>
      <w:pPr>
        <w:pStyle w:val="Normal"/>
        <w:tabs>
          <w:tab w:val="left" w:pos="540" w:leader="none"/>
          <w:tab w:val="left" w:pos="1080" w:leader="none"/>
        </w:tabs>
        <w:ind w:hanging="360" w:start="1080" w:end="0"/>
        <w:jc w:val="both"/>
        <w:rPr/>
      </w:pPr>
      <w:r>
        <w:rPr>
          <w:rFonts w:cs="Arial"/>
          <w:sz w:val="28"/>
        </w:rPr>
        <w:t>•</w:t>
      </w:r>
      <w:r>
        <w:rPr>
          <w:rFonts w:cs="Arial"/>
          <w:sz w:val="23"/>
        </w:rPr>
        <w:tab/>
      </w:r>
      <w:r>
        <w:rPr>
          <w:sz w:val="23"/>
        </w:rPr>
        <w:t>John Schultes is the former president of NSM.  His 8 year employment agreement was terminated by NSM Management Co., of which ECT Thailand Investments Inc. was a member.</w:t>
      </w:r>
    </w:p>
    <w:p>
      <w:pPr>
        <w:pStyle w:val="Normal"/>
        <w:tabs>
          <w:tab w:val="left" w:pos="540" w:leader="none"/>
          <w:tab w:val="left" w:pos="1080" w:leader="none"/>
        </w:tabs>
        <w:ind w:hanging="360" w:start="1080" w:end="0"/>
        <w:jc w:val="both"/>
        <w:rPr/>
      </w:pPr>
      <w:r>
        <w:rPr>
          <w:rFonts w:cs="Arial"/>
          <w:sz w:val="28"/>
        </w:rPr>
        <w:t>•</w:t>
      </w:r>
      <w:r>
        <w:rPr>
          <w:rFonts w:cs="Arial"/>
          <w:sz w:val="23"/>
        </w:rPr>
        <w:tab/>
      </w:r>
      <w:r>
        <w:rPr>
          <w:sz w:val="23"/>
        </w:rPr>
        <w:t>Schultes has sued ENA and ECT Thailand Investments for breach of contract, tortuous interference, fraud, defamation and negligent misrepresentation as a result of their involvement in Schultes’ termination.</w:t>
      </w:r>
    </w:p>
    <w:p>
      <w:pPr>
        <w:pStyle w:val="Normal"/>
        <w:tabs>
          <w:tab w:val="left" w:pos="540" w:leader="none"/>
          <w:tab w:val="left" w:pos="1080" w:leader="none"/>
        </w:tabs>
        <w:ind w:hanging="360" w:start="1080" w:end="0"/>
        <w:jc w:val="both"/>
        <w:rPr>
          <w:sz w:val="23"/>
        </w:rPr>
      </w:pPr>
      <w:r>
        <w:rPr>
          <w:rFonts w:cs="Arial"/>
          <w:b/>
          <w:bCs/>
          <w:sz w:val="28"/>
        </w:rPr>
        <w:t>•</w:t>
      </w:r>
      <w:r>
        <w:rPr>
          <w:rFonts w:cs="Arial"/>
          <w:b/>
          <w:bCs/>
          <w:sz w:val="23"/>
        </w:rPr>
        <w:tab/>
        <w:t>On May 25, 2001, Enron filed three motions to dismiss</w:t>
      </w:r>
      <w:r>
        <w:rPr>
          <w:rFonts w:cs="Arial"/>
          <w:sz w:val="23"/>
        </w:rPr>
        <w:t>.</w:t>
      </w:r>
    </w:p>
    <w:p>
      <w:pPr>
        <w:pStyle w:val="Normal"/>
        <w:jc w:val="both"/>
        <w:rPr>
          <w:sz w:val="23"/>
        </w:rPr>
      </w:pPr>
      <w:r>
        <w:rPr>
          <w:sz w:val="23"/>
        </w:rPr>
      </w:r>
    </w:p>
    <w:p>
      <w:pPr>
        <w:pStyle w:val="Heading1"/>
        <w:keepLines w:val="false"/>
        <w:ind w:hanging="0" w:start="0"/>
        <w:rPr>
          <w:i w:val="false"/>
          <w:i w:val="false"/>
          <w:iCs/>
          <w:sz w:val="23"/>
          <w:u w:val="none"/>
        </w:rPr>
      </w:pPr>
      <w:r>
        <w:rPr>
          <w:sz w:val="23"/>
        </w:rPr>
        <w:t>Michigan Power Limited Partnership/Consumer Energy</w:t>
      </w:r>
    </w:p>
    <w:p>
      <w:pPr>
        <w:pStyle w:val="Normal"/>
        <w:tabs>
          <w:tab w:val="clear" w:pos="540"/>
          <w:tab w:val="left" w:pos="720" w:leader="none"/>
          <w:tab w:val="left" w:pos="1080" w:leader="none"/>
        </w:tabs>
        <w:ind w:hanging="1080" w:start="1080" w:end="0"/>
        <w:jc w:val="both"/>
        <w:rPr>
          <w:sz w:val="23"/>
        </w:rPr>
      </w:pPr>
      <w:r>
        <w:rPr>
          <w:sz w:val="23"/>
        </w:rPr>
        <w:t xml:space="preserve">(No Pending Litigation) </w:t>
      </w:r>
    </w:p>
    <w:p>
      <w:pPr>
        <w:pStyle w:val="Normal"/>
        <w:rPr>
          <w:sz w:val="23"/>
        </w:rPr>
      </w:pPr>
      <w:r>
        <w:rPr>
          <w:sz w:val="23"/>
        </w:rPr>
      </w:r>
    </w:p>
    <w:p>
      <w:pPr>
        <w:pStyle w:val="BodyTextIndent2"/>
        <w:jc w:val="both"/>
        <w:rPr/>
      </w:pPr>
      <w:r>
        <w:rPr>
          <w:b w:val="false"/>
          <w:bCs w:val="false"/>
          <w:sz w:val="23"/>
        </w:rPr>
        <w:tab/>
      </w:r>
      <w:r>
        <w:rPr>
          <w:b w:val="false"/>
          <w:bCs w:val="false"/>
          <w:sz w:val="28"/>
        </w:rPr>
        <w:t>•</w:t>
      </w:r>
      <w:r>
        <w:rPr>
          <w:b w:val="false"/>
          <w:bCs w:val="false"/>
          <w:sz w:val="23"/>
        </w:rPr>
        <w:tab/>
        <w:t>Enron and Dynegy are 50 percent owners of the Michigan Power Limited Partnership (“MPLP”).  MPLP went into service on October 1, 1995.</w:t>
      </w:r>
    </w:p>
    <w:p>
      <w:pPr>
        <w:pStyle w:val="BodyTextIndent2"/>
        <w:jc w:val="both"/>
        <w:rPr/>
      </w:pPr>
      <w:r>
        <w:rPr>
          <w:b w:val="false"/>
          <w:bCs w:val="false"/>
          <w:sz w:val="23"/>
        </w:rPr>
        <w:tab/>
      </w:r>
      <w:r>
        <w:rPr>
          <w:b w:val="false"/>
          <w:bCs w:val="false"/>
          <w:sz w:val="28"/>
        </w:rPr>
        <w:t>•</w:t>
      </w:r>
      <w:r>
        <w:rPr>
          <w:b w:val="false"/>
          <w:bCs w:val="false"/>
          <w:sz w:val="23"/>
        </w:rPr>
        <w:tab/>
        <w:t>MPLP provides power to consumers Energy under a PPA that ends September 20, 2030.</w:t>
      </w:r>
    </w:p>
    <w:p>
      <w:pPr>
        <w:pStyle w:val="BodyTextIndent2"/>
        <w:jc w:val="both"/>
        <w:rPr/>
      </w:pPr>
      <w:r>
        <w:rPr>
          <w:b w:val="false"/>
          <w:bCs w:val="false"/>
          <w:sz w:val="23"/>
        </w:rPr>
        <w:tab/>
      </w:r>
      <w:r>
        <w:rPr>
          <w:b w:val="false"/>
          <w:bCs w:val="false"/>
          <w:sz w:val="28"/>
        </w:rPr>
        <w:t>•</w:t>
      </w:r>
      <w:r>
        <w:rPr>
          <w:b w:val="false"/>
          <w:bCs w:val="false"/>
          <w:sz w:val="23"/>
        </w:rPr>
        <w:tab/>
        <w:t xml:space="preserve">In February 2001, Consumers Energy sent MPLP a letter contending that Consumer Energy </w:t>
      </w:r>
      <w:r>
        <w:rPr>
          <w:b w:val="false"/>
          <w:bCs w:val="false"/>
          <w:sz w:val="23"/>
          <w:u w:val="single"/>
        </w:rPr>
        <w:t>overpaid</w:t>
      </w:r>
      <w:r>
        <w:rPr>
          <w:b w:val="false"/>
          <w:bCs w:val="false"/>
          <w:sz w:val="23"/>
        </w:rPr>
        <w:t xml:space="preserve"> MPLP $16.1 million in capacity charges from 1996 through 2000.  Enron would be responsible for half of this amount.</w:t>
      </w:r>
    </w:p>
    <w:p>
      <w:pPr>
        <w:pStyle w:val="BodyTextIndent2"/>
        <w:jc w:val="both"/>
        <w:rPr/>
      </w:pPr>
      <w:r>
        <w:rPr>
          <w:b w:val="false"/>
          <w:bCs w:val="false"/>
          <w:sz w:val="23"/>
        </w:rPr>
        <w:tab/>
      </w:r>
      <w:r>
        <w:rPr>
          <w:b w:val="false"/>
          <w:bCs w:val="false"/>
          <w:sz w:val="28"/>
        </w:rPr>
        <w:t>•</w:t>
      </w:r>
      <w:r>
        <w:rPr>
          <w:b w:val="false"/>
          <w:bCs w:val="false"/>
          <w:sz w:val="23"/>
        </w:rPr>
        <w:tab/>
        <w:t>Capacity rates under the PPA are to be increased annually.  The key question is whether the capacity rate increase should take place on January 1 (calendar year) or October 1 (the anniversary of the commercial operation date of the facility).</w:t>
      </w:r>
    </w:p>
    <w:p>
      <w:pPr>
        <w:pStyle w:val="BodyTextIndent2"/>
        <w:jc w:val="both"/>
        <w:rPr/>
      </w:pPr>
      <w:r>
        <w:rPr>
          <w:b w:val="false"/>
          <w:bCs w:val="false"/>
          <w:sz w:val="23"/>
        </w:rPr>
        <w:tab/>
      </w:r>
      <w:r>
        <w:rPr>
          <w:b w:val="false"/>
          <w:bCs w:val="false"/>
          <w:sz w:val="28"/>
        </w:rPr>
        <w:t>•</w:t>
      </w:r>
      <w:r>
        <w:rPr>
          <w:b w:val="false"/>
          <w:bCs w:val="false"/>
          <w:sz w:val="23"/>
        </w:rPr>
        <w:tab/>
        <w:t>Consumers Energy self-billed under the PPA and increased capacity rates every January 1 (calendar year).  Now Consumers Energy contends that increase was in error and that the PPA requires the capacity rate to increase every October 1.</w:t>
      </w:r>
    </w:p>
    <w:p>
      <w:pPr>
        <w:pStyle w:val="BodyTextIndent2"/>
        <w:jc w:val="both"/>
        <w:rPr/>
      </w:pPr>
      <w:r>
        <w:rPr>
          <w:b w:val="false"/>
          <w:bCs w:val="false"/>
          <w:sz w:val="23"/>
        </w:rPr>
        <w:tab/>
      </w:r>
      <w:r>
        <w:rPr>
          <w:b w:val="false"/>
          <w:bCs w:val="false"/>
          <w:sz w:val="28"/>
        </w:rPr>
        <w:t>•</w:t>
      </w:r>
      <w:r>
        <w:rPr>
          <w:b w:val="false"/>
          <w:bCs w:val="false"/>
          <w:sz w:val="23"/>
        </w:rPr>
        <w:tab/>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BodyTextIndent2"/>
        <w:jc w:val="both"/>
        <w:rPr/>
      </w:pPr>
      <w:r>
        <w:rPr>
          <w:b w:val="false"/>
          <w:bCs w:val="false"/>
          <w:sz w:val="23"/>
        </w:rPr>
        <w:tab/>
      </w:r>
      <w:r>
        <w:rPr>
          <w:b w:val="false"/>
          <w:bCs w:val="false"/>
          <w:sz w:val="28"/>
        </w:rPr>
        <w:t>•</w:t>
      </w:r>
      <w:r>
        <w:rPr>
          <w:b w:val="false"/>
          <w:bCs w:val="false"/>
          <w:sz w:val="23"/>
        </w:rPr>
        <w:tab/>
        <w:t xml:space="preserve">Arbitration has been threatened, but has not been commenced. </w:t>
      </w:r>
    </w:p>
    <w:p>
      <w:pPr>
        <w:pStyle w:val="BodyTextIndent2"/>
        <w:jc w:val="both"/>
        <w:rPr>
          <w:b w:val="false"/>
          <w:bCs w:val="false"/>
          <w:sz w:val="23"/>
        </w:rPr>
      </w:pPr>
      <w:r>
        <w:rPr>
          <w:b w:val="false"/>
          <w:bCs w:val="false"/>
          <w:sz w:val="23"/>
        </w:rPr>
      </w:r>
    </w:p>
    <w:p>
      <w:pPr>
        <w:pStyle w:val="Normal"/>
        <w:jc w:val="both"/>
        <w:rPr>
          <w:sz w:val="23"/>
        </w:rPr>
      </w:pPr>
      <w:r>
        <w:rPr>
          <w:sz w:val="23"/>
        </w:rPr>
        <w:t>cc:</w:t>
        <w:tab/>
        <w:t>James V. Derrick</w:t>
      </w:r>
    </w:p>
    <w:p>
      <w:pPr>
        <w:pStyle w:val="Normal"/>
        <w:jc w:val="both"/>
        <w:rPr>
          <w:sz w:val="23"/>
        </w:rPr>
      </w:pPr>
      <w:r>
        <w:rPr>
          <w:sz w:val="23"/>
        </w:rPr>
        <w:tab/>
        <w:t>Julia A. Murray</w:t>
      </w:r>
    </w:p>
    <w:p>
      <w:pPr>
        <w:pStyle w:val="Normal"/>
        <w:jc w:val="both"/>
        <w:rPr>
          <w:sz w:val="23"/>
        </w:rPr>
      </w:pPr>
      <w:r>
        <w:rPr>
          <w:sz w:val="23"/>
        </w:rPr>
        <w:tab/>
        <w:t>Mark Frevert</w:t>
      </w:r>
    </w:p>
    <w:p>
      <w:pPr>
        <w:pStyle w:val="Normal"/>
        <w:jc w:val="both"/>
        <w:rPr>
          <w:sz w:val="23"/>
        </w:rPr>
      </w:pPr>
      <w:r>
        <w:rPr>
          <w:sz w:val="23"/>
        </w:rPr>
        <w:tab/>
        <w:t>John Lavorato</w:t>
      </w:r>
    </w:p>
    <w:sectPr>
      <w:headerReference w:type="default" r:id="rId4"/>
      <w:headerReference w:type="first" r:id="rId5"/>
      <w:footerReference w:type="default" r:id="rId6"/>
      <w:footerReference w:type="first" r:id="rId7"/>
      <w:type w:val="nextPage"/>
      <w:pgSz w:w="12240" w:h="15840"/>
      <w:pgMar w:left="1152" w:right="1152" w:gutter="0" w:header="432" w:top="1008" w:footer="36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/mnt/main-storage/datasets/enron-docs/doc/EWS_Litigation_Weekly_Report_2001.doc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960" w:leader="none"/>
        <w:tab w:val="right" w:pos="9360" w:leader="none"/>
      </w:tabs>
      <w:rPr>
        <w:b/>
        <w:sz w:val="16"/>
      </w:rPr>
    </w:pPr>
    <w:r>
      <w:rPr>
        <w:b/>
        <w:sz w:val="16"/>
      </w:rPr>
      <w:t>Your Personal Best Makes Enron Best</w:t>
      <w:tab/>
      <w:t>Communicate- Facts Are Friendly</w:t>
      <w:tab/>
      <w:t>Better, Faster, Simpler</w:t>
    </w:r>
  </w:p>
  <w:p>
    <w:pPr>
      <w:pStyle w:val="Footer"/>
      <w:tabs>
        <w:tab w:val="clear" w:pos="4320"/>
        <w:tab w:val="clear" w:pos="8640"/>
        <w:tab w:val="left" w:pos="3960" w:leader="none"/>
        <w:tab w:val="right" w:pos="9360" w:leader="none"/>
      </w:tabs>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/mnt/main-storage/datasets/enron-docs/doc/EWS_Litigation_Weekly_Report_2001.doc</w:t>
    </w:r>
    <w:r>
      <w:rPr>
        <w:sz w:val="12"/>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sz w:val="18"/>
      </w:rPr>
    </w:pPr>
    <w:r>
      <w:rPr>
        <w:sz w:val="18"/>
      </w:rPr>
      <w:t>Memo to Mark Haedicke</w:t>
    </w:r>
  </w:p>
  <w:p>
    <w:pPr>
      <w:pStyle w:val="Header"/>
      <w:tabs>
        <w:tab w:val="clear" w:pos="4320"/>
        <w:tab w:val="clear" w:pos="8640"/>
        <w:tab w:val="center" w:pos="4680" w:leader="none"/>
        <w:tab w:val="right" w:pos="9360" w:leader="none"/>
      </w:tabs>
      <w:rPr>
        <w:sz w:val="18"/>
      </w:rPr>
    </w:pPr>
    <w:r>
      <w:rPr>
        <w:sz w:val="18"/>
      </w:rPr>
      <w:fldChar w:fldCharType="begin"/>
    </w:r>
    <w:r>
      <w:rPr>
        <w:sz w:val="18"/>
      </w:rPr>
      <w:instrText xml:space="preserve"> DATE \@"MMMM\ d', 'yyyy" </w:instrText>
    </w:r>
    <w:r>
      <w:rPr>
        <w:sz w:val="18"/>
      </w:rPr>
      <w:fldChar w:fldCharType="separate"/>
    </w:r>
    <w:r>
      <w:rPr>
        <w:sz w:val="18"/>
      </w:rPr>
      <w:t>September 28, 2025</w:t>
    </w:r>
    <w:r>
      <w:rPr>
        <w:sz w:val="18"/>
      </w:rPr>
      <w:fldChar w:fldCharType="end"/>
    </w:r>
  </w:p>
  <w:p>
    <w:pPr>
      <w:pStyle w:val="Header"/>
      <w:tabs>
        <w:tab w:val="clear" w:pos="4320"/>
        <w:tab w:val="clear" w:pos="8640"/>
        <w:tab w:val="center" w:pos="4680" w:leader="none"/>
        <w:tab w:val="right" w:pos="9360" w:leader="none"/>
      </w:tabs>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Header"/>
      <w:tabs>
        <w:tab w:val="clear" w:pos="4320"/>
        <w:tab w:val="clear" w:pos="8640"/>
        <w:tab w:val="center" w:pos="4680" w:leader="none"/>
        <w:tab w:val="right" w:pos="9360" w:leader="none"/>
      </w:tabs>
      <w:rPr>
        <w:rStyle w:val="PageNumber"/>
        <w:sz w:val="20"/>
      </w:rPr>
    </w:pPr>
    <w:r>
      <w:rPr/>
    </w:r>
  </w:p>
  <w:p>
    <w:pPr>
      <w:pStyle w:val="Header"/>
      <w:tabs>
        <w:tab w:val="clear" w:pos="4320"/>
        <w:tab w:val="clear" w:pos="8640"/>
        <w:tab w:val="center" w:pos="4680" w:leader="none"/>
        <w:tab w:val="right" w:pos="9360" w:leader="none"/>
      </w:tabs>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5">
              <wp:simplePos x="0" y="0"/>
              <wp:positionH relativeFrom="page">
                <wp:posOffset>2556510</wp:posOffset>
              </wp:positionH>
              <wp:positionV relativeFrom="paragraph">
                <wp:posOffset>-354330</wp:posOffset>
              </wp:positionV>
              <wp:extent cx="4420235" cy="704850"/>
              <wp:effectExtent l="0" t="0" r="0" b="0"/>
              <wp:wrapSquare wrapText="bothSides"/>
              <wp:docPr id="5" name="Frame3"/>
              <a:graphic xmlns:a="http://schemas.openxmlformats.org/drawingml/2006/main">
                <a:graphicData uri="http://schemas.microsoft.com/office/word/2010/wordprocessingShape">
                  <wps:wsp>
                    <wps:cNvSpPr txBox="1"/>
                    <wps:spPr>
                      <a:xfrm>
                        <a:off x="0" y="0"/>
                        <a:ext cx="4420235" cy="704850"/>
                      </a:xfrm>
                      <a:prstGeom prst="rect"/>
                      <a:solidFill>
                        <a:srgbClr val="FFFFFF">
                          <a:alpha val="0"/>
                        </a:srgbClr>
                      </a:solidFill>
                    </wps:spPr>
                    <wps:txbx>
                      <w:txbxContent>
                        <w:p>
                          <w:pPr>
                            <w:pStyle w:val="Normal"/>
                            <w:ind w:start="4680" w:end="0"/>
                            <w:rPr>
                              <w:b/>
                              <w:sz w:val="32"/>
                            </w:rPr>
                          </w:pPr>
                          <w:r>
                            <w:rPr>
                              <w:b/>
                              <w:sz w:val="32"/>
                            </w:rPr>
                          </w:r>
                        </w:p>
                        <w:p>
                          <w:pPr>
                            <w:pStyle w:val="Normal"/>
                            <w:ind w:start="468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48.05pt;height:55.5pt;mso-wrap-distance-left:9.35pt;mso-wrap-distance-right:9.35pt;mso-wrap-distance-top:0pt;mso-wrap-distance-bottom:0pt;margin-top:-27.9pt;mso-position-vertical-relative:text;margin-left:201.3pt;mso-position-horizontal-relative:page">
              <v:fill opacity="0f"/>
              <v:textbox inset="0in,0in,0in,0in">
                <w:txbxContent>
                  <w:p>
                    <w:pPr>
                      <w:pStyle w:val="Normal"/>
                      <w:ind w:start="4680" w:end="0"/>
                      <w:rPr>
                        <w:b/>
                        <w:sz w:val="32"/>
                      </w:rPr>
                    </w:pPr>
                    <w:r>
                      <w:rPr>
                        <w:b/>
                        <w:sz w:val="32"/>
                      </w:rPr>
                    </w:r>
                  </w:p>
                  <w:p>
                    <w:pPr>
                      <w:pStyle w:val="Normal"/>
                      <w:ind w:start="468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360"/>
        </w:tabs>
        <w:ind w:start="1080" w:hanging="360"/>
      </w:pPr>
      <w:rPr>
        <w:rFonts w:ascii="Symbol" w:hAnsi="Symbol" w:cs="Symbol" w:hint="default"/>
      </w:rPr>
    </w:lvl>
  </w:abstractNum>
  <w:abstractNum w:abstractNumId="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keepLines/>
      <w:numPr>
        <w:ilvl w:val="0"/>
        <w:numId w:val="1"/>
      </w:numPr>
      <w:jc w:val="both"/>
      <w:outlineLvl w:val="0"/>
    </w:pPr>
    <w:rPr>
      <w:i/>
      <w:sz w:val="20"/>
      <w:u w:val="single"/>
    </w:rPr>
  </w:style>
  <w:style w:type="paragraph" w:styleId="Heading2">
    <w:name w:val="heading 2"/>
    <w:basedOn w:val="Normal"/>
    <w:next w:val="Normal"/>
    <w:qFormat/>
    <w:pPr>
      <w:keepNext w:val="true"/>
      <w:numPr>
        <w:ilvl w:val="1"/>
        <w:numId w:val="1"/>
      </w:numPr>
      <w:jc w:val="both"/>
      <w:outlineLvl w:val="1"/>
    </w:pPr>
    <w:rPr>
      <w:b/>
      <w:i/>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sz w:val="20"/>
      <w:u w:val="single"/>
    </w:rPr>
  </w:style>
  <w:style w:type="paragraph" w:styleId="Heading5">
    <w:name w:val="heading 5"/>
    <w:basedOn w:val="Normal"/>
    <w:next w:val="Normal"/>
    <w:qFormat/>
    <w:pPr>
      <w:keepNext w:val="true"/>
      <w:numPr>
        <w:ilvl w:val="4"/>
        <w:numId w:val="1"/>
      </w:numPr>
      <w:outlineLvl w:val="4"/>
    </w:pPr>
    <w:rPr>
      <w:b/>
      <w:sz w:val="23"/>
      <w:u w:val="single"/>
    </w:rPr>
  </w:style>
  <w:style w:type="paragraph" w:styleId="Heading6">
    <w:name w:val="heading 6"/>
    <w:basedOn w:val="Normal"/>
    <w:next w:val="Normal"/>
    <w:qFormat/>
    <w:pPr>
      <w:keepNext w:val="true"/>
      <w:numPr>
        <w:ilvl w:val="5"/>
        <w:numId w:val="1"/>
      </w:numPr>
      <w:outlineLvl w:val="5"/>
    </w:pPr>
    <w:rPr>
      <w:i/>
      <w:sz w:val="20"/>
    </w:rPr>
  </w:style>
  <w:style w:type="paragraph" w:styleId="Heading7">
    <w:name w:val="heading 7"/>
    <w:basedOn w:val="Normal"/>
    <w:next w:val="Normal"/>
    <w:qFormat/>
    <w:pPr>
      <w:keepNext w:val="true"/>
      <w:numPr>
        <w:ilvl w:val="6"/>
        <w:numId w:val="1"/>
      </w:numPr>
      <w:jc w:val="both"/>
      <w:outlineLvl w:val="6"/>
    </w:pPr>
    <w:rPr>
      <w:bCs/>
      <w:i/>
      <w:sz w:val="22"/>
      <w:u w:val="single"/>
    </w:rPr>
  </w:style>
  <w:style w:type="paragraph" w:styleId="Heading8">
    <w:name w:val="heading 8"/>
    <w:basedOn w:val="Normal"/>
    <w:next w:val="Normal"/>
    <w:qFormat/>
    <w:pPr>
      <w:keepNext w:val="true"/>
      <w:numPr>
        <w:ilvl w:val="7"/>
        <w:numId w:val="1"/>
      </w:numPr>
      <w:jc w:val="both"/>
      <w:outlineLvl w:val="7"/>
    </w:pPr>
    <w:rPr>
      <w:bCs/>
      <w:i/>
      <w:sz w:val="23"/>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Times New Roman" w:hAnsi="Times New Roman" w:eastAsia="Times New Roman" w:cs="Times New Roman"/>
      <w:i/>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7z0">
    <w:name w:val="WW8Num7z0"/>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20"/>
    </w:rPr>
  </w:style>
  <w:style w:type="character" w:styleId="WW8Num12z0">
    <w:name w:val="WW8Num12z0"/>
    <w:qFormat/>
    <w:rPr>
      <w:rFonts w:ascii="Wingdings" w:hAnsi="Wingdings" w:cs="Wingdings"/>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080" w:leader="none"/>
      </w:tabs>
      <w:jc w:val="both"/>
    </w:pPr>
    <w:rPr>
      <w:b/>
      <w:bCs/>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720" w:start="1440" w:end="0"/>
      <w:jc w:val="both"/>
    </w:pPr>
    <w:rPr>
      <w:sz w:val="20"/>
    </w:rPr>
  </w:style>
  <w:style w:type="paragraph" w:styleId="BodyTextIndent2">
    <w:name w:val="Body Text Indent 2"/>
    <w:basedOn w:val="Normal"/>
    <w:qFormat/>
    <w:pPr>
      <w:tabs>
        <w:tab w:val="clear" w:pos="540"/>
        <w:tab w:val="left" w:pos="720" w:leader="none"/>
        <w:tab w:val="left" w:pos="1080" w:leader="none"/>
      </w:tabs>
      <w:ind w:hanging="1080" w:start="1080" w:end="0"/>
    </w:pPr>
    <w:rPr>
      <w:rFonts w:cs="Arial"/>
      <w:b/>
      <w:bC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2001-06-08T13:20:00Z</dcterms:created>
  <dc:creator>Enron</dc:creator>
  <dc:description/>
  <dc:language>en-CA</dc:language>
  <cp:lastModifiedBy>Andrew Edison</cp:lastModifiedBy>
  <cp:lastPrinted>2001-06-06T12:51:00Z</cp:lastPrinted>
  <dcterms:modified xsi:type="dcterms:W3CDTF">2001-06-08T13:20:00Z</dcterms:modified>
  <cp:revision>2</cp:revision>
  <dc:subject/>
  <dc:title> </dc:title>
</cp:coreProperties>
</file>