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eastAsia="Arial" w:cs="Arial" w:ascii="Arial" w:hAnsi="Arial"/>
          <w:sz w:val="24"/>
        </w:rPr>
        <w:t xml:space="preserve"> </w:t>
      </w: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ing1"/>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Alan Aronowitz</w:t>
            </w:r>
          </w:p>
          <w:p>
            <w:pPr>
              <w:pStyle w:val="Normal"/>
              <w:tabs>
                <w:tab w:val="clear" w:pos="720"/>
                <w:tab w:val="left" w:pos="1440" w:leader="none"/>
              </w:tabs>
              <w:rPr>
                <w:rFonts w:ascii="Arial" w:hAnsi="Arial" w:cs="Arial"/>
                <w:sz w:val="24"/>
              </w:rPr>
            </w:pPr>
            <w:r>
              <w:rPr>
                <w:rFonts w:cs="Arial" w:ascii="Arial" w:hAnsi="Arial"/>
                <w:sz w:val="24"/>
              </w:rPr>
              <w:tab/>
              <w:t>Dan Rogers</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tab/>
              <w:tab/>
              <w:t xml:space="preserve">Rob Walls </w:t>
            </w:r>
          </w:p>
          <w:p>
            <w:pPr>
              <w:pStyle w:val="Normal"/>
              <w:rPr>
                <w:rFonts w:ascii="Arial" w:hAnsi="Arial" w:cs="Arial"/>
                <w:sz w:val="24"/>
              </w:rPr>
            </w:pPr>
            <w:r>
              <w:rPr>
                <w:rFonts w:cs="Arial" w:ascii="Arial" w:hAnsi="Arial"/>
                <w:sz w:val="24"/>
              </w:rPr>
            </w:r>
          </w:p>
        </w:tc>
      </w:tr>
      <w:tr>
        <w:trPr>
          <w:trHeight w:val="522"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January 19, 2001</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EWS/Enron Global Markets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being handled by us.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Heading4"/>
        <w:numPr>
          <w:ilvl w:val="0"/>
          <w:numId w:val="3"/>
        </w:numPr>
        <w:tabs>
          <w:tab w:val="clear" w:pos="720"/>
        </w:tabs>
        <w:rPr>
          <w:b/>
          <w:u w:val="none"/>
        </w:rPr>
      </w:pPr>
      <w:r>
        <w:rPr>
          <w:b/>
          <w:u w:val="none"/>
        </w:rPr>
        <w:t>LITIGATION/ARBITRATION</w:t>
      </w:r>
    </w:p>
    <w:p>
      <w:pPr>
        <w:pStyle w:val="Normal"/>
        <w:ind w:start="720" w:end="0"/>
        <w:rPr>
          <w:rFonts w:ascii="Arial" w:hAnsi="Arial" w:cs="Arial"/>
          <w:b/>
          <w:sz w:val="24"/>
          <w:u w:val="none"/>
        </w:rPr>
      </w:pPr>
      <w:r>
        <w:rPr>
          <w:rFonts w:cs="Arial" w:ascii="Arial" w:hAnsi="Arial"/>
          <w:b/>
          <w:sz w:val="24"/>
          <w:u w:val="none"/>
        </w:rPr>
      </w:r>
    </w:p>
    <w:p>
      <w:pPr>
        <w:pStyle w:val="Heading2"/>
        <w:tabs>
          <w:tab w:val="clear" w:pos="720"/>
          <w:tab w:val="left" w:pos="7740" w:leader="none"/>
        </w:tabs>
        <w:ind w:start="1440" w:end="0"/>
        <w:rPr/>
      </w:pPr>
      <w:r>
        <w:rPr>
          <w:b/>
          <w:u w:val="single"/>
        </w:rPr>
        <w:t>Sempra Energy v. Enron North America Corp.,</w:t>
      </w:r>
      <w:r>
        <w:rPr>
          <w:b/>
        </w:rPr>
        <w:tab/>
        <w:t>(New)</w:t>
      </w:r>
    </w:p>
    <w:p>
      <w:pPr>
        <w:pStyle w:val="Heading2"/>
        <w:ind w:start="1440" w:end="0"/>
        <w:rPr>
          <w:b/>
          <w:u w:val="single"/>
        </w:rPr>
      </w:pPr>
      <w:r>
        <w:rPr>
          <w:b/>
          <w:u w:val="single"/>
        </w:rPr>
        <w:t>ENASCO, LLC and Enron Corp.</w:t>
      </w:r>
    </w:p>
    <w:p>
      <w:pPr>
        <w:pStyle w:val="Heading5"/>
        <w:keepNext w:val="false"/>
        <w:tabs>
          <w:tab w:val="left" w:pos="720" w:leader="none"/>
          <w:tab w:val="left" w:pos="7740" w:leader="none"/>
          <w:tab w:val="left" w:pos="7920" w:leader="none"/>
          <w:tab w:val="left" w:pos="8370" w:leader="none"/>
        </w:tabs>
        <w:ind w:hanging="0" w:start="720" w:end="0"/>
        <w:rPr/>
      </w:pPr>
      <w:r>
        <w:rPr>
          <w:b w:val="false"/>
        </w:rPr>
        <w:t>(Supreme Court of the State of New York) (Greg Markel/Brobeck, Phleger &amp; Harrison)</w:t>
      </w:r>
      <w:r>
        <w:rPr/>
        <w:t xml:space="preserve"> </w:t>
      </w:r>
      <w:r>
        <w:rPr>
          <w:b w:val="false"/>
        </w:rPr>
        <w:t xml:space="preserve">($140 million) </w:t>
      </w:r>
    </w:p>
    <w:p>
      <w:pPr>
        <w:pStyle w:val="Normal"/>
        <w:ind w:start="1440" w:end="0"/>
        <w:rPr>
          <w:rFonts w:ascii="Arial" w:hAnsi="Arial" w:cs="Arial"/>
          <w:b/>
          <w:sz w:val="24"/>
        </w:rPr>
      </w:pPr>
      <w:r>
        <w:rPr>
          <w:rFonts w:cs="Arial" w:ascii="Arial" w:hAnsi="Arial"/>
          <w:b/>
          <w:sz w:val="24"/>
        </w:rPr>
      </w:r>
    </w:p>
    <w:p>
      <w:pPr>
        <w:pStyle w:val="Normal"/>
        <w:numPr>
          <w:ilvl w:val="0"/>
          <w:numId w:val="5"/>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On December 20, 2000, Sempra served its suit claiming Enron North America Corp. breached two coal purchase agreements.  Sempra breached two operating and maintenance agreements and Enron Corp. is liable under its guarantee in connection with activities at two synfuel facilities in Newport News, Virginia.</w:t>
      </w:r>
    </w:p>
    <w:p>
      <w:pPr>
        <w:pStyle w:val="Normal"/>
        <w:numPr>
          <w:ilvl w:val="0"/>
          <w:numId w:val="5"/>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North America Corp. and ENASCO, LLC have answered and filed counter claims.  Enron Corp. has answered and filed a motion to dismiss.</w:t>
      </w:r>
    </w:p>
    <w:p>
      <w:pPr>
        <w:pStyle w:val="Normal"/>
        <w:numPr>
          <w:ilvl w:val="0"/>
          <w:numId w:val="5"/>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Interrogatories and request for production of documents have been exchanged and the first depositions are set for late February 2001.</w:t>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jc w:val="both"/>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Ecoelectrica v. Puerta Rico Power Authority (PREPA)</w:t>
      </w:r>
      <w:r>
        <w:rPr>
          <w:rFonts w:cs="Arial" w:ascii="Arial" w:hAnsi="Arial"/>
          <w:b/>
          <w:sz w:val="24"/>
        </w:rPr>
        <w:tab/>
        <w:t>(Updated)</w:t>
      </w:r>
    </w:p>
    <w:p>
      <w:pPr>
        <w:pStyle w:val="Normal"/>
        <w:tabs>
          <w:tab w:val="clear" w:pos="720"/>
          <w:tab w:val="left" w:pos="7740" w:leader="none"/>
        </w:tabs>
        <w:ind w:start="720" w:end="0"/>
        <w:rPr>
          <w:rFonts w:ascii="Arial" w:hAnsi="Arial" w:cs="Arial"/>
          <w:sz w:val="24"/>
        </w:rPr>
      </w:pPr>
      <w:r>
        <w:rPr>
          <w:rFonts w:cs="Arial" w:ascii="Arial" w:hAnsi="Arial"/>
          <w:sz w:val="24"/>
        </w:rPr>
        <w:t>(AAA Arbitration) (Frank Besosa/Adsuar Muñoz Goyco &amp; Besosa) (Jack Montgomery/Bernstein, Shur, Sawyer &amp; Nelson) (US$80 million) (Enron’s Interest: 50%)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
        </w:numPr>
        <w:ind w:hanging="360" w:start="1080" w:end="0"/>
        <w:rPr>
          <w:rFonts w:ascii="Arial" w:hAnsi="Arial" w:cs="Arial"/>
          <w:sz w:val="24"/>
        </w:rPr>
      </w:pPr>
      <w:r>
        <w:rPr>
          <w:rFonts w:cs="Arial" w:ascii="Arial" w:hAnsi="Arial"/>
          <w:sz w:val="24"/>
        </w:rPr>
        <w:t>Ecoelectrica and the Puerto Rico Power Authority (PREPA) have agreed to arbitrate a dispute over the interpretation of the PPA on how to calculate the Energy Price Index.  PREPA’s current interpretation will cost Ecoelectrica $3-$4 million per year for the life of the 22-year contract.</w:t>
      </w:r>
    </w:p>
    <w:p>
      <w:pPr>
        <w:pStyle w:val="Normal"/>
        <w:numPr>
          <w:ilvl w:val="0"/>
          <w:numId w:val="4"/>
        </w:numPr>
        <w:ind w:hanging="360" w:start="1080" w:end="0"/>
        <w:rPr>
          <w:rFonts w:ascii="Arial" w:hAnsi="Arial" w:cs="Arial"/>
          <w:sz w:val="24"/>
        </w:rPr>
      </w:pPr>
      <w:r>
        <w:rPr>
          <w:rFonts w:cs="Arial" w:ascii="Arial" w:hAnsi="Arial"/>
          <w:sz w:val="24"/>
        </w:rPr>
        <w:t>Because the PPA contains no arbitration agreement for contractual disputes, the parties must first negotiate the terms of the arbitration which should be agreed by the end of November, 2000.</w:t>
      </w:r>
    </w:p>
    <w:p>
      <w:pPr>
        <w:pStyle w:val="Normal"/>
        <w:numPr>
          <w:ilvl w:val="0"/>
          <w:numId w:val="4"/>
        </w:numPr>
        <w:ind w:hanging="360" w:start="1080" w:end="0"/>
        <w:rPr>
          <w:rFonts w:ascii="Arial" w:hAnsi="Arial" w:cs="Arial"/>
          <w:sz w:val="24"/>
        </w:rPr>
      </w:pPr>
      <w:r>
        <w:rPr>
          <w:rFonts w:cs="Arial" w:ascii="Arial" w:hAnsi="Arial"/>
          <w:b/>
          <w:sz w:val="24"/>
        </w:rPr>
        <w:t>In November, Ecoelectrica submitted a proposed arbitration agreement setting forth an expedited schedule of 120 days.  PREPA has not responded.</w:t>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Heading4"/>
        <w:keepLines/>
        <w:numPr>
          <w:ilvl w:val="0"/>
          <w:numId w:val="3"/>
        </w:numPr>
        <w:rPr>
          <w:b/>
          <w:u w:val="none"/>
        </w:rPr>
      </w:pPr>
      <w:r>
        <w:rPr>
          <w:b/>
          <w:u w:val="none"/>
        </w:rPr>
        <w:t>CLAIMS/DISPUTES</w:t>
      </w:r>
    </w:p>
    <w:p>
      <w:pPr>
        <w:pStyle w:val="Normal"/>
        <w:keepNext w:val="true"/>
        <w:keepLines/>
        <w:ind w:start="720" w:end="0"/>
        <w:rPr>
          <w:rFonts w:ascii="Arial" w:hAnsi="Arial" w:cs="Arial"/>
          <w:b/>
          <w:sz w:val="24"/>
          <w:u w:val="none"/>
        </w:rPr>
      </w:pPr>
      <w:r>
        <w:rPr>
          <w:rFonts w:cs="Arial" w:ascii="Arial" w:hAnsi="Arial"/>
          <w:b/>
          <w:sz w:val="24"/>
          <w:u w:val="none"/>
        </w:rPr>
      </w:r>
    </w:p>
    <w:p>
      <w:pPr>
        <w:pStyle w:val="Normal"/>
        <w:keepNext w:val="true"/>
        <w:keepLines/>
        <w:tabs>
          <w:tab w:val="clear" w:pos="720"/>
          <w:tab w:val="left" w:pos="1080" w:leader="none"/>
          <w:tab w:val="left" w:pos="7740" w:leader="none"/>
        </w:tabs>
        <w:ind w:start="720" w:end="0"/>
        <w:jc w:val="both"/>
        <w:rPr>
          <w:rFonts w:ascii="Arial" w:hAnsi="Arial" w:cs="Arial"/>
          <w:b/>
          <w:sz w:val="24"/>
        </w:rPr>
      </w:pPr>
      <w:r>
        <w:rPr>
          <w:rFonts w:cs="Arial" w:ascii="Arial" w:hAnsi="Arial"/>
          <w:b/>
          <w:sz w:val="24"/>
        </w:rPr>
        <w:t>Central Piedra Buena Dispute</w:t>
        <w:tab/>
        <w:t>(Not Updated)</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t>(Guido Tawil/M.&amp;M. Bomchil) ($2.5 million)</w:t>
      </w:r>
    </w:p>
    <w:p>
      <w:pPr>
        <w:pStyle w:val="Normal"/>
        <w:keepNext w:val="true"/>
        <w:keepLines/>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keepNext w:val="true"/>
        <w:keepLines/>
        <w:numPr>
          <w:ilvl w:val="0"/>
          <w:numId w:val="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Central Piedra Buena has refused to pay invoices submitted by Enron America del Sur S.A. claiming that it was improperly invoiced for gas and that, in fact, Enron may owe it unspecified amounts.</w:t>
      </w:r>
    </w:p>
    <w:p>
      <w:pPr>
        <w:pStyle w:val="Normal"/>
        <w:numPr>
          <w:ilvl w:val="0"/>
          <w:numId w:val="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is considering filing an ICC arbitration in Buenos Aires to require payment.</w:t>
      </w:r>
    </w:p>
    <w:p>
      <w:pPr>
        <w:pStyle w:val="Normal"/>
        <w:numPr>
          <w:ilvl w:val="0"/>
          <w:numId w:val="2"/>
        </w:numPr>
        <w:tabs>
          <w:tab w:val="clear" w:pos="720"/>
          <w:tab w:val="left" w:pos="1080" w:leader="none"/>
          <w:tab w:val="left" w:pos="7740" w:leader="none"/>
        </w:tabs>
        <w:ind w:hanging="360" w:start="1080" w:end="0"/>
        <w:jc w:val="both"/>
        <w:rPr>
          <w:rFonts w:ascii="Arial" w:hAnsi="Arial" w:cs="Arial"/>
          <w:sz w:val="24"/>
        </w:rPr>
      </w:pPr>
      <w:r>
        <w:rPr>
          <w:rFonts w:cs="Arial" w:ascii="Arial" w:hAnsi="Arial"/>
          <w:sz w:val="24"/>
        </w:rPr>
        <w:t>Enron has undertaken an internal audit to confirm the amounts in dispute while the parties continue to discuss this matter.</w:t>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t>M</w:t>
      </w:r>
      <w:r>
        <w:rPr>
          <w:rFonts w:cs="Arial" w:ascii="Arial" w:hAnsi="Arial"/>
          <w:sz w:val="24"/>
        </w:rPr>
        <w:t>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/mnt/main-storage/datasets/enron-docs/doc/EWS_Global_Markets_Jan.doc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ind w:hanging="720" w:start="2160" w:end="0"/>
      <w:outlineLvl w:val="1"/>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u w:val="no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16"/>
    </w:rPr>
  </w:style>
  <w:style w:type="character" w:styleId="WW8Num45z0">
    <w:name w:val="WW8Num45z0"/>
    <w:qFormat/>
    <w:rPr>
      <w:b w:val="false"/>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sz w:val="16"/>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u w:val="none"/>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sz w:val="16"/>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sz w:val="24"/>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b/>
      <w:i w:val="false"/>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sz w:val="24"/>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sz w:val="24"/>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sz w:val="24"/>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sz w:val="24"/>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sz w:val="24"/>
    </w:rPr>
  </w:style>
  <w:style w:type="character" w:styleId="WW8Num145z0">
    <w:name w:val="WW8Num145z0"/>
    <w:qFormat/>
    <w:rPr>
      <w:rFonts w:ascii="Symbol" w:hAnsi="Symbol" w:cs="Symbol"/>
      <w:sz w:val="24"/>
    </w:rPr>
  </w:style>
  <w:style w:type="character" w:styleId="WW8Num146z0">
    <w:name w:val="WW8Num146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sz w:val="24"/>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u w:val="none"/>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sz w:val="24"/>
    </w:rPr>
  </w:style>
  <w:style w:type="character" w:styleId="WW8Num171z0">
    <w:name w:val="WW8Num171z0"/>
    <w:qFormat/>
    <w:rPr>
      <w:rFonts w:ascii="Symbol" w:hAnsi="Symbol" w:cs="Symbol"/>
      <w:sz w:val="24"/>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sz w:val="24"/>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u w:val="none"/>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color w:val="auto"/>
      <w:sz w:val="16"/>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color w:val="auto"/>
      <w:sz w:val="16"/>
    </w:rPr>
  </w:style>
  <w:style w:type="character" w:styleId="WW8Num234z0">
    <w:name w:val="WW8Num234z0"/>
    <w:qFormat/>
    <w:rPr>
      <w:rFonts w:ascii="Symbol" w:hAnsi="Symbol" w:cs="Symbol"/>
      <w:sz w:val="24"/>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u w:val="none"/>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u w:val="none"/>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style>
  <w:style w:type="character" w:styleId="WW8Num304z0">
    <w:name w:val="WW8Num304z0"/>
    <w:qFormat/>
    <w:rPr>
      <w:rFonts w:ascii="Symbol" w:hAnsi="Symbol" w:cs="Symbol"/>
    </w:rPr>
  </w:style>
  <w:style w:type="character" w:styleId="WW8Num305z0">
    <w:name w:val="WW8Num305z0"/>
    <w:qFormat/>
    <w:rPr>
      <w:rFonts w:ascii="Symbol" w:hAnsi="Symbol" w:cs="Symbol"/>
      <w:color w:val="auto"/>
      <w:sz w:val="16"/>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b/>
      <w:i w:val="false"/>
      <w:u w:val="none"/>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u w:val="none"/>
    </w:rPr>
  </w:style>
  <w:style w:type="character" w:styleId="WW8Num324z0">
    <w:name w:val="WW8Num324z0"/>
    <w:qFormat/>
    <w:rPr>
      <w:rFonts w:ascii="Symbol" w:hAnsi="Symbol" w:cs="Symbol"/>
    </w:rPr>
  </w:style>
  <w:style w:type="character" w:styleId="WW8Num325z0">
    <w:name w:val="WW8Num325z0"/>
    <w:qFormat/>
    <w:rPr>
      <w:rFonts w:ascii="Symbol" w:hAnsi="Symbol" w:cs="Symbol"/>
      <w:sz w:val="24"/>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sz w:val="24"/>
    </w:rPr>
  </w:style>
  <w:style w:type="character" w:styleId="WW8Num342z0">
    <w:name w:val="WW8Num342z0"/>
    <w:qFormat/>
    <w:rPr>
      <w:rFonts w:ascii="Symbol" w:hAnsi="Symbol" w:cs="Symbol"/>
    </w:rPr>
  </w:style>
  <w:style w:type="character" w:styleId="WW8Num344z0">
    <w:name w:val="WW8Num344z0"/>
    <w:qFormat/>
    <w:rPr>
      <w:u w:val="none"/>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sz w:val="24"/>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sz w:val="24"/>
    </w:rPr>
  </w:style>
  <w:style w:type="character" w:styleId="WW8Num379z0">
    <w:name w:val="WW8Num379z0"/>
    <w:qFormat/>
    <w:rPr>
      <w:u w:val="none"/>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400z0">
    <w:name w:val="WW8Num400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sz w:val="24"/>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u w:val="none"/>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u w:val="none"/>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sz w:val="24"/>
    </w:rPr>
  </w:style>
  <w:style w:type="character" w:styleId="WW8Num438z0">
    <w:name w:val="WW8Num438z0"/>
    <w:qFormat/>
    <w:rPr>
      <w:rFonts w:ascii="Symbol" w:hAnsi="Symbol" w:cs="Symbol"/>
    </w:rPr>
  </w:style>
  <w:style w:type="character" w:styleId="WW8Num439z0">
    <w:name w:val="WW8Num439z0"/>
    <w:qFormat/>
    <w:rPr/>
  </w:style>
  <w:style w:type="character" w:styleId="WW8Num440z0">
    <w:name w:val="WW8Num440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b/>
      <w:i w:val="false"/>
    </w:rPr>
  </w:style>
  <w:style w:type="character" w:styleId="WW8Num454z0">
    <w:name w:val="WW8Num454z0"/>
    <w:qFormat/>
    <w:rPr>
      <w:rFonts w:ascii="Symbol" w:hAnsi="Symbol" w:cs="Symbol"/>
    </w:rPr>
  </w:style>
  <w:style w:type="character" w:styleId="WW8Num455z0">
    <w:name w:val="WW8Num455z0"/>
    <w:qFormat/>
    <w:rPr>
      <w:rFonts w:ascii="Symbol" w:hAnsi="Symbol" w:cs="Symbol"/>
      <w:color w:val="auto"/>
      <w:sz w:val="16"/>
    </w:rPr>
  </w:style>
  <w:style w:type="character" w:styleId="WW8Num456z0">
    <w:name w:val="WW8Num456z0"/>
    <w:qFormat/>
    <w:rPr>
      <w:b/>
      <w:i w:val="false"/>
      <w:u w:val="none"/>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style>
  <w:style w:type="character" w:styleId="WW8Num464z0">
    <w:name w:val="WW8Num464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u w:val="none"/>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style>
  <w:style w:type="character" w:styleId="WW8Num489z0">
    <w:name w:val="WW8Num489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2001-01-16T18:21:00Z</dcterms:created>
  <dc:creator>EI</dc:creator>
  <dc:description/>
  <dc:language>en-CA</dc:language>
  <cp:lastModifiedBy>jcooley</cp:lastModifiedBy>
  <cp:lastPrinted>2001-01-19T17:03:00Z</cp:lastPrinted>
  <dcterms:modified xsi:type="dcterms:W3CDTF">2001-01-19T20:33:00Z</dcterms:modified>
  <cp:revision>6</cp:revision>
  <dc:subject/>
  <dc:title> </dc:title>
</cp:coreProperties>
</file>