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cs="Arial"/>
          <w:sz w:val="24"/>
        </w:rPr>
      </w:pPr>
      <w:r>
        <w:rPr>
          <w:rFonts w:eastAsia="Arial" w:cs="Arial" w:ascii="Arial" w:hAnsi="Arial"/>
          <w:sz w:val="24"/>
        </w:rPr>
        <w:t xml:space="preserve"> </w:t>
      </w:r>
      <w:r>
        <w:rPr>
          <w:rFonts w:cs="Arial" w:ascii="Arial" w:hAnsi="Arial"/>
          <w:sz w:val="24"/>
        </w:rPr>
        <w:drawing>
          <wp:inline distT="0" distB="0" distL="0" distR="0">
            <wp:extent cx="617855" cy="6140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617855" cy="614045"/>
                    </a:xfrm>
                    <a:prstGeom prst="rect">
                      <a:avLst/>
                    </a:prstGeom>
                    <a:noFill/>
                  </pic:spPr>
                </pic:pic>
              </a:graphicData>
            </a:graphic>
          </wp:inline>
        </w:drawing>
      </w:r>
    </w:p>
    <w:p>
      <w:pPr>
        <w:pStyle w:val="Header"/>
        <w:tabs>
          <w:tab w:val="clear" w:pos="4320"/>
          <w:tab w:val="clear" w:pos="8640"/>
        </w:tabs>
        <w:rPr>
          <w:rFonts w:ascii="Arial" w:hAnsi="Arial" w:cs="Arial"/>
          <w:sz w:val="24"/>
          <w:u w:val="single"/>
        </w:rPr>
      </w:pPr>
      <w:r>
        <w:rPr>
          <w:rFonts w:cs="Arial" w:ascii="Arial" w:hAnsi="Arial"/>
          <w:sz w:val="24"/>
          <w:u w:val="single"/>
        </w:rPr>
      </w:r>
    </w:p>
    <w:p>
      <w:pPr>
        <w:pStyle w:val="Heading1"/>
        <w:ind w:hanging="0" w:start="0"/>
        <w:rPr>
          <w:u w:val="single"/>
        </w:rPr>
      </w:pPr>
      <w:r>
        <w:rPr>
          <w:u w:val="single"/>
        </w:rPr>
        <w:t>MEMORANDUM</w:t>
      </w:r>
    </w:p>
    <w:p>
      <w:pPr>
        <w:pStyle w:val="Normal"/>
        <w:rPr>
          <w:rFonts w:ascii="Arial" w:hAnsi="Arial" w:cs="Arial"/>
          <w:sz w:val="24"/>
        </w:rPr>
      </w:pPr>
      <w:r>
        <w:rPr>
          <w:rFonts w:cs="Arial" w:ascii="Arial" w:hAnsi="Arial"/>
          <w:sz w:val="24"/>
        </w:rPr>
      </w:r>
    </w:p>
    <w:tbl>
      <w:tblPr>
        <w:tblW w:w="8118" w:type="dxa"/>
        <w:jc w:val="start"/>
        <w:tblInd w:w="0" w:type="dxa"/>
        <w:tblLayout w:type="fixed"/>
        <w:tblCellMar>
          <w:top w:w="0" w:type="dxa"/>
          <w:start w:w="108" w:type="dxa"/>
          <w:bottom w:w="0" w:type="dxa"/>
          <w:end w:w="108" w:type="dxa"/>
        </w:tblCellMar>
      </w:tblPr>
      <w:tblGrid>
        <w:gridCol w:w="8118"/>
      </w:tblGrid>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TO:</w:t>
              <w:tab/>
              <w:t>James V. Derrick</w:t>
            </w:r>
          </w:p>
          <w:p>
            <w:pPr>
              <w:pStyle w:val="Normal"/>
              <w:tabs>
                <w:tab w:val="clear" w:pos="720"/>
                <w:tab w:val="left" w:pos="1440" w:leader="none"/>
              </w:tabs>
              <w:rPr>
                <w:rFonts w:ascii="Arial" w:hAnsi="Arial" w:cs="Arial"/>
                <w:sz w:val="24"/>
              </w:rPr>
            </w:pPr>
            <w:r>
              <w:rPr>
                <w:rFonts w:cs="Arial" w:ascii="Arial" w:hAnsi="Arial"/>
                <w:sz w:val="24"/>
              </w:rPr>
              <w:tab/>
              <w:t>Alan Aronowitz</w:t>
            </w:r>
          </w:p>
          <w:p>
            <w:pPr>
              <w:pStyle w:val="Normal"/>
              <w:tabs>
                <w:tab w:val="clear" w:pos="720"/>
                <w:tab w:val="left" w:pos="1440" w:leader="none"/>
              </w:tabs>
              <w:rPr>
                <w:rFonts w:ascii="Arial" w:hAnsi="Arial" w:cs="Arial"/>
                <w:sz w:val="24"/>
              </w:rPr>
            </w:pPr>
            <w:r>
              <w:rPr>
                <w:rFonts w:cs="Arial" w:ascii="Arial" w:hAnsi="Arial"/>
                <w:sz w:val="24"/>
              </w:rPr>
              <w:tab/>
              <w:t>Dan Rogers</w:t>
            </w:r>
          </w:p>
          <w:p>
            <w:pPr>
              <w:pStyle w:val="Normal"/>
              <w:tabs>
                <w:tab w:val="clear" w:pos="720"/>
                <w:tab w:val="left" w:pos="1440" w:leader="none"/>
              </w:tabs>
              <w:rPr>
                <w:rFonts w:ascii="Arial" w:hAnsi="Arial" w:cs="Arial"/>
                <w:sz w:val="24"/>
              </w:rPr>
            </w:pPr>
            <w:r>
              <w:rPr>
                <w:rFonts w:cs="Arial" w:ascii="Arial" w:hAnsi="Arial"/>
                <w:sz w:val="24"/>
              </w:rPr>
              <w:tab/>
              <w:t>Mark Haedicke</w:t>
            </w:r>
          </w:p>
          <w:p>
            <w:pPr>
              <w:pStyle w:val="Normal"/>
              <w:tabs>
                <w:tab w:val="clear" w:pos="720"/>
                <w:tab w:val="left" w:pos="1440" w:leader="none"/>
              </w:tabs>
              <w:rPr>
                <w:rFonts w:ascii="Arial" w:hAnsi="Arial" w:cs="Arial"/>
                <w:sz w:val="24"/>
              </w:rPr>
            </w:pPr>
            <w:r>
              <w:rPr>
                <w:rFonts w:cs="Arial" w:ascii="Arial" w:hAnsi="Arial"/>
                <w:sz w:val="24"/>
              </w:rPr>
              <w:tab/>
              <w:t>Richard Sanders</w:t>
            </w:r>
          </w:p>
          <w:p>
            <w:pPr>
              <w:pStyle w:val="Normal"/>
              <w:rPr>
                <w:rFonts w:ascii="Arial" w:hAnsi="Arial" w:cs="Arial"/>
                <w:sz w:val="24"/>
              </w:rPr>
            </w:pPr>
            <w:r>
              <w:rPr>
                <w:rFonts w:cs="Arial" w:ascii="Arial" w:hAnsi="Arial"/>
                <w:sz w:val="24"/>
              </w:rPr>
              <w:tab/>
              <w:tab/>
              <w:t xml:space="preserve">Rob Walls </w:t>
            </w:r>
          </w:p>
          <w:p>
            <w:pPr>
              <w:pStyle w:val="Normal"/>
              <w:rPr>
                <w:rFonts w:ascii="Arial" w:hAnsi="Arial" w:cs="Arial"/>
                <w:sz w:val="24"/>
              </w:rPr>
            </w:pPr>
            <w:r>
              <w:rPr>
                <w:rFonts w:cs="Arial" w:ascii="Arial" w:hAnsi="Arial"/>
                <w:sz w:val="24"/>
              </w:rPr>
            </w:r>
          </w:p>
        </w:tc>
      </w:tr>
      <w:tr>
        <w:trPr>
          <w:trHeight w:val="522" w:hRule="atLeast"/>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FROM:</w:t>
              <w:tab/>
              <w:t>Michelle Blaine</w:t>
            </w:r>
          </w:p>
          <w:p>
            <w:pPr>
              <w:pStyle w:val="Normal"/>
              <w:tabs>
                <w:tab w:val="clear" w:pos="720"/>
                <w:tab w:val="left" w:pos="1440" w:leader="none"/>
              </w:tabs>
              <w:rPr>
                <w:rFonts w:ascii="Arial" w:hAnsi="Arial" w:cs="Arial"/>
                <w:sz w:val="24"/>
              </w:rPr>
            </w:pPr>
            <w:r>
              <w:rPr>
                <w:rFonts w:cs="Arial" w:ascii="Arial" w:hAnsi="Arial"/>
                <w:sz w:val="24"/>
              </w:rPr>
              <w:tab/>
              <w:t>Gail M. Brownfeld</w:t>
            </w:r>
          </w:p>
        </w:tc>
      </w:tr>
      <w:tr>
        <w:trPr>
          <w:trHeight w:val="80" w:hRule="atLeast"/>
        </w:trPr>
        <w:tc>
          <w:tcPr>
            <w:tcW w:w="8118" w:type="dxa"/>
            <w:tcBorders/>
          </w:tcPr>
          <w:p>
            <w:pPr>
              <w:pStyle w:val="Heading5"/>
              <w:keepNext w:val="false"/>
              <w:tabs>
                <w:tab w:val="clear" w:pos="720"/>
                <w:tab w:val="left" w:pos="1440" w:leader="none"/>
              </w:tabs>
              <w:snapToGrid w:val="false"/>
              <w:ind w:hanging="0" w:start="0"/>
              <w:rPr>
                <w:rFonts w:ascii="Arial" w:hAnsi="Arial" w:cs="Arial"/>
                <w:b w:val="false"/>
                <w:sz w:val="24"/>
              </w:rPr>
            </w:pPr>
            <w:r>
              <w:rPr>
                <w:rFonts w:cs="Arial"/>
                <w:b w:val="false"/>
                <w:sz w:val="24"/>
              </w:rPr>
            </w:r>
          </w:p>
        </w:tc>
      </w:tr>
      <w:tr>
        <w:trPr>
          <w:trHeight w:val="80" w:hRule="atLeast"/>
        </w:trPr>
        <w:tc>
          <w:tcPr>
            <w:tcW w:w="8118" w:type="dxa"/>
            <w:tcBorders/>
          </w:tcPr>
          <w:p>
            <w:pPr>
              <w:pStyle w:val="Heading5"/>
              <w:keepNext w:val="false"/>
              <w:tabs>
                <w:tab w:val="clear" w:pos="720"/>
                <w:tab w:val="left" w:pos="1440" w:leader="none"/>
              </w:tabs>
              <w:ind w:hanging="0" w:start="0"/>
              <w:rPr>
                <w:b w:val="false"/>
              </w:rPr>
            </w:pPr>
            <w:r>
              <w:rPr>
                <w:b w:val="false"/>
              </w:rPr>
              <w:t>DATE:</w:t>
              <w:tab/>
              <w:t>April 17, 2001</w:t>
            </w:r>
          </w:p>
        </w:tc>
      </w:tr>
      <w:tr>
        <w:trPr>
          <w:trHeight w:val="80" w:hRule="atLeast"/>
        </w:trPr>
        <w:tc>
          <w:tcPr>
            <w:tcW w:w="8118" w:type="dxa"/>
            <w:tcBorders/>
          </w:tcPr>
          <w:p>
            <w:pPr>
              <w:pStyle w:val="Heading5"/>
              <w:keepNext w:val="false"/>
              <w:tabs>
                <w:tab w:val="clear" w:pos="720"/>
                <w:tab w:val="left" w:pos="1440" w:leader="none"/>
              </w:tabs>
              <w:snapToGrid w:val="false"/>
              <w:ind w:hanging="0" w:start="0"/>
              <w:rPr>
                <w:rFonts w:ascii="Arial" w:hAnsi="Arial" w:cs="Arial"/>
                <w:b w:val="false"/>
                <w:sz w:val="24"/>
              </w:rPr>
            </w:pPr>
            <w:r>
              <w:rPr>
                <w:rFonts w:cs="Arial"/>
                <w:b w:val="false"/>
                <w:sz w:val="24"/>
              </w:rPr>
            </w:r>
          </w:p>
        </w:tc>
      </w:tr>
      <w:tr>
        <w:trPr>
          <w:trHeight w:val="80" w:hRule="atLeast"/>
        </w:trPr>
        <w:tc>
          <w:tcPr>
            <w:tcW w:w="8118" w:type="dxa"/>
            <w:tcBorders/>
          </w:tcPr>
          <w:p>
            <w:pPr>
              <w:pStyle w:val="Heading5"/>
              <w:keepNext w:val="false"/>
              <w:tabs>
                <w:tab w:val="clear" w:pos="720"/>
                <w:tab w:val="left" w:pos="1440" w:leader="none"/>
              </w:tabs>
              <w:ind w:hanging="0" w:start="0"/>
              <w:rPr/>
            </w:pPr>
            <w:r>
              <w:rPr>
                <w:b w:val="false"/>
              </w:rPr>
              <w:t>RE:</w:t>
            </w:r>
            <w:r>
              <w:rPr/>
              <w:tab/>
            </w:r>
            <w:r>
              <w:rPr>
                <w:b w:val="false"/>
              </w:rPr>
              <w:t>EWS/Enron Global Markets Litigation Update</w:t>
            </w:r>
          </w:p>
        </w:tc>
      </w:tr>
    </w:tbl>
    <w:p>
      <w:pPr>
        <w:pStyle w:val="Normal"/>
        <w:tabs>
          <w:tab w:val="clear" w:pos="720"/>
          <w:tab w:val="left" w:pos="9270" w:leader="none"/>
        </w:tabs>
        <w:rPr>
          <w:rFonts w:ascii="Arial" w:hAnsi="Arial" w:cs="Arial"/>
          <w:sz w:val="24"/>
          <w:u w:val="single"/>
        </w:rPr>
      </w:pPr>
      <w:r>
        <w:rPr>
          <w:rFonts w:cs="Arial" w:ascii="Arial" w:hAnsi="Arial"/>
          <w:sz w:val="24"/>
          <w:u w:val="single"/>
        </w:rPr>
        <w:tab/>
      </w:r>
    </w:p>
    <w:p>
      <w:pPr>
        <w:pStyle w:val="Normal"/>
        <w:rPr>
          <w:rFonts w:ascii="Arial" w:hAnsi="Arial" w:cs="Arial"/>
          <w:sz w:val="24"/>
          <w:u w:val="single"/>
        </w:rPr>
      </w:pPr>
      <w:r>
        <w:rPr>
          <w:rFonts w:cs="Arial" w:ascii="Arial" w:hAnsi="Arial"/>
          <w:sz w:val="24"/>
          <w:u w:val="single"/>
        </w:rPr>
      </w:r>
    </w:p>
    <w:p>
      <w:pPr>
        <w:pStyle w:val="BodyText"/>
        <w:tabs>
          <w:tab w:val="left" w:pos="720" w:leader="none"/>
          <w:tab w:val="left" w:pos="1170" w:leader="none"/>
          <w:tab w:val="left" w:pos="8370" w:leader="none"/>
        </w:tabs>
        <w:rPr/>
      </w:pPr>
      <w:r>
        <w:rPr/>
        <w:tab/>
        <w:t xml:space="preserve">These summaries describe the commercial litigation, arbitrations, disputes and claims we are currently handling.  Personal injury and property damage matters are included in the Enron Litigation Unit report and are not reported here.  </w:t>
      </w:r>
      <w:r>
        <w:rPr>
          <w:color w:val="000000"/>
        </w:rPr>
        <w:t xml:space="preserve">Unless otherwise noted, Enron's interest is </w:t>
      </w:r>
      <w:r>
        <w:rPr>
          <w:b/>
          <w:color w:val="000000"/>
          <w:u w:val="single"/>
        </w:rPr>
        <w:t>100%</w:t>
      </w:r>
      <w:r>
        <w:rPr>
          <w:color w:val="000000"/>
        </w:rPr>
        <w:t xml:space="preserve">, claims are </w:t>
      </w:r>
      <w:r>
        <w:rPr>
          <w:b/>
          <w:color w:val="000000"/>
          <w:u w:val="single"/>
        </w:rPr>
        <w:t>uninsured</w:t>
      </w:r>
      <w:r>
        <w:rPr>
          <w:color w:val="000000"/>
        </w:rPr>
        <w:t xml:space="preserve">, </w:t>
      </w:r>
      <w:r>
        <w:rPr/>
        <w:t xml:space="preserve">exposure amounts are </w:t>
      </w:r>
      <w:r>
        <w:rPr>
          <w:b/>
          <w:u w:val="single"/>
        </w:rPr>
        <w:t>8/8ths</w:t>
      </w:r>
      <w:r>
        <w:rPr/>
        <w:t xml:space="preserve">, </w:t>
      </w:r>
      <w:r>
        <w:rPr>
          <w:color w:val="000000"/>
        </w:rPr>
        <w:t xml:space="preserve">and amounts are in local currency and/or approximate </w:t>
      </w:r>
      <w:r>
        <w:rPr>
          <w:b/>
          <w:color w:val="000000"/>
          <w:u w:val="single"/>
        </w:rPr>
        <w:t>U.S. dollars</w:t>
      </w:r>
      <w:r>
        <w:rPr>
          <w:color w:val="000000"/>
        </w:rPr>
        <w:t>.</w:t>
      </w:r>
    </w:p>
    <w:p>
      <w:pPr>
        <w:pStyle w:val="Normal"/>
        <w:tabs>
          <w:tab w:val="clear" w:pos="720"/>
          <w:tab w:val="left" w:pos="108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1080" w:leader="none"/>
          <w:tab w:val="left" w:pos="8370" w:leader="none"/>
        </w:tabs>
        <w:jc w:val="both"/>
        <w:rPr>
          <w:rFonts w:ascii="Arial" w:hAnsi="Arial" w:cs="Arial"/>
          <w:sz w:val="24"/>
        </w:rPr>
      </w:pPr>
      <w:r>
        <w:rPr>
          <w:rFonts w:cs="Arial" w:ascii="Arial" w:hAnsi="Arial"/>
          <w:sz w:val="24"/>
        </w:rPr>
      </w:r>
    </w:p>
    <w:p>
      <w:pPr>
        <w:pStyle w:val="Heading4"/>
        <w:numPr>
          <w:ilvl w:val="0"/>
          <w:numId w:val="2"/>
        </w:numPr>
        <w:tabs>
          <w:tab w:val="clear" w:pos="720"/>
        </w:tabs>
        <w:rPr>
          <w:b/>
          <w:u w:val="none"/>
        </w:rPr>
      </w:pPr>
      <w:r>
        <w:rPr>
          <w:b/>
          <w:u w:val="none"/>
        </w:rPr>
        <w:t>LITIGATION/ARBITRATION</w:t>
      </w:r>
    </w:p>
    <w:p>
      <w:pPr>
        <w:pStyle w:val="Normal"/>
        <w:ind w:start="720" w:end="0"/>
        <w:rPr>
          <w:rFonts w:ascii="Arial" w:hAnsi="Arial" w:cs="Arial"/>
          <w:b/>
          <w:sz w:val="24"/>
          <w:u w:val="none"/>
        </w:rPr>
      </w:pPr>
      <w:r>
        <w:rPr>
          <w:rFonts w:cs="Arial" w:ascii="Arial" w:hAnsi="Arial"/>
          <w:b/>
          <w:sz w:val="24"/>
          <w:u w:val="none"/>
        </w:rPr>
      </w:r>
    </w:p>
    <w:p>
      <w:pPr>
        <w:pStyle w:val="Heading2"/>
        <w:tabs>
          <w:tab w:val="clear" w:pos="720"/>
          <w:tab w:val="left" w:pos="7740" w:leader="none"/>
        </w:tabs>
        <w:ind w:start="1440" w:end="0"/>
        <w:rPr/>
      </w:pPr>
      <w:r>
        <w:rPr>
          <w:b/>
          <w:u w:val="single"/>
        </w:rPr>
        <w:t>Sempra Energy v. Enron North America Corp.,</w:t>
      </w:r>
      <w:r>
        <w:rPr>
          <w:b/>
        </w:rPr>
        <w:tab/>
        <w:t>(Not Updated)</w:t>
      </w:r>
    </w:p>
    <w:p>
      <w:pPr>
        <w:pStyle w:val="Heading2"/>
        <w:ind w:start="1440" w:end="0"/>
        <w:rPr>
          <w:b/>
          <w:u w:val="single"/>
        </w:rPr>
      </w:pPr>
      <w:r>
        <w:rPr>
          <w:b/>
          <w:u w:val="single"/>
        </w:rPr>
        <w:t>ENASCO, LLC and Enron Corp.</w:t>
      </w:r>
    </w:p>
    <w:p>
      <w:pPr>
        <w:pStyle w:val="Heading5"/>
        <w:keepNext w:val="false"/>
        <w:tabs>
          <w:tab w:val="left" w:pos="720" w:leader="none"/>
          <w:tab w:val="left" w:pos="7740" w:leader="none"/>
          <w:tab w:val="left" w:pos="7920" w:leader="none"/>
          <w:tab w:val="left" w:pos="8370" w:leader="none"/>
        </w:tabs>
        <w:ind w:hanging="0" w:start="720" w:end="0"/>
        <w:rPr/>
      </w:pPr>
      <w:r>
        <w:rPr>
          <w:b w:val="false"/>
        </w:rPr>
        <w:t xml:space="preserve">(Supreme Court of the State of New York, </w:t>
      </w:r>
      <w:r>
        <w:rPr/>
        <w:t>Commercial Part</w:t>
      </w:r>
      <w:r>
        <w:rPr>
          <w:b w:val="false"/>
        </w:rPr>
        <w:t>) (Greg Markel/Brobeck, Phleger &amp; Harrison)</w:t>
      </w:r>
      <w:r>
        <w:rPr/>
        <w:t xml:space="preserve"> </w:t>
      </w:r>
      <w:r>
        <w:rPr>
          <w:b w:val="false"/>
        </w:rPr>
        <w:t xml:space="preserve">($150 million) </w:t>
      </w:r>
    </w:p>
    <w:p>
      <w:pPr>
        <w:pStyle w:val="Normal"/>
        <w:ind w:start="1440" w:end="0"/>
        <w:rPr>
          <w:rFonts w:ascii="Arial" w:hAnsi="Arial" w:cs="Arial"/>
          <w:b/>
          <w:sz w:val="24"/>
        </w:rPr>
      </w:pPr>
      <w:r>
        <w:rPr>
          <w:rFonts w:cs="Arial" w:ascii="Arial" w:hAnsi="Arial"/>
          <w:b/>
          <w:sz w:val="24"/>
        </w:rPr>
      </w:r>
    </w:p>
    <w:p>
      <w:pPr>
        <w:pStyle w:val="Normal"/>
        <w:numPr>
          <w:ilvl w:val="0"/>
          <w:numId w:val="3"/>
        </w:numPr>
        <w:tabs>
          <w:tab w:val="clear" w:pos="720"/>
          <w:tab w:val="left" w:pos="1080" w:leader="none"/>
          <w:tab w:val="left" w:pos="7740" w:leader="none"/>
        </w:tabs>
        <w:ind w:hanging="360" w:start="1080" w:end="0"/>
        <w:jc w:val="both"/>
        <w:rPr>
          <w:rFonts w:ascii="Arial" w:hAnsi="Arial" w:cs="Arial"/>
          <w:bCs/>
          <w:sz w:val="24"/>
        </w:rPr>
      </w:pPr>
      <w:r>
        <w:rPr>
          <w:rFonts w:cs="Arial" w:ascii="Arial" w:hAnsi="Arial"/>
          <w:bCs/>
          <w:sz w:val="24"/>
        </w:rPr>
        <w:t>On December 20, 2000, Sempra served this suit claiming that Enron North America Corp. breached two coal purchase agreements, that Enasco breached two operating and maintenance agreements and that Enron Corp. is liable under a guaranty agreement in connection with activities at two synthetic fuel manufacturing facilities in Newport News, Virginia.</w:t>
      </w:r>
    </w:p>
    <w:p>
      <w:pPr>
        <w:pStyle w:val="Normal"/>
        <w:numPr>
          <w:ilvl w:val="0"/>
          <w:numId w:val="3"/>
        </w:numPr>
        <w:tabs>
          <w:tab w:val="clear" w:pos="720"/>
          <w:tab w:val="left" w:pos="1080" w:leader="none"/>
          <w:tab w:val="left" w:pos="7740" w:leader="none"/>
        </w:tabs>
        <w:ind w:hanging="360" w:start="1080" w:end="0"/>
        <w:jc w:val="both"/>
        <w:rPr>
          <w:rFonts w:ascii="Arial" w:hAnsi="Arial" w:cs="Arial"/>
          <w:bCs/>
          <w:sz w:val="24"/>
        </w:rPr>
      </w:pPr>
      <w:r>
        <w:rPr>
          <w:rFonts w:cs="Arial" w:ascii="Arial" w:hAnsi="Arial"/>
          <w:bCs/>
          <w:sz w:val="24"/>
        </w:rPr>
        <w:t xml:space="preserve">Specifically, Sempra claims that Enron North America Corp. failed to provide coal feedstock that met the size specifications set forth in the parties’ contracts and that even if the coal feedstock met the specifications, it would be </w:t>
      </w:r>
      <w:r>
        <w:rPr>
          <w:rFonts w:cs="Arial" w:ascii="Arial" w:hAnsi="Arial"/>
          <w:b/>
          <w:sz w:val="24"/>
        </w:rPr>
        <w:t>insufficient</w:t>
      </w:r>
      <w:r>
        <w:rPr>
          <w:rFonts w:cs="Arial" w:ascii="Arial" w:hAnsi="Arial"/>
          <w:bCs/>
          <w:sz w:val="24"/>
        </w:rPr>
        <w:t xml:space="preserve"> to produce synthetic fuel which met the contracts’ specifications.</w:t>
      </w:r>
    </w:p>
    <w:p>
      <w:pPr>
        <w:pStyle w:val="Normal"/>
        <w:numPr>
          <w:ilvl w:val="0"/>
          <w:numId w:val="3"/>
        </w:numPr>
        <w:tabs>
          <w:tab w:val="clear" w:pos="720"/>
          <w:tab w:val="left" w:pos="1080" w:leader="none"/>
          <w:tab w:val="left" w:pos="7740" w:leader="none"/>
        </w:tabs>
        <w:ind w:hanging="360" w:start="1080" w:end="0"/>
        <w:jc w:val="both"/>
        <w:rPr>
          <w:rFonts w:ascii="Arial" w:hAnsi="Arial" w:cs="Arial"/>
          <w:bCs/>
          <w:sz w:val="24"/>
        </w:rPr>
      </w:pPr>
      <w:r>
        <w:rPr>
          <w:rFonts w:cs="Arial" w:ascii="Arial" w:hAnsi="Arial"/>
          <w:sz w:val="24"/>
        </w:rPr>
        <w:t xml:space="preserve">Enron North America Corp., ENASCO, LLC and Enron Corp. have answered and filed counter claims </w:t>
      </w:r>
      <w:r>
        <w:rPr>
          <w:rFonts w:cs="Arial" w:ascii="Arial" w:hAnsi="Arial"/>
          <w:b/>
          <w:bCs/>
          <w:sz w:val="24"/>
        </w:rPr>
        <w:t>alleging that Sempra wrongfully rejected the coal supplied by ENA, and, therefore, breached the parties’ contracts.</w:t>
      </w:r>
      <w:r>
        <w:rPr>
          <w:rFonts w:cs="Arial" w:ascii="Arial" w:hAnsi="Arial"/>
          <w:sz w:val="24"/>
        </w:rPr>
        <w:t xml:space="preserve">  Enron Corp. has answered and filed a motion to dismiss </w:t>
      </w:r>
      <w:r>
        <w:rPr>
          <w:rFonts w:cs="Arial" w:ascii="Arial" w:hAnsi="Arial"/>
          <w:bCs/>
          <w:sz w:val="24"/>
        </w:rPr>
        <w:t>which was set to be heard on February 13, 2001.</w:t>
      </w:r>
    </w:p>
    <w:p>
      <w:pPr>
        <w:pStyle w:val="Normal"/>
        <w:numPr>
          <w:ilvl w:val="0"/>
          <w:numId w:val="3"/>
        </w:numPr>
        <w:tabs>
          <w:tab w:val="clear" w:pos="720"/>
          <w:tab w:val="left" w:pos="1080" w:leader="none"/>
          <w:tab w:val="left" w:pos="7740" w:leader="none"/>
        </w:tabs>
        <w:ind w:hanging="360" w:start="1080" w:end="0"/>
        <w:jc w:val="both"/>
        <w:rPr>
          <w:rFonts w:ascii="Arial" w:hAnsi="Arial" w:cs="Arial"/>
          <w:bCs/>
          <w:sz w:val="24"/>
        </w:rPr>
      </w:pPr>
      <w:r>
        <w:rPr>
          <w:rFonts w:cs="Arial" w:ascii="Arial" w:hAnsi="Arial"/>
          <w:sz w:val="24"/>
        </w:rPr>
        <w:t xml:space="preserve">Interrogatories and requests for production of documents have been exchanged and depositions </w:t>
      </w:r>
      <w:r>
        <w:rPr>
          <w:rFonts w:cs="Arial" w:ascii="Arial" w:hAnsi="Arial"/>
          <w:b/>
          <w:bCs/>
          <w:sz w:val="24"/>
        </w:rPr>
        <w:t xml:space="preserve">have begun.  The court has required that discovery be completed by June.  </w:t>
      </w:r>
    </w:p>
    <w:p>
      <w:pPr>
        <w:pStyle w:val="Normal"/>
        <w:numPr>
          <w:ilvl w:val="0"/>
          <w:numId w:val="3"/>
        </w:numPr>
        <w:tabs>
          <w:tab w:val="clear" w:pos="720"/>
          <w:tab w:val="left" w:pos="1080" w:leader="none"/>
          <w:tab w:val="left" w:pos="7740" w:leader="none"/>
        </w:tabs>
        <w:ind w:hanging="360" w:start="1080" w:end="0"/>
        <w:jc w:val="both"/>
        <w:rPr>
          <w:rFonts w:ascii="Arial" w:hAnsi="Arial" w:cs="Arial"/>
          <w:bCs/>
          <w:sz w:val="24"/>
        </w:rPr>
      </w:pPr>
      <w:r>
        <w:rPr>
          <w:rFonts w:cs="Arial" w:ascii="Arial" w:hAnsi="Arial"/>
          <w:b/>
          <w:bCs/>
          <w:sz w:val="24"/>
        </w:rPr>
        <w:t>A trial date between July 2001 and September 2001 is expected.</w:t>
      </w:r>
    </w:p>
    <w:p>
      <w:pPr>
        <w:pStyle w:val="Normal"/>
        <w:tabs>
          <w:tab w:val="clear" w:pos="720"/>
          <w:tab w:val="left" w:pos="540" w:leader="none"/>
        </w:tabs>
        <w:ind w:hanging="540" w:start="900" w:end="0"/>
        <w:rPr>
          <w:rFonts w:ascii="Arial" w:hAnsi="Arial" w:cs="Arial"/>
          <w:bCs/>
          <w:sz w:val="24"/>
        </w:rPr>
      </w:pPr>
      <w:r>
        <w:rPr>
          <w:rFonts w:cs="Arial" w:ascii="Arial" w:hAnsi="Arial"/>
          <w:bCs/>
          <w:sz w:val="24"/>
        </w:rPr>
      </w:r>
    </w:p>
    <w:p>
      <w:pPr>
        <w:pStyle w:val="Normal"/>
        <w:tabs>
          <w:tab w:val="clear" w:pos="720"/>
          <w:tab w:val="left" w:pos="540" w:leader="none"/>
        </w:tabs>
        <w:ind w:hanging="540" w:start="900" w:end="0"/>
        <w:rPr>
          <w:rFonts w:ascii="Arial" w:hAnsi="Arial" w:cs="Arial"/>
          <w:bCs/>
          <w:sz w:val="24"/>
        </w:rPr>
      </w:pPr>
      <w:r>
        <w:rPr>
          <w:rFonts w:cs="Arial" w:ascii="Arial" w:hAnsi="Arial"/>
          <w:bCs/>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tabs>
          <w:tab w:val="clear" w:pos="720"/>
          <w:tab w:val="left" w:pos="540" w:leader="none"/>
        </w:tabs>
        <w:ind w:hanging="540" w:start="900" w:end="0"/>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cc:</w:t>
        <w:tab/>
        <w:t>James McCartney</w:t>
      </w:r>
    </w:p>
    <w:p>
      <w:pPr>
        <w:pStyle w:val="Normal"/>
        <w:jc w:val="both"/>
        <w:rPr/>
      </w:pPr>
      <w:r>
        <w:rPr>
          <w:rFonts w:cs="Arial" w:ascii="Arial" w:hAnsi="Arial"/>
          <w:color w:val="000000"/>
          <w:sz w:val="24"/>
        </w:rPr>
        <w:tab/>
      </w:r>
      <w:r>
        <w:rPr>
          <w:rFonts w:cs="Arial" w:ascii="Arial" w:hAnsi="Arial"/>
          <w:sz w:val="24"/>
        </w:rPr>
        <w:t>Rex Rogers</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2</w:t>
    </w:r>
    <w:r>
      <w:rPr>
        <w:rStyle w:val="PageNumber"/>
        <w:sz w:val="22"/>
        <w:rFonts w:cs="Arial" w:ascii="Arial" w:hAnsi="Arial"/>
      </w:rPr>
      <w:fldChar w:fldCharType="end"/>
    </w:r>
  </w:p>
  <w:p>
    <w:pPr>
      <w:pStyle w:val="Footer"/>
      <w:jc w:val="center"/>
      <w:rPr>
        <w:rStyle w:val="PageNumber"/>
        <w:rFonts w:ascii="Arial" w:hAnsi="Arial" w:cs="Arial"/>
        <w:sz w:val="22"/>
      </w:rPr>
    </w:pPr>
    <w:r>
      <w:rPr/>
    </w:r>
  </w:p>
  <w:p>
    <w:pPr>
      <w:pStyle w:val="Footer"/>
      <w:rPr>
        <w:rFonts w:ascii="Arial" w:hAnsi="Arial" w:cs="Arial"/>
        <w:sz w:val="12"/>
      </w:rPr>
    </w:pPr>
    <w:r>
      <w:rPr>
        <w:rStyle w:val="PageNumber"/>
        <w:rFonts w:cs="Arial" w:ascii="Arial" w:hAnsi="Arial"/>
        <w:sz w:val="12"/>
      </w:rPr>
      <w:fldChar w:fldCharType="begin"/>
    </w:r>
    <w:r>
      <w:rPr>
        <w:rStyle w:val="PageNumber"/>
        <w:sz w:val="12"/>
        <w:rFonts w:cs="Arial" w:ascii="Arial" w:hAnsi="Arial"/>
      </w:rPr>
      <w:instrText xml:space="preserve"> FILENAME \p </w:instrText>
    </w:r>
    <w:r>
      <w:rPr>
        <w:rStyle w:val="PageNumber"/>
        <w:sz w:val="12"/>
        <w:rFonts w:cs="Arial" w:ascii="Arial" w:hAnsi="Arial"/>
      </w:rPr>
      <w:fldChar w:fldCharType="separate"/>
    </w:r>
    <w:r>
      <w:rPr>
        <w:rStyle w:val="PageNumber"/>
        <w:sz w:val="12"/>
        <w:rFonts w:cs="Arial" w:ascii="Arial" w:hAnsi="Arial"/>
      </w:rPr>
      <w:t>/mnt/main-storage/datasets/enron-docs/doc/EWS_Global_Markets_April.doc</w:t>
    </w:r>
    <w:r>
      <w:rPr>
        <w:rStyle w:val="PageNumber"/>
        <w:sz w:val="12"/>
        <w:rFonts w:cs="Arial" w:ascii="Arial" w:hAnsi="Arial"/>
      </w:rPr>
      <w:fldChar w:fldCharType="end"/>
    </w:r>
  </w:p>
  <w:p>
    <w:pPr>
      <w:pStyle w:val="Footer"/>
      <w:rPr>
        <w:rStyle w:val="PageNumber"/>
        <w:rFonts w:ascii="Arial" w:hAnsi="Arial" w:cs="Arial"/>
        <w:sz w:val="2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b/>
      </w:rPr>
      <w:t>Attorney/Client Privileged Confidential Communication</w:t>
    </w:r>
  </w:p>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Attorney/Client Privileged Confidential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abstractNum w:abstractNumId="3">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ind w:hanging="720" w:start="2160" w:end="0"/>
      <w:outlineLvl w:val="1"/>
    </w:pPr>
    <w:rPr>
      <w:rFonts w:ascii="Arial" w:hAnsi="Arial" w:cs="Arial"/>
      <w:sz w:val="24"/>
    </w:rPr>
  </w:style>
  <w:style w:type="paragraph" w:styleId="Heading4">
    <w:name w:val="heading 4"/>
    <w:basedOn w:val="Normal"/>
    <w:next w:val="Normal"/>
    <w:qFormat/>
    <w:pPr>
      <w:keepNext w:val="true"/>
      <w:numPr>
        <w:ilvl w:val="3"/>
        <w:numId w:val="1"/>
      </w:numPr>
      <w:jc w:val="both"/>
      <w:outlineLvl w:val="3"/>
    </w:pPr>
    <w:rPr>
      <w:rFonts w:ascii="Arial" w:hAnsi="Arial" w:cs="Arial"/>
      <w:sz w:val="24"/>
      <w:u w:val="single"/>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character" w:styleId="WW8Num2z0">
    <w:name w:val="WW8Num2z0"/>
    <w:qFormat/>
    <w:rPr>
      <w:u w:val="none"/>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u w:val="none"/>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color w:val="auto"/>
      <w:sz w:val="16"/>
    </w:rPr>
  </w:style>
  <w:style w:type="character" w:styleId="WW8Num46z0">
    <w:name w:val="WW8Num46z0"/>
    <w:qFormat/>
    <w:rPr>
      <w:b w:val="false"/>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color w:val="auto"/>
      <w:sz w:val="16"/>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u w:val="none"/>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color w:val="auto"/>
      <w:sz w:val="16"/>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sz w:val="24"/>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b/>
      <w:i w:val="false"/>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sz w:val="24"/>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sz w:val="24"/>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sz w:val="24"/>
    </w:rPr>
  </w:style>
  <w:style w:type="character" w:styleId="WW8Num113z0">
    <w:name w:val="WW8Num113z0"/>
    <w:qFormat/>
    <w:rPr/>
  </w:style>
  <w:style w:type="character" w:styleId="WW8Num114z0">
    <w:name w:val="WW8Num114z0"/>
    <w:qFormat/>
    <w:rPr>
      <w:rFonts w:ascii="Symbol" w:hAnsi="Symbol" w:cs="Symbol"/>
    </w:rPr>
  </w:style>
  <w:style w:type="character" w:styleId="WW8Num115z0">
    <w:name w:val="WW8Num115z0"/>
    <w:qFormat/>
    <w:rPr>
      <w:rFonts w:ascii="Symbol" w:hAnsi="Symbol" w:cs="Symbol"/>
      <w:sz w:val="24"/>
    </w:rPr>
  </w:style>
  <w:style w:type="character" w:styleId="WW8Num116z0">
    <w:name w:val="WW8Num116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sz w:val="24"/>
    </w:rPr>
  </w:style>
  <w:style w:type="character" w:styleId="WW8Num146z0">
    <w:name w:val="WW8Num146z0"/>
    <w:qFormat/>
    <w:rPr>
      <w:rFonts w:ascii="Symbol" w:hAnsi="Symbol" w:cs="Symbol"/>
      <w:sz w:val="24"/>
    </w:rPr>
  </w:style>
  <w:style w:type="character" w:styleId="WW8Num147z0">
    <w:name w:val="WW8Num147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sz w:val="24"/>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u w:val="none"/>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sz w:val="24"/>
    </w:rPr>
  </w:style>
  <w:style w:type="character" w:styleId="WW8Num172z0">
    <w:name w:val="WW8Num172z0"/>
    <w:qFormat/>
    <w:rPr>
      <w:rFonts w:ascii="Symbol" w:hAnsi="Symbol" w:cs="Symbol"/>
      <w:sz w:val="24"/>
    </w:rPr>
  </w:style>
  <w:style w:type="character" w:styleId="WW8Num173z0">
    <w:name w:val="WW8Num173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sz w:val="24"/>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u w:val="none"/>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sz w:val="24"/>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color w:val="auto"/>
      <w:sz w:val="16"/>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color w:val="auto"/>
      <w:sz w:val="16"/>
    </w:rPr>
  </w:style>
  <w:style w:type="character" w:styleId="WW8Num235z0">
    <w:name w:val="WW8Num235z0"/>
    <w:qFormat/>
    <w:rPr>
      <w:rFonts w:ascii="Symbol" w:hAnsi="Symbol" w:cs="Symbol"/>
      <w:sz w:val="24"/>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u w:val="none"/>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u w:val="none"/>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style>
  <w:style w:type="character" w:styleId="WW8Num305z0">
    <w:name w:val="WW8Num305z0"/>
    <w:qFormat/>
    <w:rPr>
      <w:rFonts w:ascii="Symbol" w:hAnsi="Symbol" w:cs="Symbol"/>
    </w:rPr>
  </w:style>
  <w:style w:type="character" w:styleId="WW8Num306z0">
    <w:name w:val="WW8Num306z0"/>
    <w:qFormat/>
    <w:rPr>
      <w:rFonts w:ascii="Symbol" w:hAnsi="Symbol" w:cs="Symbol"/>
      <w:color w:val="auto"/>
      <w:sz w:val="16"/>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b/>
      <w:i w:val="false"/>
      <w:u w:val="none"/>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u w:val="none"/>
    </w:rPr>
  </w:style>
  <w:style w:type="character" w:styleId="WW8Num325z0">
    <w:name w:val="WW8Num325z0"/>
    <w:qFormat/>
    <w:rPr>
      <w:rFonts w:ascii="Symbol" w:hAnsi="Symbol" w:cs="Symbol"/>
    </w:rPr>
  </w:style>
  <w:style w:type="character" w:styleId="WW8Num326z0">
    <w:name w:val="WW8Num326z0"/>
    <w:qFormat/>
    <w:rPr>
      <w:rFonts w:ascii="Symbol" w:hAnsi="Symbol" w:cs="Symbol"/>
      <w:sz w:val="24"/>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sz w:val="24"/>
    </w:rPr>
  </w:style>
  <w:style w:type="character" w:styleId="WW8Num343z0">
    <w:name w:val="WW8Num343z0"/>
    <w:qFormat/>
    <w:rPr>
      <w:rFonts w:ascii="Symbol" w:hAnsi="Symbol" w:cs="Symbol"/>
    </w:rPr>
  </w:style>
  <w:style w:type="character" w:styleId="WW8Num345z0">
    <w:name w:val="WW8Num345z0"/>
    <w:qFormat/>
    <w:rPr>
      <w:u w:val="none"/>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sz w:val="24"/>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sz w:val="24"/>
    </w:rPr>
  </w:style>
  <w:style w:type="character" w:styleId="WW8Num380z0">
    <w:name w:val="WW8Num380z0"/>
    <w:qFormat/>
    <w:rPr>
      <w:u w:val="none"/>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1z0">
    <w:name w:val="WW8Num401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sz w:val="24"/>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u w:val="none"/>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style>
  <w:style w:type="character" w:styleId="WW8Num434z0">
    <w:name w:val="WW8Num434z0"/>
    <w:qFormat/>
    <w:rPr>
      <w:u w:val="none"/>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sz w:val="24"/>
    </w:rPr>
  </w:style>
  <w:style w:type="character" w:styleId="WW8Num439z0">
    <w:name w:val="WW8Num439z0"/>
    <w:qFormat/>
    <w:rPr>
      <w:rFonts w:ascii="Symbol" w:hAnsi="Symbol" w:cs="Symbol"/>
    </w:rPr>
  </w:style>
  <w:style w:type="character" w:styleId="WW8Num440z0">
    <w:name w:val="WW8Num440z0"/>
    <w:qFormat/>
    <w:rPr/>
  </w:style>
  <w:style w:type="character" w:styleId="WW8Num441z0">
    <w:name w:val="WW8Num441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b/>
      <w:i w:val="false"/>
    </w:rPr>
  </w:style>
  <w:style w:type="character" w:styleId="WW8Num455z0">
    <w:name w:val="WW8Num455z0"/>
    <w:qFormat/>
    <w:rPr>
      <w:rFonts w:ascii="Symbol" w:hAnsi="Symbol" w:cs="Symbol"/>
    </w:rPr>
  </w:style>
  <w:style w:type="character" w:styleId="WW8Num456z0">
    <w:name w:val="WW8Num456z0"/>
    <w:qFormat/>
    <w:rPr>
      <w:rFonts w:ascii="Symbol" w:hAnsi="Symbol" w:cs="Symbol"/>
      <w:color w:val="auto"/>
      <w:sz w:val="16"/>
    </w:rPr>
  </w:style>
  <w:style w:type="character" w:styleId="WW8Num457z0">
    <w:name w:val="WW8Num457z0"/>
    <w:qFormat/>
    <w:rPr>
      <w:b/>
      <w:i w:val="false"/>
      <w:u w:val="none"/>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style>
  <w:style w:type="character" w:styleId="WW8Num465z0">
    <w:name w:val="WW8Num465z0"/>
    <w:qFormat/>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u w:val="none"/>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style>
  <w:style w:type="character" w:styleId="WW8Num490z0">
    <w:name w:val="WW8Num490z0"/>
    <w:qFormat/>
    <w:rPr>
      <w:rFonts w:ascii="Symbol" w:hAnsi="Symbol" w:cs="Symbol"/>
    </w:rPr>
  </w:style>
  <w:style w:type="character" w:styleId="WW8NumSt16z0">
    <w:name w:val="WW8NumSt16z0"/>
    <w:qFormat/>
    <w:rPr>
      <w:rFonts w:ascii="Symbol" w:hAnsi="Symbol" w:cs="Symbol"/>
    </w:rPr>
  </w:style>
  <w:style w:type="character" w:styleId="WW8NumSt111z0">
    <w:name w:val="WW8NumSt1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2001-04-17T17:28:00Z</dcterms:created>
  <dc:creator>EI</dc:creator>
  <dc:description/>
  <dc:language>en-CA</dc:language>
  <cp:lastModifiedBy>jcooley</cp:lastModifiedBy>
  <cp:lastPrinted>2001-04-17T15:26:00Z</cp:lastPrinted>
  <dcterms:modified xsi:type="dcterms:W3CDTF">2001-04-17T17:56:00Z</dcterms:modified>
  <cp:revision>5</cp:revision>
  <dc:subject/>
  <dc:title> </dc:title>
</cp:coreProperties>
</file>