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rFonts w:ascii="Arial" w:hAnsi="Arial" w:cs="Arial"/>
          <w:sz w:val="24"/>
        </w:rPr>
      </w:pPr>
      <w:r>
        <w:rPr>
          <w:rFonts w:cs="Arial" w:ascii="Arial" w:hAnsi="Arial"/>
          <w:sz w:val="24"/>
        </w:rPr>
        <w:drawing>
          <wp:inline distT="0" distB="0" distL="0" distR="0">
            <wp:extent cx="617855" cy="61404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2" t="-12" r="-12" b="-12"/>
                    <a:stretch>
                      <a:fillRect/>
                    </a:stretch>
                  </pic:blipFill>
                  <pic:spPr bwMode="auto">
                    <a:xfrm>
                      <a:off x="0" y="0"/>
                      <a:ext cx="617855" cy="614045"/>
                    </a:xfrm>
                    <a:prstGeom prst="rect">
                      <a:avLst/>
                    </a:prstGeom>
                    <a:noFill/>
                  </pic:spPr>
                </pic:pic>
              </a:graphicData>
            </a:graphic>
          </wp:inline>
        </w:drawing>
      </w:r>
    </w:p>
    <w:p>
      <w:pPr>
        <w:pStyle w:val="Header"/>
        <w:tabs>
          <w:tab w:val="clear" w:pos="4320"/>
          <w:tab w:val="clear" w:pos="8640"/>
        </w:tabs>
        <w:rPr>
          <w:rFonts w:ascii="Arial" w:hAnsi="Arial" w:cs="Arial"/>
          <w:sz w:val="24"/>
          <w:u w:val="single"/>
        </w:rPr>
      </w:pPr>
      <w:r>
        <w:rPr>
          <w:rFonts w:cs="Arial" w:ascii="Arial" w:hAnsi="Arial"/>
          <w:sz w:val="24"/>
          <w:u w:val="single"/>
        </w:rPr>
      </w:r>
    </w:p>
    <w:p>
      <w:pPr>
        <w:pStyle w:val="Header"/>
        <w:tabs>
          <w:tab w:val="clear" w:pos="4320"/>
          <w:tab w:val="clear" w:pos="8640"/>
        </w:tabs>
        <w:rPr>
          <w:rFonts w:ascii="Arial" w:hAnsi="Arial" w:cs="Arial"/>
          <w:sz w:val="24"/>
          <w:u w:val="single"/>
          <w:del w:id="1" w:author="Unknown" w:date="0-00-00T00:00:00Z"/>
        </w:rPr>
      </w:pPr>
      <w:del w:id="0" w:author="Unknown" w:date="0-00-00T00:00:00Z">
        <w:r>
          <w:rPr>
            <w:rFonts w:cs="Arial" w:ascii="Arial" w:hAnsi="Arial"/>
            <w:sz w:val="24"/>
            <w:u w:val="single"/>
          </w:rPr>
        </w:r>
      </w:del>
    </w:p>
    <w:p>
      <w:pPr>
        <w:pStyle w:val="Header"/>
        <w:ind w:hanging="0" w:start="0"/>
        <w:rPr>
          <w:u w:val="single"/>
        </w:rPr>
      </w:pPr>
      <w:r>
        <w:rPr>
          <w:u w:val="single"/>
        </w:rPr>
        <w:t>MEMORANDUM</w:t>
      </w:r>
    </w:p>
    <w:p>
      <w:pPr>
        <w:pStyle w:val="Normal"/>
        <w:rPr>
          <w:rFonts w:ascii="Arial" w:hAnsi="Arial" w:cs="Arial"/>
          <w:sz w:val="24"/>
        </w:rPr>
      </w:pPr>
      <w:r>
        <w:rPr>
          <w:rFonts w:cs="Arial" w:ascii="Arial" w:hAnsi="Arial"/>
          <w:sz w:val="24"/>
        </w:rPr>
      </w:r>
    </w:p>
    <w:tbl>
      <w:tblPr>
        <w:tblW w:w="8118" w:type="dxa"/>
        <w:jc w:val="start"/>
        <w:tblInd w:w="0" w:type="dxa"/>
        <w:tblLayout w:type="fixed"/>
        <w:tblCellMar>
          <w:top w:w="0" w:type="dxa"/>
          <w:start w:w="108" w:type="dxa"/>
          <w:bottom w:w="0" w:type="dxa"/>
          <w:end w:w="108" w:type="dxa"/>
        </w:tblCellMar>
      </w:tblPr>
      <w:tblGrid>
        <w:gridCol w:w="8118"/>
      </w:tblGrid>
      <w:tr>
        <w:trPr/>
        <w:tc>
          <w:tcPr>
            <w:tcW w:w="8118" w:type="dxa"/>
            <w:tcBorders/>
          </w:tcPr>
          <w:p>
            <w:pPr>
              <w:pStyle w:val="Normal"/>
              <w:tabs>
                <w:tab w:val="clear" w:pos="720"/>
                <w:tab w:val="left" w:pos="1440" w:leader="none"/>
              </w:tabs>
              <w:rPr>
                <w:rFonts w:ascii="Arial" w:hAnsi="Arial" w:cs="Arial"/>
                <w:sz w:val="24"/>
              </w:rPr>
            </w:pPr>
            <w:r>
              <w:rPr>
                <w:rFonts w:cs="Arial" w:ascii="Arial" w:hAnsi="Arial"/>
                <w:sz w:val="24"/>
              </w:rPr>
              <w:t>TO:</w:t>
              <w:tab/>
              <w:t>James V. Derrick</w:t>
            </w:r>
          </w:p>
          <w:p>
            <w:pPr>
              <w:pStyle w:val="Normal"/>
              <w:tabs>
                <w:tab w:val="clear" w:pos="720"/>
                <w:tab w:val="left" w:pos="1440" w:leader="none"/>
              </w:tabs>
              <w:rPr>
                <w:rFonts w:ascii="Arial" w:hAnsi="Arial" w:cs="Arial"/>
                <w:sz w:val="24"/>
              </w:rPr>
            </w:pPr>
            <w:r>
              <w:rPr>
                <w:rFonts w:cs="Arial" w:ascii="Arial" w:hAnsi="Arial"/>
                <w:sz w:val="24"/>
              </w:rPr>
              <w:tab/>
              <w:t>Bruce Lundstrom</w:t>
            </w:r>
          </w:p>
          <w:p>
            <w:pPr>
              <w:pStyle w:val="Normal"/>
              <w:tabs>
                <w:tab w:val="clear" w:pos="720"/>
                <w:tab w:val="left" w:pos="1440" w:leader="none"/>
              </w:tabs>
              <w:rPr>
                <w:rFonts w:ascii="Arial" w:hAnsi="Arial" w:cs="Arial"/>
                <w:sz w:val="24"/>
              </w:rPr>
            </w:pPr>
            <w:r>
              <w:rPr>
                <w:rFonts w:cs="Arial" w:ascii="Arial" w:hAnsi="Arial"/>
                <w:sz w:val="24"/>
              </w:rPr>
              <w:tab/>
              <w:t>Mark Haedicke</w:t>
            </w:r>
          </w:p>
          <w:p>
            <w:pPr>
              <w:pStyle w:val="Normal"/>
              <w:tabs>
                <w:tab w:val="clear" w:pos="720"/>
                <w:tab w:val="left" w:pos="1440" w:leader="none"/>
              </w:tabs>
              <w:rPr>
                <w:rFonts w:ascii="Arial" w:hAnsi="Arial" w:cs="Arial"/>
                <w:sz w:val="24"/>
              </w:rPr>
            </w:pPr>
            <w:r>
              <w:rPr>
                <w:rFonts w:cs="Arial" w:ascii="Arial" w:hAnsi="Arial"/>
                <w:sz w:val="24"/>
              </w:rPr>
              <w:tab/>
              <w:t>Richard Sanders</w:t>
            </w:r>
          </w:p>
          <w:p>
            <w:pPr>
              <w:pStyle w:val="Normal"/>
              <w:rPr>
                <w:rFonts w:ascii="Arial" w:hAnsi="Arial" w:cs="Arial"/>
                <w:sz w:val="24"/>
              </w:rPr>
            </w:pPr>
            <w:r>
              <w:rPr>
                <w:rFonts w:cs="Arial" w:ascii="Arial" w:hAnsi="Arial"/>
                <w:sz w:val="24"/>
              </w:rPr>
              <w:tab/>
              <w:tab/>
              <w:t xml:space="preserve">Rob Walls </w:t>
            </w:r>
          </w:p>
          <w:p>
            <w:pPr>
              <w:pStyle w:val="Normal"/>
              <w:rPr>
                <w:rFonts w:ascii="Arial" w:hAnsi="Arial" w:cs="Arial"/>
                <w:sz w:val="24"/>
              </w:rPr>
            </w:pPr>
            <w:r>
              <w:rPr>
                <w:rFonts w:cs="Arial" w:ascii="Arial" w:hAnsi="Arial"/>
                <w:sz w:val="24"/>
              </w:rPr>
              <w:tab/>
              <w:tab/>
              <w:t>John Novak</w:t>
            </w:r>
          </w:p>
          <w:p>
            <w:pPr>
              <w:pStyle w:val="Normal"/>
              <w:rPr>
                <w:rFonts w:ascii="Arial" w:hAnsi="Arial" w:cs="Arial"/>
                <w:sz w:val="24"/>
              </w:rPr>
            </w:pPr>
            <w:r>
              <w:rPr>
                <w:rFonts w:cs="Arial" w:ascii="Arial" w:hAnsi="Arial"/>
                <w:sz w:val="24"/>
              </w:rPr>
              <w:tab/>
              <w:tab/>
              <w:t>Miguel Mendoza</w:t>
            </w:r>
          </w:p>
          <w:p>
            <w:pPr>
              <w:pStyle w:val="Normal"/>
              <w:rPr>
                <w:rFonts w:ascii="Arial" w:hAnsi="Arial" w:cs="Arial"/>
                <w:sz w:val="24"/>
              </w:rPr>
            </w:pPr>
            <w:r>
              <w:rPr>
                <w:rFonts w:cs="Arial" w:ascii="Arial" w:hAnsi="Arial"/>
                <w:sz w:val="24"/>
              </w:rPr>
            </w:r>
          </w:p>
        </w:tc>
      </w:tr>
      <w:tr>
        <w:trPr>
          <w:trHeight w:val="522" w:hRule="atLeast"/>
        </w:trPr>
        <w:tc>
          <w:tcPr>
            <w:tcW w:w="8118" w:type="dxa"/>
            <w:tcBorders/>
          </w:tcPr>
          <w:p>
            <w:pPr>
              <w:pStyle w:val="Normal"/>
              <w:tabs>
                <w:tab w:val="clear" w:pos="720"/>
                <w:tab w:val="left" w:pos="1440" w:leader="none"/>
              </w:tabs>
              <w:rPr>
                <w:rFonts w:ascii="Arial" w:hAnsi="Arial" w:cs="Arial"/>
                <w:sz w:val="24"/>
              </w:rPr>
            </w:pPr>
            <w:r>
              <w:rPr>
                <w:rFonts w:cs="Arial" w:ascii="Arial" w:hAnsi="Arial"/>
                <w:sz w:val="24"/>
              </w:rPr>
              <w:t>FROM:</w:t>
              <w:tab/>
              <w:t>Robert C. Williams</w:t>
            </w:r>
          </w:p>
          <w:p>
            <w:pPr>
              <w:pStyle w:val="Normal"/>
              <w:tabs>
                <w:tab w:val="clear" w:pos="720"/>
                <w:tab w:val="left" w:pos="1440" w:leader="none"/>
              </w:tabs>
              <w:rPr>
                <w:rFonts w:ascii="Arial" w:hAnsi="Arial" w:cs="Arial"/>
                <w:sz w:val="24"/>
              </w:rPr>
            </w:pPr>
            <w:r>
              <w:rPr>
                <w:rFonts w:cs="Arial" w:ascii="Arial" w:hAnsi="Arial"/>
                <w:sz w:val="24"/>
              </w:rPr>
              <w:tab/>
              <w:t>Michelle Blaine</w:t>
            </w:r>
          </w:p>
          <w:p>
            <w:pPr>
              <w:pStyle w:val="Normal"/>
              <w:tabs>
                <w:tab w:val="clear" w:pos="720"/>
                <w:tab w:val="left" w:pos="1440" w:leader="none"/>
              </w:tabs>
              <w:rPr>
                <w:rFonts w:ascii="Arial" w:hAnsi="Arial" w:cs="Arial"/>
                <w:sz w:val="24"/>
              </w:rPr>
            </w:pPr>
            <w:r>
              <w:rPr>
                <w:rFonts w:cs="Arial" w:ascii="Arial" w:hAnsi="Arial"/>
                <w:sz w:val="24"/>
              </w:rPr>
              <w:tab/>
              <w:t>Gail M. Brownfeld</w:t>
            </w:r>
          </w:p>
        </w:tc>
      </w:tr>
      <w:tr>
        <w:trPr>
          <w:trHeight w:val="80" w:hRule="atLeast"/>
        </w:trPr>
        <w:tc>
          <w:tcPr>
            <w:tcW w:w="8118" w:type="dxa"/>
            <w:tcBorders/>
          </w:tcPr>
          <w:p>
            <w:pPr>
              <w:pStyle w:val="Heading5"/>
              <w:keepNext w:val="false"/>
              <w:tabs>
                <w:tab w:val="clear" w:pos="720"/>
                <w:tab w:val="left" w:pos="1440" w:leader="none"/>
              </w:tabs>
              <w:snapToGrid w:val="false"/>
              <w:ind w:hanging="0" w:start="0"/>
              <w:rPr>
                <w:rFonts w:ascii="Arial" w:hAnsi="Arial" w:cs="Arial"/>
                <w:b w:val="false"/>
                <w:sz w:val="24"/>
              </w:rPr>
            </w:pPr>
            <w:r>
              <w:rPr>
                <w:rFonts w:cs="Arial"/>
                <w:b w:val="false"/>
                <w:sz w:val="24"/>
              </w:rPr>
            </w:r>
          </w:p>
        </w:tc>
      </w:tr>
      <w:tr>
        <w:trPr>
          <w:trHeight w:val="80" w:hRule="atLeast"/>
        </w:trPr>
        <w:tc>
          <w:tcPr>
            <w:tcW w:w="8118" w:type="dxa"/>
            <w:tcBorders/>
          </w:tcPr>
          <w:p>
            <w:pPr>
              <w:pStyle w:val="Heading5"/>
              <w:keepNext w:val="false"/>
              <w:tabs>
                <w:tab w:val="clear" w:pos="720"/>
                <w:tab w:val="left" w:pos="1440" w:leader="none"/>
              </w:tabs>
              <w:ind w:hanging="0" w:start="0"/>
              <w:rPr>
                <w:b w:val="false"/>
              </w:rPr>
            </w:pPr>
            <w:r>
              <w:rPr>
                <w:b w:val="false"/>
              </w:rPr>
              <w:t>DATE:</w:t>
              <w:tab/>
              <w:t>April 17, 2001</w:t>
            </w:r>
          </w:p>
        </w:tc>
      </w:tr>
      <w:tr>
        <w:trPr>
          <w:trHeight w:val="80" w:hRule="atLeast"/>
        </w:trPr>
        <w:tc>
          <w:tcPr>
            <w:tcW w:w="8118" w:type="dxa"/>
            <w:tcBorders/>
          </w:tcPr>
          <w:p>
            <w:pPr>
              <w:pStyle w:val="Heading5"/>
              <w:keepNext w:val="false"/>
              <w:tabs>
                <w:tab w:val="clear" w:pos="720"/>
                <w:tab w:val="left" w:pos="1440" w:leader="none"/>
              </w:tabs>
              <w:snapToGrid w:val="false"/>
              <w:ind w:hanging="0" w:start="0"/>
              <w:rPr>
                <w:rFonts w:ascii="Arial" w:hAnsi="Arial" w:cs="Arial"/>
                <w:b w:val="false"/>
                <w:sz w:val="24"/>
              </w:rPr>
            </w:pPr>
            <w:r>
              <w:rPr>
                <w:rFonts w:cs="Arial"/>
                <w:b w:val="false"/>
                <w:sz w:val="24"/>
              </w:rPr>
            </w:r>
          </w:p>
        </w:tc>
      </w:tr>
      <w:tr>
        <w:trPr>
          <w:trHeight w:val="80" w:hRule="atLeast"/>
        </w:trPr>
        <w:tc>
          <w:tcPr>
            <w:tcW w:w="8118" w:type="dxa"/>
            <w:tcBorders/>
          </w:tcPr>
          <w:p>
            <w:pPr>
              <w:pStyle w:val="Heading5"/>
              <w:keepNext w:val="false"/>
              <w:tabs>
                <w:tab w:val="clear" w:pos="720"/>
                <w:tab w:val="left" w:pos="1440" w:leader="none"/>
              </w:tabs>
              <w:ind w:hanging="0" w:start="0"/>
              <w:rPr/>
            </w:pPr>
            <w:r>
              <w:rPr>
                <w:b w:val="false"/>
              </w:rPr>
              <w:t>RE:</w:t>
            </w:r>
            <w:r>
              <w:rPr/>
              <w:tab/>
            </w:r>
            <w:r>
              <w:rPr>
                <w:b w:val="false"/>
              </w:rPr>
              <w:t>EWS/Enron Global Assets Litigation Update</w:t>
            </w:r>
          </w:p>
        </w:tc>
      </w:tr>
    </w:tbl>
    <w:p>
      <w:pPr>
        <w:pStyle w:val="Normal"/>
        <w:tabs>
          <w:tab w:val="clear" w:pos="720"/>
          <w:tab w:val="left" w:pos="9270" w:leader="none"/>
        </w:tabs>
        <w:rPr>
          <w:rFonts w:ascii="Arial" w:hAnsi="Arial" w:cs="Arial"/>
          <w:sz w:val="24"/>
          <w:u w:val="single"/>
        </w:rPr>
      </w:pPr>
      <w:r>
        <w:rPr>
          <w:rFonts w:cs="Arial" w:ascii="Arial" w:hAnsi="Arial"/>
          <w:sz w:val="24"/>
          <w:u w:val="single"/>
        </w:rPr>
        <w:tab/>
      </w:r>
    </w:p>
    <w:p>
      <w:pPr>
        <w:pStyle w:val="Normal"/>
        <w:rPr>
          <w:rFonts w:ascii="Arial" w:hAnsi="Arial" w:cs="Arial"/>
          <w:sz w:val="24"/>
          <w:u w:val="single"/>
        </w:rPr>
      </w:pPr>
      <w:r>
        <w:rPr>
          <w:rFonts w:cs="Arial" w:ascii="Arial" w:hAnsi="Arial"/>
          <w:sz w:val="24"/>
          <w:u w:val="single"/>
        </w:rPr>
      </w:r>
    </w:p>
    <w:p>
      <w:pPr>
        <w:pStyle w:val="BodyText"/>
        <w:tabs>
          <w:tab w:val="left" w:pos="720" w:leader="none"/>
          <w:tab w:val="left" w:pos="1170" w:leader="none"/>
          <w:tab w:val="left" w:pos="8370" w:leader="none"/>
        </w:tabs>
        <w:rPr/>
      </w:pPr>
      <w:r>
        <w:rPr/>
        <w:tab/>
        <w:t xml:space="preserve">These summaries describe the commercial litigation, arbitrations, disputes and claims we are currently handling.  Personal injury and property damage matters are included in the Enron Litigation Unit report and are not reported here.  </w:t>
      </w:r>
      <w:r>
        <w:rPr>
          <w:color w:val="000000"/>
        </w:rPr>
        <w:t xml:space="preserve">Unless otherwise noted, Enron's interest is </w:t>
      </w:r>
      <w:r>
        <w:rPr>
          <w:b/>
          <w:color w:val="000000"/>
          <w:u w:val="single"/>
        </w:rPr>
        <w:t>100%</w:t>
      </w:r>
      <w:r>
        <w:rPr>
          <w:color w:val="000000"/>
        </w:rPr>
        <w:t xml:space="preserve">, claims are </w:t>
      </w:r>
      <w:r>
        <w:rPr>
          <w:b/>
          <w:color w:val="000000"/>
          <w:u w:val="single"/>
        </w:rPr>
        <w:t>uninsured</w:t>
      </w:r>
      <w:r>
        <w:rPr>
          <w:color w:val="000000"/>
        </w:rPr>
        <w:t xml:space="preserve">, </w:t>
      </w:r>
      <w:r>
        <w:rPr/>
        <w:t xml:space="preserve">exposure amounts are </w:t>
      </w:r>
      <w:r>
        <w:rPr>
          <w:b/>
          <w:u w:val="single"/>
        </w:rPr>
        <w:t>8/8ths</w:t>
      </w:r>
      <w:r>
        <w:rPr/>
        <w:t xml:space="preserve">, </w:t>
      </w:r>
      <w:r>
        <w:rPr>
          <w:color w:val="000000"/>
        </w:rPr>
        <w:t xml:space="preserve">and amounts are in local currency and/or approximate </w:t>
      </w:r>
      <w:r>
        <w:rPr>
          <w:b/>
          <w:color w:val="000000"/>
          <w:u w:val="single"/>
        </w:rPr>
        <w:t>U.S. dollars</w:t>
      </w:r>
      <w:r>
        <w:rPr>
          <w:color w:val="000000"/>
        </w:rPr>
        <w:t>.</w:t>
      </w:r>
    </w:p>
    <w:p>
      <w:pPr>
        <w:pStyle w:val="Normal"/>
        <w:tabs>
          <w:tab w:val="clear" w:pos="720"/>
          <w:tab w:val="left" w:pos="1080" w:leader="none"/>
          <w:tab w:val="left" w:pos="8370" w:leader="none"/>
        </w:tabs>
        <w:jc w:val="both"/>
        <w:rPr>
          <w:rFonts w:ascii="Arial" w:hAnsi="Arial" w:cs="Arial"/>
          <w:sz w:val="24"/>
        </w:rPr>
      </w:pPr>
      <w:r>
        <w:rPr>
          <w:rFonts w:cs="Arial" w:ascii="Arial" w:hAnsi="Arial"/>
          <w:sz w:val="24"/>
        </w:rPr>
      </w:r>
    </w:p>
    <w:p>
      <w:pPr>
        <w:pStyle w:val="Normal"/>
        <w:tabs>
          <w:tab w:val="clear" w:pos="720"/>
          <w:tab w:val="left" w:pos="1080" w:leader="none"/>
          <w:tab w:val="left" w:pos="8370" w:leader="none"/>
        </w:tabs>
        <w:jc w:val="both"/>
        <w:rPr>
          <w:rFonts w:ascii="Arial" w:hAnsi="Arial" w:cs="Arial"/>
          <w:b/>
          <w:sz w:val="28"/>
          <w:u w:val="single"/>
        </w:rPr>
      </w:pPr>
      <w:r>
        <w:rPr>
          <w:rFonts w:cs="Arial" w:ascii="Arial" w:hAnsi="Arial"/>
          <w:b/>
          <w:sz w:val="28"/>
          <w:u w:val="single"/>
        </w:rPr>
        <w:t>ARGENTINA</w:t>
      </w:r>
    </w:p>
    <w:p>
      <w:pPr>
        <w:pStyle w:val="Normal"/>
        <w:tabs>
          <w:tab w:val="clear" w:pos="720"/>
          <w:tab w:val="left" w:pos="1080" w:leader="none"/>
          <w:tab w:val="left" w:pos="8370" w:leader="none"/>
        </w:tabs>
        <w:jc w:val="both"/>
        <w:rPr>
          <w:rFonts w:ascii="Arial" w:hAnsi="Arial" w:cs="Arial"/>
          <w:b/>
          <w:sz w:val="24"/>
          <w:u w:val="single"/>
        </w:rPr>
      </w:pPr>
      <w:r>
        <w:rPr>
          <w:rFonts w:cs="Arial" w:ascii="Arial" w:hAnsi="Arial"/>
          <w:b/>
          <w:sz w:val="24"/>
          <w:u w:val="single"/>
        </w:rPr>
      </w:r>
    </w:p>
    <w:p>
      <w:pPr>
        <w:pStyle w:val="Normal"/>
        <w:numPr>
          <w:ilvl w:val="0"/>
          <w:numId w:val="149"/>
        </w:numPr>
        <w:tabs>
          <w:tab w:val="clear" w:pos="720"/>
          <w:tab w:val="left" w:pos="1440" w:leader="none"/>
          <w:tab w:val="left" w:pos="1530" w:leader="none"/>
        </w:tabs>
        <w:rPr>
          <w:rFonts w:ascii="Arial" w:hAnsi="Arial" w:cs="Arial"/>
          <w:b/>
          <w:sz w:val="28"/>
          <w:u w:val="single"/>
        </w:rPr>
      </w:pPr>
      <w:r>
        <w:rPr>
          <w:rFonts w:cs="Arial" w:ascii="Arial" w:hAnsi="Arial"/>
          <w:b/>
          <w:sz w:val="28"/>
          <w:u w:val="single"/>
        </w:rPr>
        <w:t>Transportadora De Gas Del Sur S.A. ("TGS")</w:t>
      </w:r>
    </w:p>
    <w:p>
      <w:pPr>
        <w:pStyle w:val="Normal"/>
        <w:jc w:val="both"/>
        <w:rPr>
          <w:rFonts w:ascii="Arial" w:hAnsi="Arial" w:cs="Arial"/>
          <w:b/>
          <w:sz w:val="24"/>
          <w:u w:val="single"/>
        </w:rPr>
      </w:pPr>
      <w:r>
        <w:rPr>
          <w:rFonts w:cs="Arial" w:ascii="Arial" w:hAnsi="Arial"/>
          <w:b/>
          <w:sz w:val="24"/>
          <w:u w:val="single"/>
        </w:rPr>
      </w:r>
    </w:p>
    <w:p>
      <w:pPr>
        <w:pStyle w:val="Heading6"/>
        <w:ind w:hanging="0" w:start="720" w:end="0"/>
        <w:rPr/>
      </w:pPr>
      <w:r>
        <w:rPr/>
        <w:t>I.</w:t>
        <w:tab/>
        <w:t>LITIGATION/ARBITRATION</w:t>
      </w:r>
    </w:p>
    <w:p>
      <w:pPr>
        <w:pStyle w:val="Normal"/>
        <w:ind w:start="720" w:end="0"/>
        <w:jc w:val="both"/>
        <w:rPr>
          <w:rFonts w:ascii="Arial" w:hAnsi="Arial" w:cs="Arial"/>
          <w:b/>
          <w:sz w:val="24"/>
        </w:rPr>
      </w:pPr>
      <w:r>
        <w:rPr>
          <w:rFonts w:cs="Arial" w:ascii="Arial" w:hAnsi="Arial"/>
          <w:b/>
          <w:sz w:val="24"/>
        </w:rPr>
      </w:r>
    </w:p>
    <w:p>
      <w:pPr>
        <w:pStyle w:val="Normal"/>
        <w:tabs>
          <w:tab w:val="clear" w:pos="720"/>
          <w:tab w:val="left" w:pos="7740" w:leader="none"/>
        </w:tabs>
        <w:ind w:start="1440" w:end="0"/>
        <w:jc w:val="both"/>
        <w:rPr>
          <w:rFonts w:ascii="Arial" w:hAnsi="Arial" w:cs="Arial"/>
          <w:b/>
          <w:sz w:val="24"/>
        </w:rPr>
      </w:pPr>
      <w:r>
        <w:rPr>
          <w:rFonts w:cs="Arial" w:ascii="Arial" w:hAnsi="Arial"/>
          <w:b/>
          <w:sz w:val="24"/>
        </w:rPr>
        <w:t>CIESA Income Tax Appeal</w:t>
        <w:tab/>
        <w:t>(Not Updated)</w:t>
      </w:r>
    </w:p>
    <w:p>
      <w:pPr>
        <w:pStyle w:val="Normal"/>
        <w:tabs>
          <w:tab w:val="clear" w:pos="720"/>
          <w:tab w:val="left" w:pos="1620" w:leader="none"/>
        </w:tabs>
        <w:ind w:start="1440" w:end="0"/>
        <w:jc w:val="both"/>
        <w:rPr>
          <w:rFonts w:ascii="Arial" w:hAnsi="Arial" w:cs="Arial"/>
          <w:sz w:val="24"/>
        </w:rPr>
      </w:pPr>
      <w:r>
        <w:rPr>
          <w:rFonts w:cs="Arial" w:ascii="Arial" w:hAnsi="Arial"/>
          <w:sz w:val="24"/>
        </w:rPr>
        <w:t>(Hope, Duggan &amp; Silva) (P$8.8 million/US$8.8 million) (Enron’s Interest: 50%)</w:t>
      </w:r>
    </w:p>
    <w:p>
      <w:pPr>
        <w:pStyle w:val="Normal"/>
        <w:ind w:start="720" w:end="0"/>
        <w:jc w:val="both"/>
        <w:rPr>
          <w:rFonts w:ascii="Arial" w:hAnsi="Arial" w:cs="Arial"/>
          <w:sz w:val="24"/>
        </w:rPr>
      </w:pPr>
      <w:r>
        <w:rPr>
          <w:rFonts w:cs="Arial" w:ascii="Arial" w:hAnsi="Arial"/>
          <w:sz w:val="24"/>
        </w:rPr>
      </w:r>
    </w:p>
    <w:p>
      <w:pPr>
        <w:pStyle w:val="Normal"/>
        <w:numPr>
          <w:ilvl w:val="0"/>
          <w:numId w:val="31"/>
        </w:numPr>
        <w:tabs>
          <w:tab w:val="clear" w:pos="720"/>
          <w:tab w:val="left" w:pos="1800" w:leader="none"/>
          <w:tab w:val="left" w:pos="7740" w:leader="none"/>
        </w:tabs>
        <w:ind w:hanging="360" w:start="1800" w:end="0"/>
        <w:jc w:val="both"/>
        <w:rPr>
          <w:rFonts w:ascii="Arial" w:hAnsi="Arial" w:cs="Arial"/>
          <w:sz w:val="24"/>
        </w:rPr>
      </w:pPr>
      <w:r>
        <w:rPr>
          <w:rFonts w:cs="Arial" w:ascii="Arial" w:hAnsi="Arial"/>
          <w:sz w:val="24"/>
        </w:rPr>
        <w:t xml:space="preserve">A proposed tax assessment for $8.8 million Argentine pesos ($2.3 million tax, $4.9 million interest, and $1.6 million penalty) was issued against CIESA on gains CIESA allegedly realized using discounted Argentine government bonds as part of CIESA’s 1992 purchase of a 70% interest in TGS. </w:t>
      </w:r>
    </w:p>
    <w:p>
      <w:pPr>
        <w:pStyle w:val="Normal"/>
        <w:numPr>
          <w:ilvl w:val="0"/>
          <w:numId w:val="124"/>
        </w:numPr>
        <w:tabs>
          <w:tab w:val="clear" w:pos="720"/>
          <w:tab w:val="left" w:pos="1800" w:leader="none"/>
          <w:tab w:val="left" w:pos="7740" w:leader="none"/>
        </w:tabs>
        <w:ind w:hanging="360" w:start="1800" w:end="0"/>
        <w:jc w:val="both"/>
        <w:rPr>
          <w:rFonts w:ascii="Arial" w:hAnsi="Arial" w:cs="Arial"/>
          <w:sz w:val="24"/>
        </w:rPr>
      </w:pPr>
      <w:r>
        <w:rPr>
          <w:rFonts w:cs="Arial" w:ascii="Arial" w:hAnsi="Arial"/>
          <w:sz w:val="24"/>
        </w:rPr>
        <w:t>The government alleges that the value of the TGS shares purchased by CIESA exceeded the discounted Argentine tax basis in the Argentine government bonds resulting in a taxable gain.</w:t>
      </w:r>
    </w:p>
    <w:p>
      <w:pPr>
        <w:pStyle w:val="Normal"/>
        <w:numPr>
          <w:ilvl w:val="0"/>
          <w:numId w:val="128"/>
        </w:numPr>
        <w:tabs>
          <w:tab w:val="clear" w:pos="720"/>
          <w:tab w:val="left" w:pos="1800" w:leader="none"/>
          <w:tab w:val="left" w:pos="7740" w:leader="none"/>
        </w:tabs>
        <w:ind w:hanging="360" w:start="1800" w:end="0"/>
        <w:jc w:val="both"/>
        <w:rPr>
          <w:rFonts w:ascii="Arial" w:hAnsi="Arial" w:cs="Arial"/>
          <w:sz w:val="24"/>
        </w:rPr>
      </w:pPr>
      <w:r>
        <w:rPr>
          <w:rFonts w:cs="Arial" w:ascii="Arial" w:hAnsi="Arial"/>
          <w:sz w:val="24"/>
        </w:rPr>
        <w:t xml:space="preserve">On or about October 1, 1999, CEISA denied liability for the assessed tax. </w:t>
      </w:r>
    </w:p>
    <w:p>
      <w:pPr>
        <w:pStyle w:val="Normal"/>
        <w:numPr>
          <w:ilvl w:val="0"/>
          <w:numId w:val="128"/>
        </w:numPr>
        <w:tabs>
          <w:tab w:val="clear" w:pos="720"/>
          <w:tab w:val="left" w:pos="1800" w:leader="none"/>
          <w:tab w:val="left" w:pos="7740" w:leader="none"/>
        </w:tabs>
        <w:ind w:hanging="360" w:start="1800" w:end="0"/>
        <w:jc w:val="both"/>
        <w:rPr>
          <w:rFonts w:ascii="Arial" w:hAnsi="Arial" w:cs="Arial"/>
          <w:sz w:val="24"/>
        </w:rPr>
      </w:pPr>
      <w:r>
        <w:rPr>
          <w:rFonts w:cs="Arial" w:ascii="Arial" w:hAnsi="Arial"/>
          <w:sz w:val="24"/>
        </w:rPr>
        <w:t>CIESA filed its petition against the assessment in the Argentine tax court in February 2000.</w:t>
      </w:r>
    </w:p>
    <w:p>
      <w:pPr>
        <w:pStyle w:val="Normal"/>
        <w:numPr>
          <w:ilvl w:val="0"/>
          <w:numId w:val="128"/>
        </w:numPr>
        <w:tabs>
          <w:tab w:val="clear" w:pos="720"/>
          <w:tab w:val="left" w:pos="1800" w:leader="none"/>
          <w:tab w:val="left" w:pos="7740" w:leader="none"/>
        </w:tabs>
        <w:ind w:hanging="360" w:start="1800" w:end="0"/>
        <w:jc w:val="both"/>
        <w:rPr>
          <w:rFonts w:ascii="Arial" w:hAnsi="Arial" w:cs="Arial"/>
          <w:sz w:val="24"/>
        </w:rPr>
      </w:pPr>
      <w:r>
        <w:rPr>
          <w:rFonts w:cs="Arial" w:ascii="Arial" w:hAnsi="Arial"/>
          <w:sz w:val="24"/>
        </w:rPr>
        <w:t>The Argentine government has filed its response to CIESA’s petition which repeats allegations against CIESA regarding taxable gains.</w:t>
      </w:r>
    </w:p>
    <w:p>
      <w:pPr>
        <w:pStyle w:val="Normal"/>
        <w:numPr>
          <w:ilvl w:val="0"/>
          <w:numId w:val="128"/>
        </w:numPr>
        <w:tabs>
          <w:tab w:val="clear" w:pos="720"/>
          <w:tab w:val="left" w:pos="1800" w:leader="none"/>
          <w:tab w:val="left" w:pos="7740" w:leader="none"/>
        </w:tabs>
        <w:ind w:hanging="360" w:start="1800" w:end="0"/>
        <w:jc w:val="both"/>
        <w:rPr>
          <w:rFonts w:ascii="Arial" w:hAnsi="Arial" w:cs="Arial"/>
          <w:sz w:val="24"/>
        </w:rPr>
      </w:pPr>
      <w:r>
        <w:rPr>
          <w:rFonts w:cs="Arial" w:ascii="Arial" w:hAnsi="Arial"/>
          <w:sz w:val="24"/>
        </w:rPr>
        <w:t>The parties are engaged in</w:t>
      </w:r>
      <w:r>
        <w:rPr>
          <w:rFonts w:cs="Arial" w:ascii="Arial" w:hAnsi="Arial"/>
          <w:b/>
          <w:bCs/>
          <w:sz w:val="24"/>
        </w:rPr>
        <w:t xml:space="preserve"> </w:t>
      </w:r>
      <w:r>
        <w:rPr>
          <w:rFonts w:cs="Arial" w:ascii="Arial" w:hAnsi="Arial"/>
          <w:sz w:val="24"/>
        </w:rPr>
        <w:t>discovery.</w:t>
      </w:r>
    </w:p>
    <w:p>
      <w:pPr>
        <w:pStyle w:val="Normal"/>
        <w:numPr>
          <w:ilvl w:val="0"/>
          <w:numId w:val="155"/>
        </w:numPr>
        <w:tabs>
          <w:tab w:val="clear" w:pos="720"/>
          <w:tab w:val="left" w:pos="1800" w:leader="none"/>
          <w:tab w:val="left" w:pos="7740" w:leader="none"/>
        </w:tabs>
        <w:ind w:hanging="360" w:start="1800" w:end="0"/>
        <w:jc w:val="both"/>
        <w:rPr>
          <w:rFonts w:ascii="Arial" w:hAnsi="Arial" w:cs="Arial"/>
          <w:sz w:val="24"/>
        </w:rPr>
      </w:pPr>
      <w:r>
        <w:rPr>
          <w:rFonts w:cs="Arial" w:ascii="Arial" w:hAnsi="Arial"/>
          <w:sz w:val="24"/>
        </w:rPr>
        <w:t xml:space="preserve">If CIESA loses in tax court, it has a right to appeal to the Court of Appeals and ultimately to the Supreme Court.  Appeals in either of these courts would require CIESA to pay the assessed tax and any interest into the court’s registry. </w:t>
      </w:r>
    </w:p>
    <w:p>
      <w:pPr>
        <w:pStyle w:val="Normal"/>
        <w:numPr>
          <w:ilvl w:val="0"/>
          <w:numId w:val="109"/>
        </w:numPr>
        <w:tabs>
          <w:tab w:val="clear" w:pos="720"/>
          <w:tab w:val="left" w:pos="1800" w:leader="none"/>
          <w:tab w:val="left" w:pos="7740" w:leader="none"/>
        </w:tabs>
        <w:ind w:hanging="360" w:start="1800" w:end="0"/>
        <w:jc w:val="both"/>
        <w:rPr>
          <w:rFonts w:ascii="Arial" w:hAnsi="Arial" w:cs="Arial"/>
          <w:sz w:val="24"/>
        </w:rPr>
      </w:pPr>
      <w:r>
        <w:rPr>
          <w:rFonts w:cs="Arial" w:ascii="Arial" w:hAnsi="Arial"/>
          <w:i/>
          <w:sz w:val="24"/>
        </w:rPr>
        <w:t>Note: This matter is being managed by the Enron Corp. Tax Department.</w:t>
      </w:r>
    </w:p>
    <w:p>
      <w:pPr>
        <w:pStyle w:val="Normal"/>
        <w:ind w:start="1440" w:end="0"/>
        <w:jc w:val="both"/>
        <w:rPr>
          <w:rFonts w:ascii="Arial" w:hAnsi="Arial" w:cs="Arial"/>
          <w:sz w:val="24"/>
        </w:rPr>
      </w:pPr>
      <w:r>
        <w:rPr>
          <w:rFonts w:cs="Arial" w:ascii="Arial" w:hAnsi="Arial"/>
          <w:sz w:val="24"/>
        </w:rPr>
      </w:r>
    </w:p>
    <w:p>
      <w:pPr>
        <w:pStyle w:val="Normal"/>
        <w:keepNext w:val="true"/>
        <w:keepLines/>
        <w:tabs>
          <w:tab w:val="clear" w:pos="720"/>
          <w:tab w:val="left" w:pos="7740" w:leader="none"/>
        </w:tabs>
        <w:ind w:start="1440" w:end="0"/>
        <w:rPr/>
      </w:pPr>
      <w:r>
        <w:rPr>
          <w:rFonts w:cs="Arial" w:ascii="Arial" w:hAnsi="Arial"/>
          <w:b/>
          <w:sz w:val="24"/>
          <w:u w:val="single"/>
        </w:rPr>
        <w:t>TGS v. The Province of Santa Cruz</w:t>
      </w:r>
      <w:r>
        <w:rPr>
          <w:rFonts w:cs="Arial" w:ascii="Arial" w:hAnsi="Arial"/>
          <w:b/>
          <w:sz w:val="24"/>
        </w:rPr>
        <w:tab/>
        <w:t>(Updated)</w:t>
      </w:r>
    </w:p>
    <w:p>
      <w:pPr>
        <w:pStyle w:val="Normal"/>
        <w:ind w:start="1440" w:end="0"/>
        <w:rPr>
          <w:rFonts w:ascii="Arial" w:hAnsi="Arial" w:cs="Arial"/>
          <w:sz w:val="24"/>
        </w:rPr>
      </w:pPr>
      <w:r>
        <w:rPr>
          <w:rFonts w:cs="Arial" w:ascii="Arial" w:hAnsi="Arial"/>
          <w:sz w:val="24"/>
        </w:rPr>
        <w:t>(Federal Supreme Court of Argentina) (Enrique Bulit Goni) ($17 million plus $13.8 million interest) (Enron's Interest: 35%)</w:t>
      </w:r>
    </w:p>
    <w:p>
      <w:pPr>
        <w:pStyle w:val="Normal"/>
        <w:ind w:start="1800" w:end="0"/>
        <w:rPr>
          <w:rFonts w:ascii="Arial" w:hAnsi="Arial" w:cs="Arial"/>
          <w:sz w:val="24"/>
        </w:rPr>
      </w:pPr>
      <w:r>
        <w:rPr>
          <w:rFonts w:cs="Arial" w:ascii="Arial" w:hAnsi="Arial"/>
          <w:sz w:val="24"/>
        </w:rPr>
      </w:r>
    </w:p>
    <w:p>
      <w:pPr>
        <w:pStyle w:val="Normal"/>
        <w:numPr>
          <w:ilvl w:val="0"/>
          <w:numId w:val="64"/>
        </w:numPr>
        <w:tabs>
          <w:tab w:val="clear" w:pos="720"/>
          <w:tab w:val="left" w:pos="1080" w:leader="none"/>
        </w:tabs>
        <w:ind w:hanging="360" w:start="1800" w:end="0"/>
        <w:rPr>
          <w:rFonts w:ascii="Arial" w:hAnsi="Arial" w:cs="Arial"/>
          <w:sz w:val="24"/>
        </w:rPr>
      </w:pPr>
      <w:r>
        <w:rPr>
          <w:rFonts w:cs="Arial" w:ascii="Arial" w:hAnsi="Arial"/>
          <w:sz w:val="24"/>
        </w:rPr>
        <w:t>TGS filed a declaratory judgment action and injunction against the Province of Santa Cruz in the Supreme Court of Argentina to invalidate illegitimate stamp taxes assessed against it.</w:t>
      </w:r>
    </w:p>
    <w:p>
      <w:pPr>
        <w:pStyle w:val="Normal"/>
        <w:numPr>
          <w:ilvl w:val="0"/>
          <w:numId w:val="64"/>
        </w:numPr>
        <w:tabs>
          <w:tab w:val="clear" w:pos="720"/>
          <w:tab w:val="left" w:pos="1080" w:leader="none"/>
        </w:tabs>
        <w:ind w:hanging="360" w:start="1800" w:end="0"/>
        <w:rPr>
          <w:rFonts w:ascii="Arial" w:hAnsi="Arial" w:cs="Arial"/>
          <w:sz w:val="24"/>
        </w:rPr>
      </w:pPr>
      <w:r>
        <w:rPr>
          <w:rFonts w:cs="Arial" w:ascii="Arial" w:hAnsi="Arial"/>
          <w:sz w:val="24"/>
        </w:rPr>
        <w:t>TGS claims that Santa Cruz assessed these stamp taxes on the basis of an inappropriate interpretation of the tax code applied retroactively five years plus interest and penalties.</w:t>
      </w:r>
    </w:p>
    <w:p>
      <w:pPr>
        <w:pStyle w:val="Normal"/>
        <w:numPr>
          <w:ilvl w:val="0"/>
          <w:numId w:val="64"/>
        </w:numPr>
        <w:tabs>
          <w:tab w:val="clear" w:pos="720"/>
          <w:tab w:val="left" w:pos="1080" w:leader="none"/>
        </w:tabs>
        <w:ind w:hanging="360" w:start="1800" w:end="0"/>
        <w:rPr>
          <w:rFonts w:ascii="Arial" w:hAnsi="Arial" w:cs="Arial"/>
          <w:sz w:val="24"/>
        </w:rPr>
      </w:pPr>
      <w:r>
        <w:rPr>
          <w:rFonts w:cs="Arial" w:ascii="Arial" w:hAnsi="Arial"/>
          <w:sz w:val="24"/>
        </w:rPr>
        <w:t xml:space="preserve">In July of 2000 the Supreme Court preliminarily agreed to hear the case. </w:t>
      </w:r>
    </w:p>
    <w:p>
      <w:pPr>
        <w:pStyle w:val="Normal"/>
        <w:numPr>
          <w:ilvl w:val="0"/>
          <w:numId w:val="64"/>
        </w:numPr>
        <w:tabs>
          <w:tab w:val="clear" w:pos="720"/>
          <w:tab w:val="left" w:pos="1080" w:leader="none"/>
        </w:tabs>
        <w:ind w:hanging="360" w:start="1800" w:end="0"/>
        <w:rPr>
          <w:rFonts w:ascii="Arial" w:hAnsi="Arial" w:cs="Arial"/>
          <w:b/>
          <w:bCs/>
          <w:sz w:val="24"/>
        </w:rPr>
      </w:pPr>
      <w:r>
        <w:rPr>
          <w:rFonts w:cs="Arial" w:ascii="Arial" w:hAnsi="Arial"/>
          <w:b/>
          <w:bCs/>
          <w:sz w:val="24"/>
        </w:rPr>
        <w:t>In late March 2001, the Supreme Court granted TGS an injunction against payment of the tax pending resolution on the merits.</w:t>
      </w:r>
    </w:p>
    <w:p>
      <w:pPr>
        <w:pStyle w:val="Normal"/>
        <w:ind w:start="1440" w:end="0"/>
        <w:jc w:val="both"/>
        <w:rPr>
          <w:rFonts w:ascii="Arial" w:hAnsi="Arial" w:cs="Arial"/>
          <w:b/>
          <w:bCs/>
          <w:sz w:val="24"/>
        </w:rPr>
      </w:pPr>
      <w:r>
        <w:rPr>
          <w:rFonts w:cs="Arial" w:ascii="Arial" w:hAnsi="Arial"/>
          <w:b/>
          <w:bCs/>
          <w:sz w:val="24"/>
        </w:rPr>
      </w:r>
    </w:p>
    <w:p>
      <w:pPr>
        <w:pStyle w:val="Normal"/>
        <w:keepNext w:val="true"/>
        <w:keepLines/>
        <w:tabs>
          <w:tab w:val="clear" w:pos="720"/>
          <w:tab w:val="left" w:pos="7740" w:leader="none"/>
        </w:tabs>
        <w:ind w:start="1440" w:end="0"/>
        <w:rPr/>
      </w:pPr>
      <w:r>
        <w:rPr>
          <w:rFonts w:cs="Arial" w:ascii="Arial" w:hAnsi="Arial"/>
          <w:b/>
          <w:sz w:val="24"/>
          <w:u w:val="single"/>
        </w:rPr>
        <w:t>TGS v. The Province of Rio Negro</w:t>
      </w:r>
      <w:r>
        <w:rPr>
          <w:rFonts w:cs="Arial" w:ascii="Arial" w:hAnsi="Arial"/>
          <w:b/>
          <w:sz w:val="24"/>
        </w:rPr>
        <w:tab/>
        <w:t>(Updated)</w:t>
      </w:r>
    </w:p>
    <w:p>
      <w:pPr>
        <w:pStyle w:val="Normal"/>
        <w:ind w:start="1440" w:end="0"/>
        <w:rPr>
          <w:rFonts w:ascii="Arial" w:hAnsi="Arial" w:cs="Arial"/>
          <w:sz w:val="24"/>
        </w:rPr>
      </w:pPr>
      <w:r>
        <w:rPr>
          <w:rFonts w:cs="Arial" w:ascii="Arial" w:hAnsi="Arial"/>
          <w:sz w:val="24"/>
        </w:rPr>
        <w:t>(Federal Supreme Court of Argentina) (Enrique Bulit Goni) ($350 million) (Enron's Interest: 35%)</w:t>
      </w:r>
    </w:p>
    <w:p>
      <w:pPr>
        <w:pStyle w:val="Normal"/>
        <w:ind w:start="1440" w:end="0"/>
        <w:jc w:val="both"/>
        <w:rPr>
          <w:rFonts w:ascii="Arial" w:hAnsi="Arial" w:cs="Arial"/>
          <w:sz w:val="24"/>
        </w:rPr>
      </w:pPr>
      <w:r>
        <w:rPr>
          <w:rFonts w:cs="Arial" w:ascii="Arial" w:hAnsi="Arial"/>
          <w:sz w:val="24"/>
        </w:rPr>
      </w:r>
    </w:p>
    <w:p>
      <w:pPr>
        <w:pStyle w:val="Normal"/>
        <w:numPr>
          <w:ilvl w:val="0"/>
          <w:numId w:val="109"/>
        </w:numPr>
        <w:tabs>
          <w:tab w:val="clear" w:pos="720"/>
          <w:tab w:val="left" w:pos="1800" w:leader="none"/>
        </w:tabs>
        <w:ind w:hanging="360" w:start="1800" w:end="0"/>
        <w:jc w:val="both"/>
        <w:rPr>
          <w:rFonts w:ascii="Arial" w:hAnsi="Arial" w:cs="Arial"/>
          <w:sz w:val="24"/>
        </w:rPr>
      </w:pPr>
      <w:r>
        <w:rPr>
          <w:rFonts w:cs="Arial" w:ascii="Arial" w:hAnsi="Arial"/>
          <w:sz w:val="24"/>
        </w:rPr>
        <w:t xml:space="preserve">TGS filed its final administrative appeal to suspend the assessment of the stamp tax in Rio Negro </w:t>
      </w:r>
      <w:r>
        <w:rPr>
          <w:rFonts w:cs="Arial" w:ascii="Arial" w:hAnsi="Arial"/>
          <w:b/>
          <w:bCs/>
          <w:sz w:val="24"/>
        </w:rPr>
        <w:t>which could be rejected any day.  Once</w:t>
      </w:r>
      <w:r>
        <w:rPr>
          <w:rFonts w:cs="Arial" w:ascii="Arial" w:hAnsi="Arial"/>
          <w:sz w:val="24"/>
        </w:rPr>
        <w:t xml:space="preserve"> Rio Negro rejects the </w:t>
      </w:r>
      <w:r>
        <w:rPr>
          <w:rFonts w:cs="Arial" w:ascii="Arial" w:hAnsi="Arial"/>
          <w:b/>
          <w:bCs/>
          <w:sz w:val="24"/>
        </w:rPr>
        <w:t xml:space="preserve">appeal </w:t>
      </w:r>
      <w:r>
        <w:rPr>
          <w:rFonts w:cs="Arial" w:ascii="Arial" w:hAnsi="Arial"/>
          <w:sz w:val="24"/>
        </w:rPr>
        <w:t>(and it will), the province may start collection proceedings</w:t>
      </w:r>
      <w:r>
        <w:rPr>
          <w:rFonts w:cs="Arial" w:ascii="Arial" w:hAnsi="Arial"/>
          <w:b/>
          <w:bCs/>
          <w:sz w:val="24"/>
        </w:rPr>
        <w:t>, and TGS waives</w:t>
      </w:r>
      <w:r>
        <w:rPr>
          <w:rFonts w:cs="Arial" w:ascii="Arial" w:hAnsi="Arial"/>
          <w:sz w:val="24"/>
        </w:rPr>
        <w:t xml:space="preserve"> its right to seek an injunction from the federal Supreme Court.</w:t>
      </w:r>
    </w:p>
    <w:p>
      <w:pPr>
        <w:pStyle w:val="Normal"/>
        <w:numPr>
          <w:ilvl w:val="0"/>
          <w:numId w:val="109"/>
        </w:numPr>
        <w:tabs>
          <w:tab w:val="clear" w:pos="720"/>
          <w:tab w:val="left" w:pos="1800" w:leader="none"/>
        </w:tabs>
        <w:ind w:hanging="360" w:start="1800" w:end="0"/>
        <w:jc w:val="both"/>
        <w:rPr>
          <w:rFonts w:ascii="Arial" w:hAnsi="Arial" w:cs="Arial"/>
          <w:sz w:val="24"/>
        </w:rPr>
      </w:pPr>
      <w:r>
        <w:rPr>
          <w:rFonts w:cs="Arial" w:ascii="Arial" w:hAnsi="Arial"/>
          <w:sz w:val="24"/>
        </w:rPr>
        <w:t xml:space="preserve">Accordingly, on March 20, 2001, TGS filed a declaratory action and application for an injunction against the Province of Rio Negro in the Supreme Court of Argentina. </w:t>
      </w:r>
    </w:p>
    <w:p>
      <w:pPr>
        <w:pStyle w:val="Normal"/>
        <w:numPr>
          <w:ilvl w:val="0"/>
          <w:numId w:val="145"/>
        </w:numPr>
        <w:tabs>
          <w:tab w:val="clear" w:pos="720"/>
          <w:tab w:val="left" w:pos="1800" w:leader="none"/>
        </w:tabs>
        <w:spacing w:lineRule="atLeast" w:line="240"/>
        <w:ind w:hanging="360" w:start="1800" w:end="0"/>
        <w:rPr>
          <w:rFonts w:ascii="Arial" w:hAnsi="Arial" w:cs="Arial"/>
          <w:b/>
          <w:bCs/>
          <w:color w:val="000000"/>
          <w:sz w:val="24"/>
        </w:rPr>
      </w:pPr>
      <w:r>
        <w:rPr>
          <w:rFonts w:cs="Arial" w:ascii="Arial" w:hAnsi="Arial"/>
          <w:b/>
          <w:bCs/>
          <w:color w:val="000000"/>
          <w:sz w:val="24"/>
        </w:rPr>
        <w:t>On April 10, 2000, the Argentina Supreme Court granted TGS an injunction against payment of the tax pending resolution of the matter.</w:t>
      </w:r>
    </w:p>
    <w:p>
      <w:pPr>
        <w:pStyle w:val="Normal"/>
        <w:ind w:start="1440" w:end="0"/>
        <w:jc w:val="both"/>
        <w:rPr>
          <w:rFonts w:ascii="Arial" w:hAnsi="Arial" w:cs="Arial"/>
          <w:b/>
          <w:bCs/>
          <w:color w:val="000000"/>
          <w:sz w:val="24"/>
        </w:rPr>
      </w:pPr>
      <w:r>
        <w:rPr>
          <w:rFonts w:cs="Arial" w:ascii="Arial" w:hAnsi="Arial"/>
          <w:b/>
          <w:bCs/>
          <w:color w:val="000000"/>
          <w:sz w:val="24"/>
        </w:rPr>
      </w:r>
    </w:p>
    <w:p>
      <w:pPr>
        <w:pStyle w:val="Normal"/>
        <w:keepNext w:val="true"/>
        <w:keepLines/>
        <w:tabs>
          <w:tab w:val="clear" w:pos="720"/>
          <w:tab w:val="left" w:pos="7740" w:leader="none"/>
        </w:tabs>
        <w:ind w:start="1440" w:end="0"/>
        <w:rPr/>
      </w:pPr>
      <w:r>
        <w:rPr>
          <w:rFonts w:cs="Arial" w:ascii="Arial" w:hAnsi="Arial"/>
          <w:b/>
          <w:sz w:val="24"/>
          <w:u w:val="single"/>
        </w:rPr>
        <w:t>Gas del Estado v. TGS</w:t>
      </w:r>
      <w:r>
        <w:rPr>
          <w:rFonts w:cs="Arial" w:ascii="Arial" w:hAnsi="Arial"/>
          <w:b/>
          <w:sz w:val="24"/>
        </w:rPr>
        <w:tab/>
        <w:t>(Not Updated)</w:t>
      </w:r>
    </w:p>
    <w:p>
      <w:pPr>
        <w:pStyle w:val="Normal"/>
        <w:keepNext w:val="true"/>
        <w:keepLines/>
        <w:tabs>
          <w:tab w:val="clear" w:pos="720"/>
          <w:tab w:val="left" w:pos="7740" w:leader="none"/>
        </w:tabs>
        <w:ind w:start="1440" w:end="0"/>
        <w:rPr>
          <w:rFonts w:ascii="Arial" w:hAnsi="Arial" w:cs="Arial"/>
          <w:sz w:val="24"/>
        </w:rPr>
      </w:pPr>
      <w:r>
        <w:rPr>
          <w:rFonts w:cs="Arial" w:ascii="Arial" w:hAnsi="Arial"/>
          <w:sz w:val="24"/>
        </w:rPr>
        <w:t xml:space="preserve">(National Court of Appeals of Argentina for Administrative Disputes) </w:t>
      </w:r>
    </w:p>
    <w:p>
      <w:pPr>
        <w:pStyle w:val="Normal"/>
        <w:keepNext w:val="true"/>
        <w:keepLines/>
        <w:tabs>
          <w:tab w:val="clear" w:pos="720"/>
          <w:tab w:val="left" w:pos="7740" w:leader="none"/>
        </w:tabs>
        <w:ind w:start="1440" w:end="0"/>
        <w:rPr/>
      </w:pPr>
      <w:r>
        <w:rPr>
          <w:rFonts w:cs="Arial" w:ascii="Arial" w:hAnsi="Arial"/>
          <w:sz w:val="24"/>
        </w:rPr>
        <w:t xml:space="preserve">(Dr. </w:t>
      </w:r>
      <w:r>
        <w:rPr>
          <w:rFonts w:cs="Arial" w:ascii="Arial" w:hAnsi="Arial"/>
          <w:color w:val="000000"/>
          <w:sz w:val="24"/>
        </w:rPr>
        <w:t xml:space="preserve">Jorge Bacqué) (reimbursement of $23 million) </w:t>
      </w:r>
      <w:r>
        <w:rPr>
          <w:rFonts w:cs="Arial" w:ascii="Arial" w:hAnsi="Arial"/>
          <w:sz w:val="24"/>
        </w:rPr>
        <w:t>(Enron’s Interest: 35%)</w:t>
      </w:r>
    </w:p>
    <w:p>
      <w:pPr>
        <w:pStyle w:val="Normal"/>
        <w:keepNext w:val="true"/>
        <w:keepLines/>
        <w:tabs>
          <w:tab w:val="clear" w:pos="720"/>
          <w:tab w:val="left" w:pos="7740" w:leader="none"/>
        </w:tabs>
        <w:ind w:start="1440" w:end="0"/>
        <w:rPr>
          <w:rFonts w:ascii="Arial" w:hAnsi="Arial" w:cs="Arial"/>
          <w:sz w:val="24"/>
        </w:rPr>
      </w:pPr>
      <w:r>
        <w:rPr>
          <w:rFonts w:cs="Arial" w:ascii="Arial" w:hAnsi="Arial"/>
          <w:sz w:val="24"/>
        </w:rPr>
      </w:r>
    </w:p>
    <w:p>
      <w:pPr>
        <w:pStyle w:val="Normal"/>
        <w:keepNext w:val="true"/>
        <w:keepLines/>
        <w:numPr>
          <w:ilvl w:val="0"/>
          <w:numId w:val="137"/>
        </w:numPr>
        <w:tabs>
          <w:tab w:val="clear" w:pos="720"/>
          <w:tab w:val="left" w:pos="1800" w:leader="none"/>
          <w:tab w:val="left" w:pos="7740" w:leader="none"/>
        </w:tabs>
        <w:ind w:hanging="360" w:start="1800" w:end="0"/>
        <w:rPr>
          <w:rFonts w:ascii="Arial" w:hAnsi="Arial" w:cs="Arial"/>
          <w:sz w:val="24"/>
        </w:rPr>
      </w:pPr>
      <w:r>
        <w:rPr>
          <w:rFonts w:cs="Arial" w:ascii="Arial" w:hAnsi="Arial"/>
          <w:sz w:val="24"/>
        </w:rPr>
        <w:t xml:space="preserve">In April 1996, Gas del Estado (GdE) filed suit against TGS seeking reimbursement of US$23 million for two compressor plants that were built and transferred to TGS after GdE's privatization.  </w:t>
      </w:r>
    </w:p>
    <w:p>
      <w:pPr>
        <w:pStyle w:val="Normal"/>
        <w:numPr>
          <w:ilvl w:val="0"/>
          <w:numId w:val="90"/>
        </w:numPr>
        <w:tabs>
          <w:tab w:val="clear" w:pos="720"/>
          <w:tab w:val="left" w:pos="1800" w:leader="none"/>
          <w:tab w:val="left" w:pos="7740" w:leader="none"/>
        </w:tabs>
        <w:ind w:hanging="360" w:start="1800" w:end="0"/>
        <w:rPr>
          <w:rFonts w:ascii="Arial" w:hAnsi="Arial" w:cs="Arial"/>
          <w:sz w:val="24"/>
        </w:rPr>
      </w:pPr>
      <w:r>
        <w:rPr>
          <w:rFonts w:cs="Arial" w:ascii="Arial" w:hAnsi="Arial"/>
          <w:sz w:val="24"/>
        </w:rPr>
        <w:t xml:space="preserve">TGS defended the suit claiming the compressor plants were included in list of assets transferred to TGS according to the privatization agreement, and were paid for at that time. </w:t>
      </w:r>
    </w:p>
    <w:p>
      <w:pPr>
        <w:pStyle w:val="Normal"/>
        <w:numPr>
          <w:ilvl w:val="0"/>
          <w:numId w:val="137"/>
        </w:numPr>
        <w:tabs>
          <w:tab w:val="clear" w:pos="720"/>
          <w:tab w:val="left" w:pos="1800" w:leader="none"/>
          <w:tab w:val="left" w:pos="7740" w:leader="none"/>
        </w:tabs>
        <w:ind w:hanging="360" w:start="1800" w:end="0"/>
        <w:rPr>
          <w:rFonts w:ascii="Arial" w:hAnsi="Arial" w:cs="Arial"/>
          <w:sz w:val="24"/>
        </w:rPr>
      </w:pPr>
      <w:r>
        <w:rPr>
          <w:rFonts w:cs="Arial" w:ascii="Arial" w:hAnsi="Arial"/>
          <w:sz w:val="24"/>
        </w:rPr>
        <w:t>The court of first instance ruled in favor of GdE.</w:t>
      </w:r>
    </w:p>
    <w:p>
      <w:pPr>
        <w:pStyle w:val="Normal"/>
        <w:numPr>
          <w:ilvl w:val="0"/>
          <w:numId w:val="88"/>
        </w:numPr>
        <w:tabs>
          <w:tab w:val="clear" w:pos="720"/>
          <w:tab w:val="left" w:pos="1800" w:leader="none"/>
          <w:tab w:val="left" w:pos="7740" w:leader="none"/>
        </w:tabs>
        <w:ind w:hanging="360" w:start="1800" w:end="0"/>
        <w:rPr>
          <w:rFonts w:ascii="Arial" w:hAnsi="Arial" w:cs="Arial"/>
          <w:sz w:val="24"/>
        </w:rPr>
      </w:pPr>
      <w:r>
        <w:rPr>
          <w:rFonts w:cs="Arial" w:ascii="Arial" w:hAnsi="Arial"/>
          <w:sz w:val="24"/>
        </w:rPr>
        <w:t xml:space="preserve">TGS appealed this ruling.  A decision is expected in the </w:t>
      </w:r>
      <w:r>
        <w:rPr>
          <w:rFonts w:cs="Arial" w:ascii="Arial" w:hAnsi="Arial"/>
          <w:bCs/>
          <w:sz w:val="24"/>
        </w:rPr>
        <w:t xml:space="preserve">second </w:t>
      </w:r>
      <w:r>
        <w:rPr>
          <w:rFonts w:cs="Arial" w:ascii="Arial" w:hAnsi="Arial"/>
          <w:sz w:val="24"/>
        </w:rPr>
        <w:t>quarter 2001.</w:t>
      </w:r>
    </w:p>
    <w:p>
      <w:pPr>
        <w:pStyle w:val="Normal"/>
        <w:tabs>
          <w:tab w:val="clear" w:pos="720"/>
          <w:tab w:val="left" w:pos="7740" w:leader="none"/>
        </w:tabs>
        <w:ind w:start="720" w:end="0"/>
        <w:rPr>
          <w:rFonts w:ascii="Arial" w:hAnsi="Arial" w:cs="Arial"/>
          <w:sz w:val="24"/>
        </w:rPr>
      </w:pPr>
      <w:r>
        <w:rPr>
          <w:rFonts w:cs="Arial" w:ascii="Arial" w:hAnsi="Arial"/>
          <w:sz w:val="24"/>
        </w:rPr>
      </w:r>
    </w:p>
    <w:p>
      <w:pPr>
        <w:pStyle w:val="Normal"/>
        <w:tabs>
          <w:tab w:val="clear" w:pos="720"/>
          <w:tab w:val="left" w:pos="7740" w:leader="none"/>
        </w:tabs>
        <w:ind w:start="1440" w:end="0"/>
        <w:rPr/>
      </w:pPr>
      <w:r>
        <w:rPr>
          <w:rFonts w:cs="Arial" w:ascii="Arial" w:hAnsi="Arial"/>
          <w:b/>
          <w:sz w:val="24"/>
          <w:u w:val="single"/>
        </w:rPr>
        <w:t>PPI Tariff Increase</w:t>
      </w:r>
      <w:r>
        <w:rPr>
          <w:rFonts w:cs="Arial" w:ascii="Arial" w:hAnsi="Arial"/>
          <w:b/>
          <w:sz w:val="24"/>
        </w:rPr>
        <w:tab/>
        <w:t>(Updated)</w:t>
      </w:r>
    </w:p>
    <w:p>
      <w:pPr>
        <w:pStyle w:val="Normal"/>
        <w:keepNext w:val="true"/>
        <w:keepLines/>
        <w:tabs>
          <w:tab w:val="clear" w:pos="720"/>
          <w:tab w:val="left" w:pos="7740" w:leader="none"/>
        </w:tabs>
        <w:ind w:start="1440" w:end="0"/>
        <w:rPr>
          <w:rFonts w:ascii="Arial" w:hAnsi="Arial" w:cs="Arial"/>
          <w:sz w:val="24"/>
        </w:rPr>
      </w:pPr>
      <w:r>
        <w:rPr>
          <w:rFonts w:cs="Arial" w:ascii="Arial" w:hAnsi="Arial"/>
          <w:sz w:val="24"/>
        </w:rPr>
        <w:t>(Argentina Federal District Court on Administrative Matters) ($30 million) (Enron’s Interest: 35%)</w:t>
      </w:r>
    </w:p>
    <w:p>
      <w:pPr>
        <w:pStyle w:val="Normal"/>
        <w:keepNext w:val="true"/>
        <w:keepLines/>
        <w:tabs>
          <w:tab w:val="clear" w:pos="720"/>
          <w:tab w:val="left" w:pos="7740" w:leader="none"/>
        </w:tabs>
        <w:ind w:start="1440" w:end="0"/>
        <w:rPr>
          <w:rFonts w:ascii="Arial" w:hAnsi="Arial" w:cs="Arial"/>
          <w:sz w:val="24"/>
        </w:rPr>
      </w:pPr>
      <w:r>
        <w:rPr>
          <w:rFonts w:cs="Arial" w:ascii="Arial" w:hAnsi="Arial"/>
          <w:sz w:val="24"/>
        </w:rPr>
      </w:r>
    </w:p>
    <w:p>
      <w:pPr>
        <w:pStyle w:val="Normal"/>
        <w:keepLines/>
        <w:numPr>
          <w:ilvl w:val="0"/>
          <w:numId w:val="69"/>
        </w:numPr>
        <w:tabs>
          <w:tab w:val="clear" w:pos="720"/>
          <w:tab w:val="left" w:pos="1800" w:leader="none"/>
          <w:tab w:val="left" w:pos="7740" w:leader="none"/>
        </w:tabs>
        <w:ind w:hanging="360" w:start="1800" w:end="0"/>
        <w:rPr>
          <w:rFonts w:ascii="Arial" w:hAnsi="Arial" w:cs="Arial"/>
          <w:sz w:val="24"/>
        </w:rPr>
      </w:pPr>
      <w:r>
        <w:rPr>
          <w:rFonts w:cs="Arial" w:ascii="Arial" w:hAnsi="Arial"/>
          <w:sz w:val="24"/>
        </w:rPr>
        <w:t xml:space="preserve">TGS was recently denied its right under Argentine law and the privatization agreement to increase its tariff based on the Producer Price Index (PPI) in the U.S.  Since the privatization of Gas del Estado in 1992, TGS has increased its tariff every 6 months in accordance with the PPI, generally by approximately .05%.  Because of the increase in oil prices in the U.S. in 1999, the PPI increased 3% in January 2000. </w:t>
      </w:r>
    </w:p>
    <w:p>
      <w:pPr>
        <w:pStyle w:val="Normal"/>
        <w:keepNext w:val="true"/>
        <w:keepLines/>
        <w:numPr>
          <w:ilvl w:val="0"/>
          <w:numId w:val="69"/>
        </w:numPr>
        <w:tabs>
          <w:tab w:val="clear" w:pos="720"/>
          <w:tab w:val="left" w:pos="1800" w:leader="none"/>
          <w:tab w:val="left" w:pos="7740" w:leader="none"/>
        </w:tabs>
        <w:ind w:hanging="360" w:start="1800" w:end="0"/>
        <w:rPr>
          <w:rFonts w:ascii="Arial" w:hAnsi="Arial" w:cs="Arial"/>
          <w:sz w:val="24"/>
        </w:rPr>
      </w:pPr>
      <w:r>
        <w:rPr>
          <w:rFonts w:cs="Arial" w:ascii="Arial" w:hAnsi="Arial"/>
          <w:sz w:val="24"/>
        </w:rPr>
        <w:t xml:space="preserve">At the federal government’s request, TGS and others entered into an executive decree to defer the PPI tariff increase until July 2000.  Unfortunately, the PPI did not decrease as the federal government expected, but increased another 5.8%.  </w:t>
      </w:r>
    </w:p>
    <w:p>
      <w:pPr>
        <w:pStyle w:val="Normal"/>
        <w:keepNext w:val="true"/>
        <w:keepLines/>
        <w:numPr>
          <w:ilvl w:val="0"/>
          <w:numId w:val="69"/>
        </w:numPr>
        <w:tabs>
          <w:tab w:val="clear" w:pos="720"/>
          <w:tab w:val="left" w:pos="1800" w:leader="none"/>
          <w:tab w:val="left" w:pos="7740" w:leader="none"/>
        </w:tabs>
        <w:ind w:hanging="360" w:start="1800" w:end="0"/>
        <w:rPr>
          <w:rFonts w:ascii="Arial" w:hAnsi="Arial" w:cs="Arial"/>
          <w:sz w:val="24"/>
        </w:rPr>
      </w:pPr>
      <w:r>
        <w:rPr>
          <w:rFonts w:cs="Arial" w:ascii="Arial" w:hAnsi="Arial"/>
          <w:sz w:val="24"/>
        </w:rPr>
        <w:t xml:space="preserve">The Argentina Ombudsman obtained an injunction to prevent TGS and others from increasing the tariff.  The impact on TGS is approximately $30M.  </w:t>
      </w:r>
    </w:p>
    <w:p>
      <w:pPr>
        <w:pStyle w:val="Normal"/>
        <w:keepNext w:val="true"/>
        <w:keepLines/>
        <w:numPr>
          <w:ilvl w:val="0"/>
          <w:numId w:val="69"/>
        </w:numPr>
        <w:tabs>
          <w:tab w:val="clear" w:pos="720"/>
          <w:tab w:val="left" w:pos="1800" w:leader="none"/>
          <w:tab w:val="left" w:pos="7740" w:leader="none"/>
        </w:tabs>
        <w:ind w:hanging="360" w:start="1800" w:end="0"/>
        <w:rPr>
          <w:rFonts w:ascii="Arial" w:hAnsi="Arial" w:cs="Arial"/>
          <w:sz w:val="24"/>
        </w:rPr>
      </w:pPr>
      <w:r>
        <w:rPr>
          <w:rFonts w:cs="Arial" w:ascii="Arial" w:hAnsi="Arial"/>
          <w:sz w:val="24"/>
        </w:rPr>
        <w:t xml:space="preserve">The Ministry of Economy and ENARGAS have appealed the decision.  </w:t>
      </w:r>
    </w:p>
    <w:p>
      <w:pPr>
        <w:pStyle w:val="Normal"/>
        <w:keepNext w:val="true"/>
        <w:keepLines/>
        <w:numPr>
          <w:ilvl w:val="0"/>
          <w:numId w:val="69"/>
        </w:numPr>
        <w:tabs>
          <w:tab w:val="clear" w:pos="720"/>
          <w:tab w:val="left" w:pos="1800" w:leader="none"/>
          <w:tab w:val="left" w:pos="7740" w:leader="none"/>
        </w:tabs>
        <w:ind w:hanging="360" w:start="1800" w:end="0"/>
        <w:rPr>
          <w:rFonts w:ascii="Arial" w:hAnsi="Arial" w:cs="Arial"/>
          <w:b/>
          <w:bCs/>
          <w:sz w:val="24"/>
        </w:rPr>
      </w:pPr>
      <w:r>
        <w:rPr>
          <w:rFonts w:cs="Arial" w:ascii="Arial" w:hAnsi="Arial"/>
          <w:b/>
          <w:bCs/>
          <w:sz w:val="24"/>
        </w:rPr>
        <w:t>Although TGS has not been served with the injunction, TGS filed its appeal against the court’s decision because the injunction affects TGS’ right to adjust its rates.  The appeals court indicated it will not rule on this issue before July 2001.</w:t>
      </w:r>
    </w:p>
    <w:p>
      <w:pPr>
        <w:pStyle w:val="Normal"/>
        <w:numPr>
          <w:ilvl w:val="0"/>
          <w:numId w:val="69"/>
        </w:numPr>
        <w:tabs>
          <w:tab w:val="clear" w:pos="720"/>
          <w:tab w:val="left" w:pos="1800" w:leader="none"/>
          <w:tab w:val="left" w:pos="7740" w:leader="none"/>
        </w:tabs>
        <w:ind w:hanging="360" w:start="1800" w:end="0"/>
        <w:rPr>
          <w:rFonts w:ascii="Arial" w:hAnsi="Arial" w:cs="Arial"/>
          <w:b/>
          <w:bCs/>
          <w:sz w:val="24"/>
        </w:rPr>
      </w:pPr>
      <w:r>
        <w:rPr>
          <w:rFonts w:cs="Arial" w:ascii="Arial" w:hAnsi="Arial"/>
          <w:b/>
          <w:bCs/>
          <w:sz w:val="24"/>
        </w:rPr>
        <w:t>CMS Energy is bringing a BIT claim on this issue at the International Center for the Settlement of Investment Disputes.</w:t>
      </w:r>
    </w:p>
    <w:p>
      <w:pPr>
        <w:pStyle w:val="Heading5"/>
        <w:ind w:hanging="0" w:start="0"/>
        <w:rPr>
          <w:rFonts w:ascii="Arial" w:hAnsi="Arial" w:cs="Arial"/>
          <w:b w:val="false"/>
          <w:bCs/>
          <w:sz w:val="24"/>
        </w:rPr>
      </w:pPr>
      <w:r>
        <w:rPr>
          <w:rFonts w:cs="Arial"/>
          <w:b w:val="false"/>
          <w:bCs/>
          <w:sz w:val="24"/>
        </w:rPr>
      </w:r>
    </w:p>
    <w:p>
      <w:pPr>
        <w:pStyle w:val="Heading6"/>
        <w:ind w:hanging="0" w:start="0"/>
        <w:rPr/>
      </w:pPr>
      <w:r>
        <w:rPr/>
      </w:r>
    </w:p>
    <w:p>
      <w:pPr>
        <w:pStyle w:val="Normal"/>
        <w:ind w:start="720" w:end="0"/>
        <w:rPr/>
      </w:pPr>
      <w:r>
        <w:rPr/>
      </w:r>
    </w:p>
    <w:p>
      <w:pPr>
        <w:pStyle w:val="Normal"/>
        <w:tabs>
          <w:tab w:val="clear" w:pos="720"/>
          <w:tab w:val="left" w:pos="7740" w:leader="none"/>
        </w:tabs>
        <w:ind w:start="1440" w:end="0"/>
        <w:jc w:val="both"/>
        <w:rPr>
          <w:rFonts w:ascii="Arial" w:hAnsi="Arial" w:cs="Arial"/>
          <w:b/>
          <w:i/>
          <w:i/>
          <w:sz w:val="24"/>
        </w:rPr>
      </w:pPr>
      <w:r>
        <w:rPr>
          <w:rFonts w:cs="Arial" w:ascii="Arial" w:hAnsi="Arial"/>
          <w:b/>
          <w:sz w:val="24"/>
        </w:rPr>
        <w:t>Argentina Stamp Tax Matters</w:t>
      </w:r>
      <w:r>
        <w:rPr>
          <w:rFonts w:cs="Arial" w:ascii="Arial" w:hAnsi="Arial"/>
          <w:b/>
          <w:i/>
          <w:sz w:val="24"/>
        </w:rPr>
        <w:tab/>
      </w:r>
      <w:r>
        <w:rPr>
          <w:rFonts w:cs="Arial" w:ascii="Arial" w:hAnsi="Arial"/>
          <w:b/>
          <w:sz w:val="24"/>
        </w:rPr>
        <w:t>(Updated)</w:t>
      </w:r>
    </w:p>
    <w:p>
      <w:pPr>
        <w:pStyle w:val="Normal"/>
        <w:ind w:start="1440" w:end="0"/>
        <w:jc w:val="both"/>
        <w:rPr/>
      </w:pPr>
      <w:r>
        <w:rPr>
          <w:rFonts w:cs="Arial" w:ascii="Arial" w:hAnsi="Arial"/>
          <w:sz w:val="24"/>
        </w:rPr>
        <w:t>(Guido Tawil/M.&amp;M. Bomchil) (Doak Bishop/King &amp; Spalding) (Cristian Rosso Alba/Hope, Duggan &amp; Silva)</w:t>
      </w:r>
      <w:r>
        <w:rPr>
          <w:rFonts w:cs="Arial" w:ascii="Arial" w:hAnsi="Arial"/>
          <w:b/>
          <w:bCs/>
          <w:sz w:val="24"/>
        </w:rPr>
        <w:t xml:space="preserve"> </w:t>
      </w:r>
      <w:r>
        <w:rPr>
          <w:rFonts w:cs="Arial" w:ascii="Arial" w:hAnsi="Arial"/>
          <w:sz w:val="24"/>
        </w:rPr>
        <w:t>($663 million as of June 30, 2000) (Enron’s Interest: 35%)</w:t>
      </w:r>
    </w:p>
    <w:p>
      <w:pPr>
        <w:pStyle w:val="Normal"/>
        <w:tabs>
          <w:tab w:val="clear" w:pos="720"/>
          <w:tab w:val="left" w:pos="1080" w:leader="none"/>
          <w:tab w:val="left" w:pos="7740" w:leader="none"/>
        </w:tabs>
        <w:ind w:start="1080" w:end="0"/>
        <w:jc w:val="both"/>
        <w:rPr>
          <w:rFonts w:ascii="Arial" w:hAnsi="Arial" w:cs="Arial"/>
          <w:sz w:val="24"/>
        </w:rPr>
      </w:pPr>
      <w:r>
        <w:rPr>
          <w:rFonts w:cs="Arial" w:ascii="Arial" w:hAnsi="Arial"/>
          <w:sz w:val="24"/>
        </w:rPr>
      </w:r>
    </w:p>
    <w:p>
      <w:pPr>
        <w:pStyle w:val="Normal"/>
        <w:numPr>
          <w:ilvl w:val="0"/>
          <w:numId w:val="143"/>
        </w:numPr>
        <w:tabs>
          <w:tab w:val="clear" w:pos="720"/>
          <w:tab w:val="left" w:pos="1800" w:leader="none"/>
        </w:tabs>
        <w:spacing w:lineRule="atLeast" w:line="240"/>
        <w:ind w:hanging="360" w:start="1800" w:end="0"/>
        <w:rPr>
          <w:rFonts w:ascii="Arial" w:hAnsi="Arial" w:cs="Arial"/>
          <w:color w:val="000000"/>
          <w:sz w:val="24"/>
        </w:rPr>
      </w:pPr>
      <w:r>
        <w:rPr>
          <w:rFonts w:cs="Arial" w:ascii="Arial" w:hAnsi="Arial"/>
          <w:color w:val="000000"/>
          <w:sz w:val="24"/>
        </w:rPr>
        <w:t>Argentine law imposes a stamp tax on written contracts.  In the past several years, some of the provincial governments have adopted a new and broader interpretation of the tax's application.  These provinces--Rio Negro, Neuquen, and Santa Cruz--have sought to apply this interpretation retroactively.  For TGS, the Enron company most affected, the assessments total $153 million in taxes, $185 million in interest, and $320 million in potential</w:t>
      </w:r>
      <w:r>
        <w:rPr>
          <w:rFonts w:cs="Arial" w:ascii="Arial" w:hAnsi="Arial"/>
          <w:b/>
          <w:color w:val="000000"/>
          <w:sz w:val="24"/>
        </w:rPr>
        <w:t xml:space="preserve"> </w:t>
      </w:r>
      <w:r>
        <w:rPr>
          <w:rFonts w:cs="Arial" w:ascii="Arial" w:hAnsi="Arial"/>
          <w:color w:val="000000"/>
          <w:sz w:val="24"/>
        </w:rPr>
        <w:t>fines, as of June 30, 2000.  Interest accrues on the unpaid tax at the rate of 1.65% monthly.</w:t>
      </w:r>
    </w:p>
    <w:p>
      <w:pPr>
        <w:pStyle w:val="Normal"/>
        <w:numPr>
          <w:ilvl w:val="0"/>
          <w:numId w:val="145"/>
        </w:numPr>
        <w:tabs>
          <w:tab w:val="clear" w:pos="720"/>
          <w:tab w:val="left" w:pos="1800" w:leader="none"/>
        </w:tabs>
        <w:spacing w:lineRule="atLeast" w:line="240"/>
        <w:ind w:hanging="360" w:start="1800" w:end="0"/>
        <w:rPr>
          <w:rFonts w:ascii="Arial" w:hAnsi="Arial" w:cs="Arial"/>
          <w:color w:val="000000"/>
          <w:sz w:val="24"/>
        </w:rPr>
      </w:pPr>
      <w:r>
        <w:rPr>
          <w:rFonts w:cs="Arial" w:ascii="Arial" w:hAnsi="Arial"/>
          <w:color w:val="000000"/>
          <w:sz w:val="24"/>
        </w:rPr>
        <w:t xml:space="preserve">To date, local court challenges to the taxes have been unsuccessful.  TGS has pending before the Argentine Federal Supreme Court an application to declare the taxes unconstitutional and unlawful, but the court has not acted.  Meanwhile, the provinces are free to attempt to collect the taxes, by levy if necessary.  </w:t>
      </w:r>
    </w:p>
    <w:p>
      <w:pPr>
        <w:pStyle w:val="Normal"/>
        <w:numPr>
          <w:ilvl w:val="0"/>
          <w:numId w:val="145"/>
        </w:numPr>
        <w:tabs>
          <w:tab w:val="clear" w:pos="720"/>
          <w:tab w:val="left" w:pos="1800" w:leader="none"/>
        </w:tabs>
        <w:spacing w:lineRule="atLeast" w:line="240"/>
        <w:ind w:hanging="360" w:start="1800" w:end="0"/>
        <w:rPr>
          <w:rFonts w:ascii="Arial" w:hAnsi="Arial" w:cs="Arial"/>
          <w:color w:val="000000"/>
          <w:sz w:val="24"/>
        </w:rPr>
      </w:pPr>
      <w:r>
        <w:rPr>
          <w:rFonts w:cs="Arial" w:ascii="Arial" w:hAnsi="Arial"/>
          <w:color w:val="000000"/>
          <w:sz w:val="24"/>
        </w:rPr>
        <w:t>The federal government expressed the view in a separate case, that the provincial imposition of stamp taxes is illegal.  ENARGAS also expressed its view that the taxes are illegal.  The federal Supreme Court, however, recently denied an application (filed by another company) to enjoin collection of the taxes.</w:t>
      </w:r>
    </w:p>
    <w:p>
      <w:pPr>
        <w:pStyle w:val="Normal"/>
        <w:numPr>
          <w:ilvl w:val="0"/>
          <w:numId w:val="145"/>
        </w:numPr>
        <w:tabs>
          <w:tab w:val="clear" w:pos="720"/>
          <w:tab w:val="left" w:pos="1800" w:leader="none"/>
        </w:tabs>
        <w:spacing w:lineRule="atLeast" w:line="240"/>
        <w:ind w:hanging="360" w:start="1800" w:end="0"/>
        <w:rPr>
          <w:rFonts w:ascii="Arial" w:hAnsi="Arial" w:cs="Arial"/>
          <w:color w:val="000000"/>
          <w:sz w:val="24"/>
        </w:rPr>
      </w:pPr>
      <w:r>
        <w:rPr>
          <w:rFonts w:cs="Arial" w:ascii="Arial" w:hAnsi="Arial"/>
          <w:color w:val="000000"/>
          <w:sz w:val="24"/>
        </w:rPr>
        <w:t xml:space="preserve">On November 23, 1999, Enron notified the federal government that it regarded the imposition of these taxes as a violation of the Bilateral Investment Treaty (BIT) between Argentina and the U.S.  Since that notification, representatives of Enron and the government have held numerous meetings.  Discussions continue with the provincial governments, the federal government, and the court.  The Treaty mandates a six-month negotiation period before arbitration can be initiated.  If the negotiations with the government are unsuccessful, Enron intends to file an arbitration with the International Center for the Settlement of Investment Disputes (ICSID) in Washington, D.C. </w:t>
      </w:r>
    </w:p>
    <w:p>
      <w:pPr>
        <w:pStyle w:val="Normal"/>
        <w:numPr>
          <w:ilvl w:val="0"/>
          <w:numId w:val="145"/>
        </w:numPr>
        <w:tabs>
          <w:tab w:val="clear" w:pos="720"/>
          <w:tab w:val="left" w:pos="1800" w:leader="none"/>
        </w:tabs>
        <w:spacing w:lineRule="atLeast" w:line="240"/>
        <w:ind w:hanging="360" w:start="1800" w:end="0"/>
        <w:rPr>
          <w:rFonts w:ascii="Arial" w:hAnsi="Arial" w:cs="Arial"/>
          <w:color w:val="000000"/>
          <w:sz w:val="24"/>
        </w:rPr>
      </w:pPr>
      <w:r>
        <w:rPr>
          <w:rFonts w:cs="Arial" w:ascii="Arial" w:hAnsi="Arial"/>
          <w:color w:val="000000"/>
          <w:sz w:val="24"/>
        </w:rPr>
        <w:t>Enron has placed its political risk insurers on notice.</w:t>
      </w:r>
    </w:p>
    <w:p>
      <w:pPr>
        <w:pStyle w:val="Normal"/>
        <w:numPr>
          <w:ilvl w:val="0"/>
          <w:numId w:val="145"/>
        </w:numPr>
        <w:tabs>
          <w:tab w:val="clear" w:pos="720"/>
          <w:tab w:val="left" w:pos="1800" w:leader="none"/>
        </w:tabs>
        <w:spacing w:lineRule="atLeast" w:line="240"/>
        <w:ind w:hanging="360" w:start="1800" w:end="0"/>
        <w:rPr>
          <w:rFonts w:ascii="Arial" w:hAnsi="Arial" w:cs="Arial"/>
          <w:color w:val="000000"/>
          <w:sz w:val="24"/>
        </w:rPr>
      </w:pPr>
      <w:r>
        <w:rPr>
          <w:rFonts w:cs="Arial" w:ascii="Arial" w:hAnsi="Arial"/>
          <w:color w:val="000000"/>
          <w:sz w:val="24"/>
        </w:rPr>
        <w:t xml:space="preserve">At the federal government's request, TGS and Enron agreed to a 90-day standstill on all proceedings which ended August 31, 2000, with no resolution. </w:t>
      </w:r>
    </w:p>
    <w:p>
      <w:pPr>
        <w:pStyle w:val="Normal"/>
        <w:numPr>
          <w:ilvl w:val="0"/>
          <w:numId w:val="145"/>
        </w:numPr>
        <w:tabs>
          <w:tab w:val="clear" w:pos="720"/>
          <w:tab w:val="left" w:pos="1800" w:leader="none"/>
        </w:tabs>
        <w:spacing w:lineRule="atLeast" w:line="240"/>
        <w:ind w:hanging="360" w:start="1800" w:end="0"/>
        <w:rPr>
          <w:rFonts w:ascii="Arial" w:hAnsi="Arial" w:cs="Arial"/>
          <w:color w:val="000000"/>
          <w:sz w:val="24"/>
        </w:rPr>
      </w:pPr>
      <w:r>
        <w:rPr>
          <w:rFonts w:cs="Arial" w:ascii="Arial" w:hAnsi="Arial"/>
          <w:color w:val="000000"/>
          <w:sz w:val="24"/>
        </w:rPr>
        <w:t>TGS asserts that any taxes it ultimately is required to pay should be subject to passthrough under this tariff, but ENARGAS gave no written assurance that it would be allowed to do so.</w:t>
      </w:r>
    </w:p>
    <w:p>
      <w:pPr>
        <w:pStyle w:val="Normal"/>
        <w:numPr>
          <w:ilvl w:val="0"/>
          <w:numId w:val="145"/>
        </w:numPr>
        <w:tabs>
          <w:tab w:val="clear" w:pos="720"/>
          <w:tab w:val="left" w:pos="1800" w:leader="none"/>
        </w:tabs>
        <w:spacing w:lineRule="atLeast" w:line="240"/>
        <w:ind w:hanging="360" w:start="1800" w:end="0"/>
        <w:rPr>
          <w:rFonts w:ascii="Arial" w:hAnsi="Arial" w:cs="Arial"/>
          <w:color w:val="000000"/>
          <w:sz w:val="24"/>
        </w:rPr>
      </w:pPr>
      <w:r>
        <w:rPr>
          <w:rFonts w:cs="Arial" w:ascii="Arial" w:hAnsi="Arial"/>
          <w:b/>
          <w:bCs/>
          <w:color w:val="000000"/>
          <w:sz w:val="24"/>
        </w:rPr>
        <w:t xml:space="preserve">In February 2001, </w:t>
      </w:r>
      <w:r>
        <w:rPr>
          <w:rFonts w:cs="Arial" w:ascii="Arial" w:hAnsi="Arial"/>
          <w:color w:val="000000"/>
          <w:sz w:val="24"/>
        </w:rPr>
        <w:t xml:space="preserve">the provinces and the federal government reached a tentative agreement </w:t>
      </w:r>
      <w:r>
        <w:rPr>
          <w:rFonts w:cs="Arial" w:ascii="Arial" w:hAnsi="Arial"/>
          <w:b/>
          <w:bCs/>
          <w:color w:val="000000"/>
          <w:sz w:val="24"/>
        </w:rPr>
        <w:t xml:space="preserve">whereby the provinces would </w:t>
      </w:r>
      <w:r>
        <w:rPr>
          <w:rFonts w:cs="Arial" w:ascii="Arial" w:hAnsi="Arial"/>
          <w:color w:val="000000"/>
          <w:sz w:val="24"/>
        </w:rPr>
        <w:t>eliminate the stamp tax prospectively</w:t>
      </w:r>
      <w:r>
        <w:rPr>
          <w:rFonts w:cs="Arial" w:ascii="Arial" w:hAnsi="Arial"/>
          <w:b/>
          <w:bCs/>
          <w:color w:val="000000"/>
          <w:sz w:val="24"/>
        </w:rPr>
        <w:t xml:space="preserve">, and the federal government would provide an alternative income stream for the provinces.  </w:t>
      </w:r>
      <w:r>
        <w:rPr>
          <w:rFonts w:cs="Arial" w:ascii="Arial" w:hAnsi="Arial"/>
          <w:color w:val="000000"/>
          <w:sz w:val="24"/>
        </w:rPr>
        <w:t>However, it does not eliminate the existing tax assessments against TGS.  Enron filed its Request for Arbitration before the ICSID on February 22, 2001.  The ICSID must register the claim before the process begins, which should occur any day.  Enron is considering whom it will appoint as its arbitrator.</w:t>
      </w:r>
    </w:p>
    <w:p>
      <w:pPr>
        <w:pStyle w:val="Normal"/>
        <w:numPr>
          <w:ilvl w:val="0"/>
          <w:numId w:val="145"/>
        </w:numPr>
        <w:tabs>
          <w:tab w:val="clear" w:pos="720"/>
          <w:tab w:val="left" w:pos="1800" w:leader="none"/>
        </w:tabs>
        <w:spacing w:lineRule="atLeast" w:line="240"/>
        <w:ind w:hanging="360" w:start="1800" w:end="0"/>
        <w:rPr>
          <w:rFonts w:ascii="Arial" w:hAnsi="Arial" w:cs="Arial"/>
          <w:color w:val="000000"/>
          <w:sz w:val="24"/>
        </w:rPr>
      </w:pPr>
      <w:r>
        <w:rPr>
          <w:rFonts w:cs="Arial" w:ascii="Arial" w:hAnsi="Arial"/>
          <w:b/>
          <w:bCs/>
          <w:color w:val="000000"/>
          <w:sz w:val="24"/>
        </w:rPr>
        <w:t>TGS’s Supreme Court action against Rio Negro (discussed above) could have a negative impact on Enron’s ICSID claim, because the BIT requires an election of remedies.  Nevertheless, it is Enron’s position that TGS, not Enron, sought relief in the local courts, thus Enron has not violated the election of remedies requirement.</w:t>
      </w:r>
    </w:p>
    <w:p>
      <w:pPr>
        <w:pStyle w:val="Normal"/>
        <w:numPr>
          <w:ilvl w:val="0"/>
          <w:numId w:val="145"/>
        </w:numPr>
        <w:tabs>
          <w:tab w:val="clear" w:pos="720"/>
          <w:tab w:val="left" w:pos="1800" w:leader="none"/>
        </w:tabs>
        <w:spacing w:lineRule="atLeast" w:line="240"/>
        <w:ind w:hanging="360" w:start="1800" w:end="0"/>
        <w:rPr>
          <w:rFonts w:ascii="Arial" w:hAnsi="Arial" w:cs="Arial"/>
          <w:color w:val="000000"/>
          <w:sz w:val="24"/>
        </w:rPr>
      </w:pPr>
      <w:r>
        <w:rPr>
          <w:rFonts w:cs="Arial" w:ascii="Arial" w:hAnsi="Arial"/>
          <w:b/>
          <w:bCs/>
          <w:color w:val="000000"/>
          <w:sz w:val="24"/>
        </w:rPr>
        <w:t>On April 12, 2001, ICSID officially “registered” Enron claim against the government of Argentina.</w:t>
      </w:r>
    </w:p>
    <w:p>
      <w:pPr>
        <w:pStyle w:val="Normal"/>
        <w:tabs>
          <w:tab w:val="clear" w:pos="720"/>
          <w:tab w:val="left" w:pos="1080" w:leader="none"/>
          <w:tab w:val="left" w:pos="7740" w:leader="none"/>
        </w:tabs>
        <w:ind w:start="720" w:end="0"/>
        <w:jc w:val="both"/>
        <w:rPr>
          <w:rFonts w:ascii="Arial" w:hAnsi="Arial" w:cs="Arial"/>
          <w:color w:val="000000"/>
          <w:sz w:val="24"/>
        </w:rPr>
      </w:pPr>
      <w:r>
        <w:rPr>
          <w:rFonts w:cs="Arial" w:ascii="Arial" w:hAnsi="Arial"/>
          <w:color w:val="000000"/>
          <w:sz w:val="24"/>
        </w:rPr>
      </w:r>
    </w:p>
    <w:p>
      <w:pPr>
        <w:pStyle w:val="Normal"/>
        <w:tabs>
          <w:tab w:val="clear" w:pos="720"/>
          <w:tab w:val="left" w:pos="1080" w:leader="none"/>
          <w:tab w:val="left" w:pos="7740" w:leader="none"/>
        </w:tabs>
        <w:jc w:val="both"/>
        <w:rPr>
          <w:rFonts w:ascii="Arial" w:hAnsi="Arial" w:cs="Arial"/>
          <w:sz w:val="24"/>
        </w:rPr>
      </w:pPr>
      <w:r>
        <w:rPr>
          <w:rFonts w:cs="Arial" w:ascii="Arial" w:hAnsi="Arial"/>
          <w:sz w:val="24"/>
        </w:rPr>
      </w:r>
    </w:p>
    <w:p>
      <w:pPr>
        <w:pStyle w:val="Normal"/>
        <w:numPr>
          <w:ilvl w:val="0"/>
          <w:numId w:val="149"/>
        </w:numPr>
        <w:rPr>
          <w:rFonts w:ascii="Arial" w:hAnsi="Arial" w:cs="Arial"/>
          <w:sz w:val="28"/>
        </w:rPr>
      </w:pPr>
      <w:r>
        <w:rPr>
          <w:rFonts w:cs="Arial" w:ascii="Arial" w:hAnsi="Arial"/>
          <w:b/>
          <w:sz w:val="28"/>
          <w:u w:val="single"/>
        </w:rPr>
        <w:t>Enron America Argentina del Sur S.A.</w:t>
      </w:r>
    </w:p>
    <w:p>
      <w:pPr>
        <w:pStyle w:val="Normal"/>
        <w:rPr>
          <w:rFonts w:ascii="Arial" w:hAnsi="Arial" w:cs="Arial"/>
          <w:sz w:val="24"/>
        </w:rPr>
      </w:pPr>
      <w:r>
        <w:rPr>
          <w:rFonts w:cs="Arial" w:ascii="Arial" w:hAnsi="Arial"/>
          <w:sz w:val="24"/>
        </w:rPr>
      </w:r>
    </w:p>
    <w:p>
      <w:pPr>
        <w:pStyle w:val="Heading4"/>
        <w:numPr>
          <w:ilvl w:val="0"/>
          <w:numId w:val="94"/>
        </w:numPr>
        <w:tabs>
          <w:tab w:val="clear" w:pos="720"/>
        </w:tabs>
        <w:ind w:hanging="720" w:start="1440" w:end="0"/>
        <w:rPr>
          <w:b/>
          <w:u w:val="none"/>
        </w:rPr>
      </w:pPr>
      <w:r>
        <w:rPr>
          <w:b/>
          <w:u w:val="none"/>
        </w:rPr>
        <w:t>LITIGATION/ARBITRATION</w:t>
      </w:r>
    </w:p>
    <w:p>
      <w:pPr>
        <w:pStyle w:val="Normal"/>
        <w:rPr>
          <w:b/>
          <w:u w:val="none"/>
        </w:rPr>
      </w:pPr>
      <w:r>
        <w:rPr>
          <w:b/>
          <w:u w:val="none"/>
        </w:rPr>
      </w:r>
    </w:p>
    <w:p>
      <w:pPr>
        <w:pStyle w:val="Normal"/>
        <w:keepNext w:val="true"/>
        <w:keepLines/>
        <w:tabs>
          <w:tab w:val="clear" w:pos="720"/>
          <w:tab w:val="left" w:pos="7740" w:leader="none"/>
        </w:tabs>
        <w:ind w:start="1440" w:end="0"/>
        <w:rPr>
          <w:rFonts w:ascii="Arial" w:hAnsi="Arial" w:cs="Arial"/>
          <w:b/>
          <w:sz w:val="24"/>
        </w:rPr>
      </w:pPr>
      <w:r>
        <w:rPr>
          <w:rFonts w:cs="Arial" w:ascii="Arial" w:hAnsi="Arial"/>
          <w:b/>
          <w:sz w:val="24"/>
        </w:rPr>
        <w:t>Stamp Tax Dispute Involving Enron Pipeline</w:t>
        <w:tab/>
        <w:t>(Updated)</w:t>
      </w:r>
    </w:p>
    <w:p>
      <w:pPr>
        <w:pStyle w:val="Normal"/>
        <w:keepNext w:val="true"/>
        <w:keepLines/>
        <w:tabs>
          <w:tab w:val="clear" w:pos="720"/>
          <w:tab w:val="left" w:pos="7740" w:leader="none"/>
        </w:tabs>
        <w:ind w:start="1440" w:end="0"/>
        <w:rPr>
          <w:rFonts w:ascii="Arial" w:hAnsi="Arial" w:cs="Arial"/>
          <w:b/>
          <w:sz w:val="24"/>
        </w:rPr>
      </w:pPr>
      <w:r>
        <w:rPr>
          <w:rFonts w:cs="Arial" w:ascii="Arial" w:hAnsi="Arial"/>
          <w:b/>
          <w:sz w:val="24"/>
        </w:rPr>
        <w:t>Company Argentina S.A.</w:t>
      </w:r>
    </w:p>
    <w:p>
      <w:pPr>
        <w:pStyle w:val="Normal"/>
        <w:keepNext w:val="true"/>
        <w:keepLines/>
        <w:ind w:start="1440" w:end="0"/>
        <w:rPr>
          <w:rFonts w:ascii="Arial" w:hAnsi="Arial" w:cs="Arial"/>
          <w:sz w:val="24"/>
        </w:rPr>
      </w:pPr>
      <w:r>
        <w:rPr>
          <w:rFonts w:cs="Arial" w:ascii="Arial" w:hAnsi="Arial"/>
          <w:sz w:val="24"/>
        </w:rPr>
        <w:t xml:space="preserve">(Cristian Rosso Alba/Hope, Duggan &amp; Silva) ($1.1 million tax, $1.5 million interest, plus $4.2 million in potential fines) </w:t>
      </w:r>
    </w:p>
    <w:p>
      <w:pPr>
        <w:pStyle w:val="Normal"/>
        <w:keepNext w:val="true"/>
        <w:keepLines/>
        <w:ind w:start="1440" w:end="0"/>
        <w:rPr>
          <w:rFonts w:ascii="Arial" w:hAnsi="Arial" w:cs="Arial"/>
          <w:sz w:val="24"/>
        </w:rPr>
      </w:pPr>
      <w:r>
        <w:rPr>
          <w:rFonts w:cs="Arial" w:ascii="Arial" w:hAnsi="Arial"/>
          <w:sz w:val="24"/>
        </w:rPr>
      </w:r>
    </w:p>
    <w:p>
      <w:pPr>
        <w:pStyle w:val="Normal"/>
        <w:keepNext w:val="true"/>
        <w:keepLines/>
        <w:numPr>
          <w:ilvl w:val="0"/>
          <w:numId w:val="68"/>
        </w:numPr>
        <w:tabs>
          <w:tab w:val="clear" w:pos="720"/>
          <w:tab w:val="left" w:pos="1800" w:leader="none"/>
          <w:tab w:val="left" w:pos="7740" w:leader="none"/>
        </w:tabs>
        <w:ind w:hanging="360" w:start="1800" w:end="0"/>
        <w:rPr>
          <w:rFonts w:ascii="Arial" w:hAnsi="Arial" w:cs="Arial"/>
          <w:sz w:val="24"/>
        </w:rPr>
      </w:pPr>
      <w:r>
        <w:rPr>
          <w:rFonts w:cs="Arial" w:ascii="Arial" w:hAnsi="Arial"/>
          <w:sz w:val="24"/>
        </w:rPr>
        <w:t>The tax board of the Province of Neuquen has issued a stamp</w:t>
      </w:r>
      <w:r>
        <w:rPr>
          <w:rFonts w:cs="Arial" w:ascii="Arial" w:hAnsi="Arial"/>
          <w:b/>
          <w:sz w:val="24"/>
        </w:rPr>
        <w:t xml:space="preserve"> </w:t>
      </w:r>
      <w:r>
        <w:rPr>
          <w:rFonts w:cs="Arial" w:ascii="Arial" w:hAnsi="Arial"/>
          <w:sz w:val="24"/>
        </w:rPr>
        <w:t>tax assessment against Enron Pipeline Company Argentina S.A. in connection with its Technical Assistance Agreement with TGS.</w:t>
      </w:r>
    </w:p>
    <w:p>
      <w:pPr>
        <w:pStyle w:val="Normal"/>
        <w:numPr>
          <w:ilvl w:val="0"/>
          <w:numId w:val="68"/>
        </w:numPr>
        <w:tabs>
          <w:tab w:val="clear" w:pos="720"/>
          <w:tab w:val="left" w:pos="1800" w:leader="none"/>
          <w:tab w:val="left" w:pos="7740" w:leader="none"/>
        </w:tabs>
        <w:ind w:hanging="360" w:start="1800" w:end="0"/>
        <w:rPr>
          <w:rFonts w:ascii="Arial" w:hAnsi="Arial" w:cs="Arial"/>
          <w:sz w:val="24"/>
        </w:rPr>
      </w:pPr>
      <w:r>
        <w:rPr>
          <w:rFonts w:cs="Arial" w:ascii="Arial" w:hAnsi="Arial"/>
          <w:sz w:val="24"/>
        </w:rPr>
        <w:t>An administrative opposition has been filed in response to this assessment.</w:t>
      </w:r>
    </w:p>
    <w:p>
      <w:pPr>
        <w:pStyle w:val="Normal"/>
        <w:numPr>
          <w:ilvl w:val="0"/>
          <w:numId w:val="68"/>
        </w:numPr>
        <w:tabs>
          <w:tab w:val="clear" w:pos="720"/>
          <w:tab w:val="left" w:pos="1800" w:leader="none"/>
          <w:tab w:val="left" w:pos="7740" w:leader="none"/>
        </w:tabs>
        <w:ind w:hanging="360" w:start="1800" w:end="0"/>
        <w:rPr>
          <w:rFonts w:ascii="Arial" w:hAnsi="Arial" w:cs="Arial"/>
          <w:sz w:val="24"/>
        </w:rPr>
      </w:pPr>
      <w:r>
        <w:rPr>
          <w:rFonts w:cs="Arial" w:ascii="Arial" w:hAnsi="Arial"/>
          <w:b/>
          <w:bCs/>
          <w:sz w:val="24"/>
        </w:rPr>
        <w:t xml:space="preserve">Enron seeks to invalidate this assessment along with others in its BIT claim against the Republic of Argentina discussed above. </w:t>
      </w:r>
    </w:p>
    <w:p>
      <w:pPr>
        <w:pStyle w:val="Normal"/>
        <w:tabs>
          <w:tab w:val="clear" w:pos="720"/>
          <w:tab w:val="left" w:pos="7740" w:leader="none"/>
        </w:tabs>
        <w:ind w:start="1440" w:end="0"/>
        <w:rPr>
          <w:rFonts w:ascii="Arial" w:hAnsi="Arial" w:cs="Arial"/>
          <w:sz w:val="24"/>
        </w:rPr>
      </w:pPr>
      <w:r>
        <w:rPr>
          <w:rFonts w:cs="Arial" w:ascii="Arial" w:hAnsi="Arial"/>
          <w:sz w:val="24"/>
        </w:rPr>
      </w:r>
    </w:p>
    <w:p>
      <w:pPr>
        <w:pStyle w:val="Normal"/>
        <w:ind w:start="720" w:end="0"/>
        <w:rPr>
          <w:rFonts w:ascii="Arial" w:hAnsi="Arial" w:cs="Arial"/>
          <w:sz w:val="24"/>
        </w:rPr>
      </w:pPr>
      <w:r>
        <w:rPr>
          <w:rFonts w:cs="Arial" w:ascii="Arial" w:hAnsi="Arial"/>
          <w:sz w:val="24"/>
        </w:rPr>
      </w:r>
    </w:p>
    <w:p>
      <w:pPr>
        <w:pStyle w:val="Heading4"/>
        <w:numPr>
          <w:ilvl w:val="0"/>
          <w:numId w:val="94"/>
        </w:numPr>
        <w:tabs>
          <w:tab w:val="clear" w:pos="720"/>
        </w:tabs>
        <w:ind w:hanging="720" w:start="1440" w:end="0"/>
        <w:rPr>
          <w:b/>
          <w:u w:val="none"/>
        </w:rPr>
      </w:pPr>
      <w:r>
        <w:rPr>
          <w:b/>
          <w:u w:val="none"/>
        </w:rPr>
        <w:t>DISPUTES/CLAIMS</w:t>
      </w:r>
    </w:p>
    <w:p>
      <w:pPr>
        <w:pStyle w:val="Normal"/>
        <w:ind w:start="720" w:end="0"/>
        <w:rPr>
          <w:rFonts w:ascii="Arial" w:hAnsi="Arial" w:cs="Arial"/>
          <w:b/>
          <w:sz w:val="24"/>
          <w:u w:val="none"/>
        </w:rPr>
      </w:pPr>
      <w:r>
        <w:rPr>
          <w:rFonts w:cs="Arial" w:ascii="Arial" w:hAnsi="Arial"/>
          <w:b/>
          <w:sz w:val="24"/>
          <w:u w:val="none"/>
        </w:rPr>
      </w:r>
    </w:p>
    <w:p>
      <w:pPr>
        <w:pStyle w:val="Normal"/>
        <w:tabs>
          <w:tab w:val="clear" w:pos="720"/>
          <w:tab w:val="left" w:pos="7740" w:leader="none"/>
        </w:tabs>
        <w:ind w:start="1440" w:end="0"/>
        <w:rPr>
          <w:rFonts w:ascii="Arial" w:hAnsi="Arial" w:cs="Arial"/>
          <w:b/>
          <w:sz w:val="24"/>
        </w:rPr>
      </w:pPr>
      <w:r>
        <w:rPr>
          <w:rFonts w:cs="Arial" w:ascii="Arial" w:hAnsi="Arial"/>
          <w:b/>
          <w:sz w:val="24"/>
        </w:rPr>
        <w:t>Salta Stamp Tax Proceeding Involving TGN Offers</w:t>
        <w:tab/>
        <w:t>(Not Updated)</w:t>
      </w:r>
    </w:p>
    <w:p>
      <w:pPr>
        <w:pStyle w:val="BodyText3"/>
        <w:tabs>
          <w:tab w:val="clear" w:pos="1440"/>
          <w:tab w:val="clear" w:pos="8370"/>
        </w:tabs>
        <w:ind w:start="720" w:end="0"/>
        <w:rPr/>
      </w:pPr>
      <w:r>
        <w:rPr/>
        <w:tab/>
        <w:t>(Cristian Rosso Alba/Hope, Duggan &amp; Silva) (Est. US$3,000 - $350,000)</w:t>
      </w:r>
    </w:p>
    <w:p>
      <w:pPr>
        <w:pStyle w:val="Normal"/>
        <w:tabs>
          <w:tab w:val="clear" w:pos="720"/>
          <w:tab w:val="left" w:pos="7740" w:leader="none"/>
        </w:tabs>
        <w:ind w:start="720" w:end="0"/>
        <w:jc w:val="both"/>
        <w:rPr>
          <w:rFonts w:ascii="Arial" w:hAnsi="Arial" w:cs="Arial"/>
          <w:sz w:val="24"/>
        </w:rPr>
      </w:pPr>
      <w:r>
        <w:rPr>
          <w:rFonts w:cs="Arial" w:ascii="Arial" w:hAnsi="Arial"/>
          <w:sz w:val="24"/>
        </w:rPr>
      </w:r>
    </w:p>
    <w:p>
      <w:pPr>
        <w:pStyle w:val="Normal"/>
        <w:numPr>
          <w:ilvl w:val="0"/>
          <w:numId w:val="78"/>
        </w:numPr>
        <w:tabs>
          <w:tab w:val="clear" w:pos="720"/>
          <w:tab w:val="left" w:pos="1080" w:leader="none"/>
          <w:tab w:val="left" w:pos="1800" w:leader="none"/>
          <w:tab w:val="left" w:pos="7740" w:leader="none"/>
        </w:tabs>
        <w:ind w:hanging="360" w:start="1800" w:end="0"/>
        <w:jc w:val="both"/>
        <w:rPr>
          <w:rFonts w:ascii="Arial" w:hAnsi="Arial" w:cs="Arial"/>
          <w:sz w:val="24"/>
        </w:rPr>
      </w:pPr>
      <w:r>
        <w:rPr>
          <w:rFonts w:cs="Arial" w:ascii="Arial" w:hAnsi="Arial"/>
          <w:sz w:val="24"/>
        </w:rPr>
        <w:t>On January 18, 2000, two inspectors of the General Revenue Department of the Salta Province appeared at the premises of Enron America Argentina del Sur S.A. (EAASA) and required EAASA to furnish information relating to EAASA's purchase and sales contracts within 5 days.  EAASA complied with this request.</w:t>
      </w:r>
    </w:p>
    <w:p>
      <w:pPr>
        <w:pStyle w:val="Normal"/>
        <w:numPr>
          <w:ilvl w:val="0"/>
          <w:numId w:val="54"/>
        </w:numPr>
        <w:tabs>
          <w:tab w:val="clear" w:pos="720"/>
          <w:tab w:val="left" w:pos="1080" w:leader="none"/>
          <w:tab w:val="left" w:pos="1800" w:leader="none"/>
          <w:tab w:val="left" w:pos="7740" w:leader="none"/>
        </w:tabs>
        <w:ind w:hanging="360" w:start="1800" w:end="0"/>
        <w:jc w:val="both"/>
        <w:rPr>
          <w:rFonts w:ascii="Arial" w:hAnsi="Arial" w:cs="Arial"/>
          <w:sz w:val="24"/>
        </w:rPr>
      </w:pPr>
      <w:r>
        <w:rPr>
          <w:rFonts w:cs="Arial" w:ascii="Arial" w:hAnsi="Arial"/>
          <w:sz w:val="24"/>
        </w:rPr>
        <w:t>On January 20, 2000, the General Revenue Department of the Salta Province instituted summary proceedings claiming stamp tax on two written unilateral offers made by EAASA to Transportadora de Gas del Norte S.A. ("TGN").  No gas was ever transported under either of these agreements.  Nevertheless, local counsel advises that this is irrelevant for purposes of stamp tax which affects the instrument, regardless of whether the transaction is carried out.</w:t>
      </w:r>
    </w:p>
    <w:p>
      <w:pPr>
        <w:pStyle w:val="Normal"/>
        <w:numPr>
          <w:ilvl w:val="0"/>
          <w:numId w:val="65"/>
        </w:numPr>
        <w:tabs>
          <w:tab w:val="clear" w:pos="720"/>
          <w:tab w:val="left" w:pos="1080" w:leader="none"/>
          <w:tab w:val="left" w:pos="1800" w:leader="none"/>
          <w:tab w:val="left" w:pos="7740" w:leader="none"/>
        </w:tabs>
        <w:ind w:hanging="360" w:start="1800" w:end="0"/>
        <w:jc w:val="both"/>
        <w:rPr>
          <w:rFonts w:ascii="Arial" w:hAnsi="Arial" w:cs="Arial"/>
          <w:sz w:val="24"/>
        </w:rPr>
      </w:pPr>
      <w:r>
        <w:rPr>
          <w:rFonts w:cs="Arial" w:ascii="Arial" w:hAnsi="Arial"/>
          <w:sz w:val="24"/>
        </w:rPr>
        <w:t xml:space="preserve">Enron submitted its defense that the unilateral offer letters do not constitute “taxable instruments” under the Tax Code.  </w:t>
      </w:r>
    </w:p>
    <w:p>
      <w:pPr>
        <w:pStyle w:val="Normal"/>
        <w:tabs>
          <w:tab w:val="clear" w:pos="720"/>
          <w:tab w:val="left" w:pos="1800" w:leader="none"/>
          <w:tab w:val="left" w:pos="7740" w:leader="none"/>
        </w:tabs>
        <w:ind w:start="720" w:end="0"/>
        <w:jc w:val="both"/>
        <w:rPr>
          <w:rFonts w:ascii="Arial" w:hAnsi="Arial" w:cs="Arial"/>
          <w:sz w:val="24"/>
        </w:rPr>
      </w:pPr>
      <w:r>
        <w:rPr>
          <w:rFonts w:cs="Arial" w:ascii="Arial" w:hAnsi="Arial"/>
          <w:sz w:val="24"/>
        </w:rPr>
      </w:r>
    </w:p>
    <w:p>
      <w:pPr>
        <w:pStyle w:val="Normal"/>
        <w:tabs>
          <w:tab w:val="clear" w:pos="720"/>
          <w:tab w:val="left" w:pos="1800" w:leader="none"/>
          <w:tab w:val="left" w:pos="7740" w:leader="none"/>
          <w:tab w:val="right" w:pos="9360" w:leader="none"/>
        </w:tabs>
        <w:ind w:start="1440" w:end="0"/>
        <w:jc w:val="both"/>
        <w:rPr>
          <w:rFonts w:ascii="Arial" w:hAnsi="Arial" w:cs="Arial"/>
          <w:b/>
          <w:bCs/>
          <w:sz w:val="24"/>
        </w:rPr>
      </w:pPr>
      <w:r>
        <w:rPr>
          <w:rFonts w:cs="Arial" w:ascii="Arial" w:hAnsi="Arial"/>
          <w:b/>
          <w:bCs/>
          <w:sz w:val="24"/>
        </w:rPr>
        <w:t xml:space="preserve">Neuguen Stamp Tax Proceeding Involving TGN Offers </w:t>
        <w:tab/>
        <w:tab/>
        <w:t>(New)</w:t>
      </w:r>
    </w:p>
    <w:p>
      <w:pPr>
        <w:pStyle w:val="Normal"/>
        <w:numPr>
          <w:ilvl w:val="0"/>
          <w:numId w:val="27"/>
        </w:numPr>
        <w:tabs>
          <w:tab w:val="clear" w:pos="720"/>
          <w:tab w:val="left" w:pos="7740" w:leader="none"/>
        </w:tabs>
        <w:jc w:val="both"/>
        <w:rPr>
          <w:rFonts w:ascii="Arial" w:hAnsi="Arial" w:cs="Arial"/>
          <w:sz w:val="24"/>
        </w:rPr>
      </w:pPr>
      <w:r>
        <w:rPr>
          <w:rFonts w:cs="Arial" w:ascii="Arial" w:hAnsi="Arial"/>
          <w:sz w:val="24"/>
        </w:rPr>
        <w:t>In March 2001, the Neuguen Province assessed $2.6M in stamp tax interest and penalties jointly and severally against [ECT/Argentina] and TGN for offer letters issued in 1997.  Both TGS and TGN have filed administrative appeals against payment.</w:t>
      </w:r>
    </w:p>
    <w:p>
      <w:pPr>
        <w:pStyle w:val="Normal"/>
        <w:tabs>
          <w:tab w:val="clear" w:pos="720"/>
          <w:tab w:val="left" w:pos="1080" w:leader="none"/>
          <w:tab w:val="left" w:pos="7740" w:leader="none"/>
        </w:tabs>
        <w:ind w:start="720" w:end="0"/>
        <w:jc w:val="both"/>
        <w:rPr>
          <w:rFonts w:ascii="Arial" w:hAnsi="Arial" w:cs="Arial"/>
          <w:b/>
          <w:bCs/>
          <w:sz w:val="24"/>
        </w:rPr>
      </w:pPr>
      <w:r>
        <w:rPr>
          <w:rFonts w:cs="Arial" w:ascii="Arial" w:hAnsi="Arial"/>
          <w:b/>
          <w:bCs/>
          <w:sz w:val="24"/>
        </w:rPr>
      </w:r>
    </w:p>
    <w:p>
      <w:pPr>
        <w:pStyle w:val="Normal"/>
        <w:tabs>
          <w:tab w:val="clear" w:pos="720"/>
          <w:tab w:val="left" w:pos="7740" w:leader="none"/>
        </w:tabs>
        <w:ind w:start="1440" w:end="0"/>
        <w:rPr>
          <w:rFonts w:ascii="Arial" w:hAnsi="Arial" w:cs="Arial"/>
          <w:b/>
          <w:bCs/>
          <w:sz w:val="24"/>
        </w:rPr>
      </w:pPr>
      <w:r>
        <w:rPr>
          <w:rFonts w:cs="Arial" w:ascii="Arial" w:hAnsi="Arial"/>
          <w:b/>
          <w:bCs/>
          <w:sz w:val="24"/>
        </w:rPr>
      </w:r>
    </w:p>
    <w:p>
      <w:pPr>
        <w:pStyle w:val="Normal"/>
        <w:tabs>
          <w:tab w:val="clear" w:pos="720"/>
          <w:tab w:val="left" w:pos="1080" w:leader="none"/>
          <w:tab w:val="left" w:pos="7740" w:leader="none"/>
        </w:tabs>
        <w:jc w:val="both"/>
        <w:rPr>
          <w:rFonts w:ascii="Arial" w:hAnsi="Arial" w:cs="Arial"/>
          <w:b/>
          <w:sz w:val="28"/>
          <w:u w:val="single"/>
        </w:rPr>
      </w:pPr>
      <w:r>
        <w:rPr>
          <w:rFonts w:cs="Arial" w:ascii="Arial" w:hAnsi="Arial"/>
          <w:b/>
          <w:sz w:val="28"/>
          <w:u w:val="single"/>
        </w:rPr>
        <w:t>BOLIVIA</w:t>
      </w:r>
    </w:p>
    <w:p>
      <w:pPr>
        <w:pStyle w:val="Normal"/>
        <w:tabs>
          <w:tab w:val="clear" w:pos="720"/>
          <w:tab w:val="left" w:pos="1080" w:leader="none"/>
          <w:tab w:val="left" w:pos="7740" w:leader="none"/>
        </w:tabs>
        <w:ind w:start="720" w:end="0"/>
        <w:jc w:val="both"/>
        <w:rPr>
          <w:rFonts w:ascii="Arial" w:hAnsi="Arial" w:cs="Arial"/>
          <w:b/>
          <w:sz w:val="24"/>
          <w:u w:val="single"/>
        </w:rPr>
      </w:pPr>
      <w:r>
        <w:rPr>
          <w:rFonts w:cs="Arial" w:ascii="Arial" w:hAnsi="Arial"/>
          <w:b/>
          <w:sz w:val="24"/>
          <w:u w:val="single"/>
        </w:rPr>
      </w:r>
    </w:p>
    <w:p>
      <w:pPr>
        <w:pStyle w:val="Normal"/>
        <w:keepNext w:val="true"/>
        <w:keepLines/>
        <w:numPr>
          <w:ilvl w:val="0"/>
          <w:numId w:val="50"/>
        </w:numPr>
        <w:tabs>
          <w:tab w:val="clear" w:pos="720"/>
          <w:tab w:val="left" w:pos="7740" w:leader="none"/>
        </w:tabs>
        <w:rPr>
          <w:rFonts w:ascii="Arial" w:hAnsi="Arial" w:cs="Arial"/>
          <w:b/>
          <w:sz w:val="28"/>
          <w:u w:val="single"/>
        </w:rPr>
      </w:pPr>
      <w:r>
        <w:rPr>
          <w:rFonts w:cs="Arial" w:ascii="Arial" w:hAnsi="Arial"/>
          <w:b/>
          <w:sz w:val="28"/>
          <w:u w:val="single"/>
        </w:rPr>
        <w:t>Gas Trans Boliviano S.A.</w:t>
      </w:r>
    </w:p>
    <w:p>
      <w:pPr>
        <w:pStyle w:val="Normal"/>
        <w:keepNext w:val="true"/>
        <w:keepLines/>
        <w:tabs>
          <w:tab w:val="clear" w:pos="720"/>
          <w:tab w:val="left" w:pos="7740" w:leader="none"/>
        </w:tabs>
        <w:ind w:start="1440" w:end="0"/>
        <w:jc w:val="both"/>
        <w:rPr>
          <w:rFonts w:ascii="Arial" w:hAnsi="Arial" w:cs="Arial"/>
          <w:b/>
          <w:sz w:val="24"/>
          <w:u w:val="single"/>
        </w:rPr>
      </w:pPr>
      <w:r>
        <w:rPr>
          <w:rFonts w:cs="Arial" w:ascii="Arial" w:hAnsi="Arial"/>
          <w:b/>
          <w:sz w:val="24"/>
          <w:u w:val="single"/>
        </w:rPr>
      </w:r>
    </w:p>
    <w:p>
      <w:pPr>
        <w:pStyle w:val="Normal"/>
        <w:keepNext w:val="true"/>
        <w:keepLines/>
        <w:numPr>
          <w:ilvl w:val="0"/>
          <w:numId w:val="142"/>
        </w:numPr>
        <w:tabs>
          <w:tab w:val="clear" w:pos="720"/>
          <w:tab w:val="left" w:pos="1440" w:leader="none"/>
        </w:tabs>
        <w:ind w:hanging="720" w:start="1440" w:end="0"/>
        <w:jc w:val="both"/>
        <w:rPr>
          <w:rFonts w:ascii="Arial" w:hAnsi="Arial" w:cs="Arial"/>
          <w:b/>
          <w:sz w:val="24"/>
        </w:rPr>
      </w:pPr>
      <w:r>
        <w:rPr>
          <w:rFonts w:cs="Arial" w:ascii="Arial" w:hAnsi="Arial"/>
          <w:b/>
          <w:sz w:val="24"/>
        </w:rPr>
        <w:t>LITIGATION/ARBITRATION</w:t>
      </w:r>
    </w:p>
    <w:p>
      <w:pPr>
        <w:pStyle w:val="Normal"/>
        <w:keepNext w:val="true"/>
        <w:keepLines/>
        <w:ind w:start="720" w:end="0"/>
        <w:jc w:val="both"/>
        <w:rPr>
          <w:rFonts w:ascii="Arial" w:hAnsi="Arial" w:cs="Arial"/>
          <w:b/>
          <w:sz w:val="24"/>
        </w:rPr>
      </w:pPr>
      <w:r>
        <w:rPr>
          <w:rFonts w:cs="Arial" w:ascii="Arial" w:hAnsi="Arial"/>
          <w:b/>
          <w:sz w:val="24"/>
        </w:rPr>
      </w:r>
    </w:p>
    <w:p>
      <w:pPr>
        <w:pStyle w:val="Normal"/>
        <w:keepNext w:val="true"/>
        <w:keepLines/>
        <w:ind w:start="720" w:end="0"/>
        <w:jc w:val="both"/>
        <w:rPr/>
      </w:pPr>
      <w:r>
        <w:rPr>
          <w:rFonts w:cs="Arial" w:ascii="Arial" w:hAnsi="Arial"/>
          <w:b/>
          <w:sz w:val="24"/>
        </w:rPr>
        <w:tab/>
      </w:r>
      <w:r>
        <w:rPr>
          <w:rFonts w:cs="Arial" w:ascii="Arial" w:hAnsi="Arial"/>
          <w:sz w:val="24"/>
        </w:rPr>
        <w:t>None</w:t>
      </w:r>
    </w:p>
    <w:p>
      <w:pPr>
        <w:pStyle w:val="Normal"/>
        <w:keepNext w:val="true"/>
        <w:keepLines/>
        <w:ind w:start="720" w:end="0"/>
        <w:jc w:val="both"/>
        <w:rPr>
          <w:rFonts w:ascii="Arial" w:hAnsi="Arial" w:cs="Arial"/>
          <w:b/>
          <w:sz w:val="24"/>
        </w:rPr>
      </w:pPr>
      <w:r>
        <w:rPr>
          <w:rFonts w:cs="Arial" w:ascii="Arial" w:hAnsi="Arial"/>
          <w:b/>
          <w:sz w:val="24"/>
        </w:rPr>
      </w:r>
    </w:p>
    <w:p>
      <w:pPr>
        <w:pStyle w:val="Normal"/>
        <w:keepNext w:val="true"/>
        <w:keepLines/>
        <w:ind w:start="720" w:end="0"/>
        <w:jc w:val="both"/>
        <w:rPr>
          <w:rFonts w:ascii="Arial" w:hAnsi="Arial" w:cs="Arial"/>
          <w:b/>
          <w:sz w:val="24"/>
        </w:rPr>
      </w:pPr>
      <w:r>
        <w:rPr>
          <w:rFonts w:cs="Arial" w:ascii="Arial" w:hAnsi="Arial"/>
          <w:b/>
          <w:sz w:val="24"/>
        </w:rPr>
      </w:r>
    </w:p>
    <w:p>
      <w:pPr>
        <w:pStyle w:val="Heading5"/>
        <w:numPr>
          <w:ilvl w:val="0"/>
          <w:numId w:val="12"/>
        </w:numPr>
        <w:tabs>
          <w:tab w:val="clear" w:pos="720"/>
          <w:tab w:val="left" w:pos="1440" w:leader="none"/>
        </w:tabs>
        <w:ind w:hanging="720" w:start="1440" w:end="0"/>
        <w:rPr/>
      </w:pPr>
      <w:r>
        <w:rPr/>
        <w:t>CLAIMS/DISPUTES</w:t>
      </w:r>
    </w:p>
    <w:p>
      <w:pPr>
        <w:pStyle w:val="Normal"/>
        <w:keepNext w:val="true"/>
        <w:keepLines/>
        <w:ind w:start="720" w:end="0"/>
        <w:jc w:val="both"/>
        <w:rPr>
          <w:rFonts w:ascii="Arial" w:hAnsi="Arial" w:cs="Arial"/>
          <w:b/>
          <w:sz w:val="24"/>
        </w:rPr>
      </w:pPr>
      <w:r>
        <w:rPr>
          <w:rFonts w:cs="Arial" w:ascii="Arial" w:hAnsi="Arial"/>
          <w:b/>
          <w:sz w:val="24"/>
        </w:rPr>
      </w:r>
    </w:p>
    <w:p>
      <w:pPr>
        <w:pStyle w:val="Normal"/>
        <w:keepNext w:val="true"/>
        <w:keepLines/>
        <w:tabs>
          <w:tab w:val="clear" w:pos="720"/>
          <w:tab w:val="left" w:pos="7740" w:leader="none"/>
        </w:tabs>
        <w:ind w:start="1440" w:end="0"/>
        <w:jc w:val="both"/>
        <w:rPr>
          <w:rFonts w:ascii="Arial" w:hAnsi="Arial" w:cs="Arial"/>
          <w:b/>
          <w:sz w:val="24"/>
        </w:rPr>
      </w:pPr>
      <w:r>
        <w:rPr>
          <w:rFonts w:cs="Arial" w:ascii="Arial" w:hAnsi="Arial"/>
          <w:b/>
          <w:sz w:val="24"/>
        </w:rPr>
        <w:t>Gas Trans Boliviano S.A. (“GTB”) Construction</w:t>
        <w:tab/>
        <w:t>(Not Updated)</w:t>
      </w:r>
    </w:p>
    <w:p>
      <w:pPr>
        <w:pStyle w:val="Normal"/>
        <w:keepNext w:val="true"/>
        <w:keepLines/>
        <w:tabs>
          <w:tab w:val="clear" w:pos="720"/>
          <w:tab w:val="left" w:pos="7740" w:leader="none"/>
        </w:tabs>
        <w:ind w:start="1440" w:end="0"/>
        <w:jc w:val="both"/>
        <w:rPr>
          <w:rFonts w:ascii="Arial" w:hAnsi="Arial" w:cs="Arial"/>
          <w:b/>
          <w:sz w:val="24"/>
        </w:rPr>
      </w:pPr>
      <w:r>
        <w:rPr>
          <w:rFonts w:cs="Arial" w:ascii="Arial" w:hAnsi="Arial"/>
          <w:b/>
          <w:sz w:val="24"/>
        </w:rPr>
        <w:t>Dispute</w:t>
      </w:r>
    </w:p>
    <w:p>
      <w:pPr>
        <w:pStyle w:val="Normal"/>
        <w:keepNext w:val="true"/>
        <w:keepLines/>
        <w:tabs>
          <w:tab w:val="clear" w:pos="720"/>
          <w:tab w:val="left" w:pos="7740" w:leader="none"/>
          <w:tab w:val="left" w:pos="8370" w:leader="none"/>
        </w:tabs>
        <w:ind w:start="1440" w:end="0"/>
        <w:rPr>
          <w:rFonts w:ascii="Arial" w:hAnsi="Arial" w:cs="Arial"/>
          <w:sz w:val="24"/>
        </w:rPr>
      </w:pPr>
      <w:r>
        <w:rPr>
          <w:rFonts w:cs="Arial" w:ascii="Arial" w:hAnsi="Arial"/>
          <w:sz w:val="24"/>
        </w:rPr>
        <w:t>(US$31 million) (Enron’s Interest:  approximately 30%)</w:t>
      </w:r>
    </w:p>
    <w:p>
      <w:pPr>
        <w:pStyle w:val="Normal"/>
        <w:tabs>
          <w:tab w:val="clear" w:pos="720"/>
          <w:tab w:val="left" w:pos="7740" w:leader="none"/>
        </w:tabs>
        <w:ind w:start="720" w:end="0"/>
        <w:rPr>
          <w:rFonts w:ascii="Arial" w:hAnsi="Arial" w:cs="Arial"/>
          <w:sz w:val="24"/>
        </w:rPr>
      </w:pPr>
      <w:r>
        <w:rPr>
          <w:rFonts w:cs="Arial" w:ascii="Arial" w:hAnsi="Arial"/>
          <w:sz w:val="24"/>
        </w:rPr>
      </w:r>
    </w:p>
    <w:p>
      <w:pPr>
        <w:pStyle w:val="Normal"/>
        <w:numPr>
          <w:ilvl w:val="0"/>
          <w:numId w:val="46"/>
        </w:numPr>
        <w:tabs>
          <w:tab w:val="clear" w:pos="720"/>
          <w:tab w:val="left" w:pos="1800" w:leader="none"/>
          <w:tab w:val="left" w:pos="7740" w:leader="none"/>
        </w:tabs>
        <w:ind w:hanging="360" w:start="1800" w:end="0"/>
        <w:rPr>
          <w:rFonts w:ascii="Arial" w:hAnsi="Arial" w:cs="Arial"/>
          <w:sz w:val="24"/>
        </w:rPr>
      </w:pPr>
      <w:r>
        <w:rPr>
          <w:rFonts w:cs="Arial" w:ascii="Arial" w:hAnsi="Arial"/>
          <w:sz w:val="24"/>
        </w:rPr>
        <w:t xml:space="preserve">GTB has a dispute arising from an EPC turnkey contract with Petroleo Brasilero S.A. (Petrobras) whereby Petrobras was to provide design, engineering, procurement, and construction services for the Bolivian sector of the Bolivia-Brazil Natural Gas Pipeline.  </w:t>
      </w:r>
    </w:p>
    <w:p>
      <w:pPr>
        <w:pStyle w:val="Normal"/>
        <w:numPr>
          <w:ilvl w:val="0"/>
          <w:numId w:val="46"/>
        </w:numPr>
        <w:tabs>
          <w:tab w:val="clear" w:pos="720"/>
          <w:tab w:val="left" w:pos="1800" w:leader="none"/>
          <w:tab w:val="left" w:pos="7740" w:leader="none"/>
        </w:tabs>
        <w:ind w:hanging="360" w:start="1800" w:end="0"/>
        <w:rPr>
          <w:rFonts w:ascii="Arial" w:hAnsi="Arial" w:cs="Arial"/>
          <w:sz w:val="24"/>
        </w:rPr>
      </w:pPr>
      <w:r>
        <w:rPr>
          <w:rFonts w:cs="Arial" w:ascii="Arial" w:hAnsi="Arial"/>
          <w:sz w:val="24"/>
        </w:rPr>
        <w:t>GTB claims that Petrobras did not satisfactorily complete specific aspects of the scope of work in conformance with the contractual requirements and seeks an equitable credit adjustment to the contract value for</w:t>
      </w:r>
      <w:r>
        <w:rPr/>
        <w:t xml:space="preserve"> </w:t>
      </w:r>
      <w:r>
        <w:rPr>
          <w:rFonts w:cs="Arial" w:ascii="Arial" w:hAnsi="Arial"/>
          <w:sz w:val="24"/>
        </w:rPr>
        <w:t xml:space="preserve">US$4,000,000.  Petrobras, claims that GTB owes it delay damages under the contract. </w:t>
      </w:r>
    </w:p>
    <w:p>
      <w:pPr>
        <w:pStyle w:val="Normal"/>
        <w:numPr>
          <w:ilvl w:val="0"/>
          <w:numId w:val="46"/>
        </w:numPr>
        <w:tabs>
          <w:tab w:val="clear" w:pos="720"/>
          <w:tab w:val="left" w:pos="1800" w:leader="none"/>
          <w:tab w:val="left" w:pos="7740" w:leader="none"/>
        </w:tabs>
        <w:ind w:hanging="360" w:start="1800" w:end="0"/>
        <w:rPr>
          <w:rFonts w:ascii="Arial" w:hAnsi="Arial" w:cs="Arial"/>
          <w:sz w:val="24"/>
        </w:rPr>
      </w:pPr>
      <w:r>
        <w:rPr>
          <w:rFonts w:cs="Arial" w:ascii="Arial" w:hAnsi="Arial"/>
          <w:sz w:val="24"/>
        </w:rPr>
        <w:t>Petrobras’ latest demand for US$31,000,000 was rejected by GTB.</w:t>
      </w:r>
    </w:p>
    <w:p>
      <w:pPr>
        <w:pStyle w:val="Normal"/>
        <w:numPr>
          <w:ilvl w:val="0"/>
          <w:numId w:val="46"/>
        </w:numPr>
        <w:tabs>
          <w:tab w:val="clear" w:pos="720"/>
          <w:tab w:val="left" w:pos="1800" w:leader="none"/>
          <w:tab w:val="left" w:pos="7740" w:leader="none"/>
        </w:tabs>
        <w:ind w:hanging="360" w:start="1800" w:end="0"/>
        <w:rPr>
          <w:rFonts w:ascii="Arial" w:hAnsi="Arial" w:cs="Arial"/>
          <w:sz w:val="24"/>
        </w:rPr>
      </w:pPr>
      <w:r>
        <w:rPr>
          <w:rFonts w:cs="Arial" w:ascii="Arial" w:hAnsi="Arial"/>
          <w:sz w:val="24"/>
        </w:rPr>
        <w:t xml:space="preserve">No arbitration demand has been made at this time. </w:t>
      </w:r>
    </w:p>
    <w:p>
      <w:pPr>
        <w:pStyle w:val="Normal"/>
        <w:numPr>
          <w:ilvl w:val="0"/>
          <w:numId w:val="157"/>
        </w:numPr>
        <w:tabs>
          <w:tab w:val="clear" w:pos="720"/>
          <w:tab w:val="left" w:pos="1800" w:leader="none"/>
          <w:tab w:val="left" w:pos="7740" w:leader="none"/>
        </w:tabs>
        <w:ind w:hanging="360" w:start="1800" w:end="0"/>
        <w:rPr>
          <w:rFonts w:ascii="Arial" w:hAnsi="Arial" w:cs="Arial"/>
          <w:sz w:val="24"/>
        </w:rPr>
      </w:pPr>
      <w:r>
        <w:rPr>
          <w:rFonts w:cs="Arial" w:ascii="Arial" w:hAnsi="Arial"/>
          <w:sz w:val="24"/>
        </w:rPr>
        <w:t>GTB has offered to take over the pipeline and finish all remaining construction with the $7 million retainage in exchange for Petrobras to forego its construction claims.  Petrobras agreed to consider the offer.</w:t>
      </w:r>
    </w:p>
    <w:p>
      <w:pPr>
        <w:pStyle w:val="Normal"/>
        <w:tabs>
          <w:tab w:val="clear" w:pos="720"/>
          <w:tab w:val="left" w:pos="1080" w:leader="none"/>
          <w:tab w:val="left" w:pos="7740" w:leader="none"/>
        </w:tabs>
        <w:jc w:val="both"/>
        <w:rPr>
          <w:rFonts w:ascii="Arial" w:hAnsi="Arial" w:cs="Arial"/>
          <w:sz w:val="24"/>
        </w:rPr>
      </w:pPr>
      <w:r>
        <w:rPr>
          <w:rFonts w:cs="Arial" w:ascii="Arial" w:hAnsi="Arial"/>
          <w:sz w:val="24"/>
        </w:rPr>
      </w:r>
      <w:r>
        <w:br w:type="page"/>
      </w:r>
    </w:p>
    <w:p>
      <w:pPr>
        <w:pStyle w:val="Normal"/>
        <w:tabs>
          <w:tab w:val="clear" w:pos="720"/>
          <w:tab w:val="left" w:pos="1080" w:leader="none"/>
          <w:tab w:val="left" w:pos="7740" w:leader="none"/>
        </w:tabs>
        <w:jc w:val="both"/>
        <w:rPr>
          <w:rFonts w:ascii="Arial" w:hAnsi="Arial" w:cs="Arial"/>
          <w:sz w:val="24"/>
        </w:rPr>
      </w:pPr>
      <w:r>
        <w:rPr>
          <w:rFonts w:cs="Arial" w:ascii="Arial" w:hAnsi="Arial"/>
          <w:sz w:val="24"/>
        </w:rPr>
      </w:r>
    </w:p>
    <w:p>
      <w:pPr>
        <w:pStyle w:val="Normal"/>
        <w:numPr>
          <w:ilvl w:val="0"/>
          <w:numId w:val="50"/>
        </w:numPr>
        <w:rPr>
          <w:rFonts w:ascii="Arial" w:hAnsi="Arial" w:cs="Arial"/>
          <w:b/>
          <w:sz w:val="28"/>
          <w:u w:val="single"/>
        </w:rPr>
      </w:pPr>
      <w:r>
        <w:rPr>
          <w:rFonts w:cs="Arial" w:ascii="Arial" w:hAnsi="Arial"/>
          <w:b/>
          <w:sz w:val="28"/>
          <w:u w:val="single"/>
        </w:rPr>
        <w:t>Transredes S.A.</w:t>
      </w:r>
    </w:p>
    <w:p>
      <w:pPr>
        <w:pStyle w:val="Normal"/>
        <w:rPr>
          <w:rFonts w:ascii="Arial" w:hAnsi="Arial" w:cs="Arial"/>
          <w:b/>
          <w:sz w:val="24"/>
          <w:u w:val="single"/>
        </w:rPr>
      </w:pPr>
      <w:r>
        <w:rPr>
          <w:rFonts w:cs="Arial" w:ascii="Arial" w:hAnsi="Arial"/>
          <w:b/>
          <w:sz w:val="24"/>
          <w:u w:val="single"/>
        </w:rPr>
      </w:r>
    </w:p>
    <w:p>
      <w:pPr>
        <w:pStyle w:val="Normal"/>
        <w:numPr>
          <w:ilvl w:val="0"/>
          <w:numId w:val="146"/>
        </w:numPr>
        <w:tabs>
          <w:tab w:val="clear" w:pos="720"/>
          <w:tab w:val="left" w:pos="1440" w:leader="none"/>
        </w:tabs>
        <w:ind w:hanging="720" w:start="1440" w:end="0"/>
        <w:jc w:val="both"/>
        <w:rPr>
          <w:rFonts w:ascii="Arial" w:hAnsi="Arial" w:cs="Arial"/>
          <w:b/>
          <w:sz w:val="24"/>
        </w:rPr>
      </w:pPr>
      <w:r>
        <w:rPr>
          <w:rFonts w:cs="Arial" w:ascii="Arial" w:hAnsi="Arial"/>
          <w:b/>
          <w:sz w:val="24"/>
        </w:rPr>
        <w:t>LITIGATION/ARBITRATION</w:t>
      </w:r>
    </w:p>
    <w:p>
      <w:pPr>
        <w:pStyle w:val="Normal"/>
        <w:ind w:start="720" w:end="0"/>
        <w:jc w:val="both"/>
        <w:rPr>
          <w:rFonts w:ascii="Arial" w:hAnsi="Arial" w:cs="Arial"/>
          <w:b/>
          <w:sz w:val="24"/>
        </w:rPr>
      </w:pPr>
      <w:r>
        <w:rPr>
          <w:rFonts w:cs="Arial" w:ascii="Arial" w:hAnsi="Arial"/>
          <w:b/>
          <w:sz w:val="24"/>
        </w:rPr>
      </w:r>
    </w:p>
    <w:p>
      <w:pPr>
        <w:pStyle w:val="Normal"/>
        <w:tabs>
          <w:tab w:val="clear" w:pos="720"/>
          <w:tab w:val="left" w:pos="7740" w:leader="none"/>
        </w:tabs>
        <w:ind w:start="1440" w:end="0"/>
        <w:jc w:val="both"/>
        <w:rPr>
          <w:rFonts w:ascii="Arial" w:hAnsi="Arial" w:cs="Arial"/>
          <w:b/>
          <w:sz w:val="24"/>
        </w:rPr>
      </w:pPr>
      <w:r>
        <w:rPr>
          <w:rFonts w:cs="Arial" w:ascii="Arial" w:hAnsi="Arial"/>
          <w:b/>
          <w:sz w:val="24"/>
        </w:rPr>
        <w:t>Desaguadero River Spill</w:t>
        <w:tab/>
        <w:t>(Updated)</w:t>
      </w:r>
    </w:p>
    <w:p>
      <w:pPr>
        <w:pStyle w:val="Normal"/>
        <w:tabs>
          <w:tab w:val="clear" w:pos="720"/>
          <w:tab w:val="left" w:pos="7740" w:leader="none"/>
        </w:tabs>
        <w:ind w:start="1440" w:end="0"/>
        <w:jc w:val="both"/>
        <w:rPr>
          <w:rFonts w:ascii="Arial" w:hAnsi="Arial" w:cs="Arial"/>
          <w:b/>
          <w:bCs/>
          <w:sz w:val="24"/>
        </w:rPr>
      </w:pPr>
      <w:r>
        <w:rPr>
          <w:rFonts w:cs="Arial" w:ascii="Arial" w:hAnsi="Arial"/>
          <w:b/>
          <w:bCs/>
          <w:sz w:val="24"/>
        </w:rPr>
        <w:t>(London Commercial Court)</w:t>
      </w:r>
      <w:r>
        <w:rPr>
          <w:rFonts w:cs="Arial" w:ascii="Arial" w:hAnsi="Arial"/>
          <w:sz w:val="24"/>
        </w:rPr>
        <w:t xml:space="preserve"> </w:t>
      </w:r>
      <w:r>
        <w:rPr>
          <w:rFonts w:cs="Arial" w:ascii="Arial" w:hAnsi="Arial"/>
          <w:b/>
          <w:bCs/>
          <w:sz w:val="24"/>
        </w:rPr>
        <w:t>(John Rosenheim</w:t>
      </w:r>
      <w:r>
        <w:rPr>
          <w:rFonts w:cs="Arial" w:ascii="Arial" w:hAnsi="Arial"/>
          <w:b/>
          <w:bCs/>
          <w:sz w:val="24"/>
        </w:rPr>
        <w:t>/</w:t>
      </w:r>
      <w:r>
        <w:rPr>
          <w:rFonts w:cs="Arial" w:ascii="Arial" w:hAnsi="Arial"/>
          <w:b/>
          <w:sz w:val="24"/>
        </w:rPr>
        <w:t xml:space="preserve"> Denton Wilde Sapte) (Enron’s Interest:  25%)</w:t>
      </w:r>
    </w:p>
    <w:p>
      <w:pPr>
        <w:pStyle w:val="Normal"/>
        <w:tabs>
          <w:tab w:val="clear" w:pos="720"/>
          <w:tab w:val="left" w:pos="7740" w:leader="none"/>
        </w:tabs>
        <w:ind w:start="1440" w:end="0"/>
        <w:jc w:val="both"/>
        <w:rPr>
          <w:rFonts w:ascii="Arial" w:hAnsi="Arial" w:cs="Arial"/>
          <w:b/>
          <w:bCs/>
          <w:sz w:val="24"/>
        </w:rPr>
      </w:pPr>
      <w:r>
        <w:rPr>
          <w:rFonts w:cs="Arial" w:ascii="Arial" w:hAnsi="Arial"/>
          <w:b/>
          <w:bCs/>
          <w:sz w:val="24"/>
        </w:rPr>
      </w:r>
    </w:p>
    <w:p>
      <w:pPr>
        <w:pStyle w:val="Normal"/>
        <w:numPr>
          <w:ilvl w:val="0"/>
          <w:numId w:val="39"/>
        </w:numPr>
        <w:tabs>
          <w:tab w:val="clear" w:pos="720"/>
          <w:tab w:val="left" w:pos="1800" w:leader="none"/>
          <w:tab w:val="left" w:pos="7740" w:leader="none"/>
        </w:tabs>
        <w:ind w:hanging="360" w:start="1800" w:end="0"/>
        <w:jc w:val="both"/>
        <w:rPr>
          <w:rFonts w:ascii="Arial" w:hAnsi="Arial" w:cs="Arial"/>
          <w:sz w:val="24"/>
        </w:rPr>
      </w:pPr>
      <w:r>
        <w:rPr>
          <w:rFonts w:cs="Arial" w:ascii="Arial" w:hAnsi="Arial"/>
          <w:sz w:val="24"/>
        </w:rPr>
        <w:t xml:space="preserve">A pipeline suffered an abrasion of about 1” in and an estimated 2,000 barrels of oil spilled into the Desaguadero River near the village of Calacoto.  The oil migrated to the edge of nearby lakes before being contained.  </w:t>
      </w:r>
    </w:p>
    <w:p>
      <w:pPr>
        <w:pStyle w:val="Normal"/>
        <w:numPr>
          <w:ilvl w:val="0"/>
          <w:numId w:val="39"/>
        </w:numPr>
        <w:tabs>
          <w:tab w:val="clear" w:pos="720"/>
          <w:tab w:val="left" w:pos="1800" w:leader="none"/>
          <w:tab w:val="left" w:pos="7740" w:leader="none"/>
        </w:tabs>
        <w:ind w:hanging="360" w:start="1800" w:end="0"/>
        <w:jc w:val="both"/>
        <w:rPr>
          <w:rFonts w:ascii="Arial" w:hAnsi="Arial" w:cs="Arial"/>
          <w:sz w:val="24"/>
        </w:rPr>
      </w:pPr>
      <w:r>
        <w:rPr>
          <w:rFonts w:cs="Arial" w:ascii="Arial" w:hAnsi="Arial"/>
          <w:sz w:val="24"/>
        </w:rPr>
        <w:t>The cleanup effort is expected to cost approximately $30-$45 million.</w:t>
      </w:r>
    </w:p>
    <w:p>
      <w:pPr>
        <w:pStyle w:val="Normal"/>
        <w:numPr>
          <w:ilvl w:val="0"/>
          <w:numId w:val="39"/>
        </w:numPr>
        <w:tabs>
          <w:tab w:val="clear" w:pos="720"/>
          <w:tab w:val="left" w:pos="1800" w:leader="none"/>
          <w:tab w:val="left" w:pos="7740" w:leader="none"/>
        </w:tabs>
        <w:ind w:hanging="360" w:start="1800" w:end="0"/>
        <w:jc w:val="both"/>
        <w:rPr>
          <w:rFonts w:ascii="Arial" w:hAnsi="Arial" w:cs="Arial"/>
          <w:sz w:val="24"/>
        </w:rPr>
      </w:pPr>
      <w:r>
        <w:rPr>
          <w:rFonts w:cs="Arial" w:ascii="Arial" w:hAnsi="Arial"/>
          <w:sz w:val="24"/>
        </w:rPr>
        <w:t>The Ministry of Hydrocarbons has opened a formal investigation into the cause of the spill and has issued an unfavorable opinion which Transredes has appealed.</w:t>
      </w:r>
    </w:p>
    <w:p>
      <w:pPr>
        <w:pStyle w:val="Normal"/>
        <w:numPr>
          <w:ilvl w:val="0"/>
          <w:numId w:val="39"/>
        </w:numPr>
        <w:tabs>
          <w:tab w:val="clear" w:pos="720"/>
          <w:tab w:val="left" w:pos="1800" w:leader="none"/>
          <w:tab w:val="left" w:pos="7740" w:leader="none"/>
        </w:tabs>
        <w:ind w:hanging="360" w:start="1800" w:end="0"/>
        <w:jc w:val="both"/>
        <w:rPr>
          <w:rFonts w:ascii="Arial" w:hAnsi="Arial" w:cs="Arial"/>
          <w:sz w:val="24"/>
        </w:rPr>
      </w:pPr>
      <w:r>
        <w:rPr>
          <w:rFonts w:cs="Arial" w:ascii="Arial" w:hAnsi="Arial"/>
          <w:sz w:val="24"/>
        </w:rPr>
        <w:t xml:space="preserve">CNA has filed an action in London Commercial Court seeking to void the reinsurance policy upon which Transredes </w:t>
      </w:r>
      <w:r>
        <w:rPr>
          <w:rFonts w:cs="Arial" w:ascii="Arial" w:hAnsi="Arial"/>
          <w:b/>
          <w:bCs/>
          <w:sz w:val="24"/>
        </w:rPr>
        <w:t xml:space="preserve">ultimately </w:t>
      </w:r>
      <w:r>
        <w:rPr>
          <w:rFonts w:cs="Arial" w:ascii="Arial" w:hAnsi="Arial"/>
          <w:sz w:val="24"/>
        </w:rPr>
        <w:t xml:space="preserve">would rely for </w:t>
      </w:r>
      <w:r>
        <w:rPr>
          <w:rFonts w:cs="Arial" w:ascii="Arial" w:hAnsi="Arial"/>
          <w:b/>
          <w:bCs/>
          <w:sz w:val="24"/>
        </w:rPr>
        <w:t xml:space="preserve">repayment of </w:t>
      </w:r>
      <w:r>
        <w:rPr>
          <w:rFonts w:cs="Arial" w:ascii="Arial" w:hAnsi="Arial"/>
          <w:sz w:val="24"/>
        </w:rPr>
        <w:t xml:space="preserve">its cleanup costs.  The </w:t>
      </w:r>
      <w:r>
        <w:rPr>
          <w:rFonts w:cs="Arial" w:ascii="Arial" w:hAnsi="Arial"/>
          <w:b/>
          <w:bCs/>
          <w:sz w:val="24"/>
        </w:rPr>
        <w:t xml:space="preserve">CNA </w:t>
      </w:r>
      <w:r>
        <w:rPr>
          <w:rFonts w:cs="Arial" w:ascii="Arial" w:hAnsi="Arial"/>
          <w:sz w:val="24"/>
        </w:rPr>
        <w:t xml:space="preserve">action </w:t>
      </w:r>
      <w:r>
        <w:rPr>
          <w:rFonts w:cs="Arial" w:ascii="Arial" w:hAnsi="Arial"/>
          <w:b/>
          <w:bCs/>
          <w:sz w:val="24"/>
        </w:rPr>
        <w:t xml:space="preserve">was </w:t>
      </w:r>
      <w:r>
        <w:rPr>
          <w:rFonts w:cs="Arial" w:ascii="Arial" w:hAnsi="Arial"/>
          <w:sz w:val="24"/>
        </w:rPr>
        <w:t xml:space="preserve">brought against La Boliviana, the </w:t>
      </w:r>
      <w:r>
        <w:rPr>
          <w:rFonts w:cs="Arial" w:ascii="Arial" w:hAnsi="Arial"/>
          <w:b/>
          <w:bCs/>
          <w:sz w:val="24"/>
        </w:rPr>
        <w:t xml:space="preserve">“fronting” </w:t>
      </w:r>
      <w:r>
        <w:rPr>
          <w:rFonts w:cs="Arial" w:ascii="Arial" w:hAnsi="Arial"/>
          <w:sz w:val="24"/>
        </w:rPr>
        <w:t xml:space="preserve">insurer, but the principal allegation is that Lambert Fenchurch, the London broker, failed to disclose fully </w:t>
      </w:r>
      <w:r>
        <w:rPr>
          <w:rFonts w:cs="Arial" w:ascii="Arial" w:hAnsi="Arial"/>
          <w:b/>
          <w:bCs/>
          <w:sz w:val="24"/>
        </w:rPr>
        <w:t xml:space="preserve">to CNA </w:t>
      </w:r>
      <w:r>
        <w:rPr>
          <w:rFonts w:cs="Arial" w:ascii="Arial" w:hAnsi="Arial"/>
          <w:sz w:val="24"/>
        </w:rPr>
        <w:t xml:space="preserve">the nature of the risk </w:t>
      </w:r>
      <w:r>
        <w:rPr>
          <w:rFonts w:cs="Arial" w:ascii="Arial" w:hAnsi="Arial"/>
          <w:b/>
          <w:bCs/>
          <w:sz w:val="24"/>
        </w:rPr>
        <w:t>to the extent that the</w:t>
      </w:r>
      <w:r>
        <w:rPr>
          <w:rFonts w:cs="Arial" w:ascii="Arial" w:hAnsi="Arial"/>
          <w:sz w:val="24"/>
        </w:rPr>
        <w:t xml:space="preserve"> </w:t>
      </w:r>
      <w:r>
        <w:rPr>
          <w:rFonts w:cs="Arial" w:ascii="Arial" w:hAnsi="Arial"/>
          <w:b/>
          <w:bCs/>
          <w:sz w:val="24"/>
        </w:rPr>
        <w:t>status of the pipeline was misrepresented</w:t>
      </w:r>
      <w:r>
        <w:rPr>
          <w:rFonts w:cs="Arial" w:ascii="Arial" w:hAnsi="Arial"/>
          <w:sz w:val="24"/>
        </w:rPr>
        <w:t xml:space="preserve"> </w:t>
      </w:r>
      <w:r>
        <w:rPr>
          <w:rFonts w:cs="Arial" w:ascii="Arial" w:hAnsi="Arial"/>
          <w:b/>
          <w:bCs/>
          <w:sz w:val="24"/>
        </w:rPr>
        <w:t>to CNA when the application for insurance was submitted.</w:t>
      </w:r>
    </w:p>
    <w:p>
      <w:pPr>
        <w:pStyle w:val="Normal"/>
        <w:numPr>
          <w:ilvl w:val="0"/>
          <w:numId w:val="39"/>
        </w:numPr>
        <w:tabs>
          <w:tab w:val="clear" w:pos="720"/>
          <w:tab w:val="left" w:pos="1800" w:leader="none"/>
          <w:tab w:val="left" w:pos="7740" w:leader="none"/>
        </w:tabs>
        <w:ind w:hanging="360" w:start="1800" w:end="0"/>
        <w:jc w:val="both"/>
        <w:rPr>
          <w:rFonts w:ascii="Arial" w:hAnsi="Arial" w:cs="Arial"/>
          <w:sz w:val="24"/>
        </w:rPr>
      </w:pPr>
      <w:r>
        <w:rPr>
          <w:rFonts w:cs="Arial" w:ascii="Arial" w:hAnsi="Arial"/>
          <w:b/>
          <w:bCs/>
          <w:sz w:val="24"/>
        </w:rPr>
        <w:t xml:space="preserve">Transredes, LaBoliviana and CNA have entered into an agreement pursuant to which CNA has amended its statement of claims to deny coverage to LaBoliviana.  In turn, LaBoliviana will make Transredes a party to the London Commercial Court proceeding and all matters between the parties will be heard in the UK.  </w:t>
      </w:r>
    </w:p>
    <w:p>
      <w:pPr>
        <w:pStyle w:val="Normal"/>
        <w:tabs>
          <w:tab w:val="clear" w:pos="720"/>
          <w:tab w:val="left" w:pos="7740" w:leader="none"/>
        </w:tabs>
        <w:ind w:start="1440" w:end="0"/>
        <w:jc w:val="both"/>
        <w:rPr>
          <w:rFonts w:ascii="Arial" w:hAnsi="Arial" w:cs="Arial"/>
          <w:sz w:val="24"/>
        </w:rPr>
      </w:pPr>
      <w:r>
        <w:rPr>
          <w:rFonts w:cs="Arial" w:ascii="Arial" w:hAnsi="Arial"/>
          <w:sz w:val="24"/>
        </w:rPr>
      </w:r>
    </w:p>
    <w:p>
      <w:pPr>
        <w:pStyle w:val="Normal"/>
        <w:tabs>
          <w:tab w:val="clear" w:pos="720"/>
          <w:tab w:val="left" w:pos="7740" w:leader="none"/>
        </w:tabs>
        <w:ind w:start="1440" w:end="0"/>
        <w:jc w:val="both"/>
        <w:rPr>
          <w:rFonts w:ascii="Arial" w:hAnsi="Arial" w:cs="Arial"/>
          <w:b/>
          <w:sz w:val="24"/>
        </w:rPr>
      </w:pPr>
      <w:r>
        <w:rPr>
          <w:rFonts w:cs="Arial" w:ascii="Arial" w:hAnsi="Arial"/>
          <w:b/>
          <w:sz w:val="24"/>
        </w:rPr>
        <w:t>Tariff Dispute</w:t>
        <w:tab/>
        <w:t>(Not Updated)</w:t>
      </w:r>
    </w:p>
    <w:p>
      <w:pPr>
        <w:pStyle w:val="Normal"/>
        <w:tabs>
          <w:tab w:val="clear" w:pos="720"/>
          <w:tab w:val="left" w:pos="7740" w:leader="none"/>
        </w:tabs>
        <w:ind w:start="1440" w:end="0"/>
        <w:jc w:val="both"/>
        <w:rPr>
          <w:rFonts w:ascii="Arial" w:hAnsi="Arial" w:cs="Arial"/>
          <w:sz w:val="24"/>
        </w:rPr>
      </w:pPr>
      <w:r>
        <w:rPr>
          <w:rFonts w:cs="Arial" w:ascii="Arial" w:hAnsi="Arial"/>
          <w:sz w:val="24"/>
        </w:rPr>
        <w:t>(Administrative Appeal to Superintendent of Hydrocarbons) ($14 million) (Enron’s Interest: 25%)</w:t>
      </w:r>
    </w:p>
    <w:p>
      <w:pPr>
        <w:pStyle w:val="Normal"/>
        <w:tabs>
          <w:tab w:val="clear" w:pos="720"/>
          <w:tab w:val="left" w:pos="7740" w:leader="none"/>
        </w:tabs>
        <w:ind w:start="1440" w:end="0"/>
        <w:jc w:val="both"/>
        <w:rPr>
          <w:rFonts w:ascii="Arial" w:hAnsi="Arial" w:cs="Arial"/>
          <w:sz w:val="24"/>
        </w:rPr>
      </w:pPr>
      <w:r>
        <w:rPr>
          <w:rFonts w:cs="Arial" w:ascii="Arial" w:hAnsi="Arial"/>
          <w:sz w:val="24"/>
        </w:rPr>
      </w:r>
    </w:p>
    <w:p>
      <w:pPr>
        <w:pStyle w:val="Normal"/>
        <w:numPr>
          <w:ilvl w:val="0"/>
          <w:numId w:val="112"/>
        </w:numPr>
        <w:tabs>
          <w:tab w:val="clear" w:pos="720"/>
          <w:tab w:val="left" w:pos="1800" w:leader="none"/>
          <w:tab w:val="left" w:pos="7740" w:leader="none"/>
        </w:tabs>
        <w:ind w:hanging="360" w:start="1800" w:end="0"/>
        <w:jc w:val="both"/>
        <w:rPr>
          <w:rFonts w:ascii="Arial" w:hAnsi="Arial" w:cs="Arial"/>
          <w:sz w:val="24"/>
        </w:rPr>
      </w:pPr>
      <w:r>
        <w:rPr>
          <w:rFonts w:cs="Arial" w:ascii="Arial" w:hAnsi="Arial"/>
          <w:sz w:val="24"/>
        </w:rPr>
        <w:t>The Bolivian government has altered the interpretation and application of existing laws permitting Transredes to charge certain tariffs, retroactive to 1998.  It will have a potential $14 million impact on the company.</w:t>
      </w:r>
    </w:p>
    <w:p>
      <w:pPr>
        <w:pStyle w:val="Normal"/>
        <w:numPr>
          <w:ilvl w:val="0"/>
          <w:numId w:val="112"/>
        </w:numPr>
        <w:tabs>
          <w:tab w:val="clear" w:pos="720"/>
          <w:tab w:val="left" w:pos="1800" w:leader="none"/>
          <w:tab w:val="left" w:pos="7740" w:leader="none"/>
        </w:tabs>
        <w:ind w:hanging="360" w:start="1800" w:end="0"/>
        <w:jc w:val="both"/>
        <w:rPr>
          <w:rFonts w:ascii="Arial" w:hAnsi="Arial" w:cs="Arial"/>
          <w:sz w:val="24"/>
        </w:rPr>
      </w:pPr>
      <w:r>
        <w:rPr>
          <w:rFonts w:cs="Arial" w:ascii="Arial" w:hAnsi="Arial"/>
          <w:sz w:val="24"/>
        </w:rPr>
        <w:t xml:space="preserve">Transredes has filed an administrative appeal to the Superintendent of Hydrocarbons.  On December 23, 1999, the Superintendent issued an unfavorable resolution, and Transredes filed a petition for review (revocatory remedy) to have the resolution set aside.  The revocatory remedy was rejected and Transredes appealed to the General Superintendent of Hydrocarbons.  That appeal was rejected in January 2001.  </w:t>
      </w:r>
    </w:p>
    <w:p>
      <w:pPr>
        <w:pStyle w:val="Normal"/>
        <w:numPr>
          <w:ilvl w:val="0"/>
          <w:numId w:val="112"/>
        </w:numPr>
        <w:tabs>
          <w:tab w:val="clear" w:pos="720"/>
          <w:tab w:val="left" w:pos="1800" w:leader="none"/>
          <w:tab w:val="left" w:pos="7740" w:leader="none"/>
        </w:tabs>
        <w:ind w:hanging="360" w:start="1800" w:end="0"/>
        <w:jc w:val="both"/>
        <w:rPr>
          <w:rFonts w:ascii="Arial" w:hAnsi="Arial" w:cs="Arial"/>
          <w:sz w:val="24"/>
        </w:rPr>
      </w:pPr>
      <w:r>
        <w:rPr>
          <w:rFonts w:cs="Arial" w:ascii="Arial" w:hAnsi="Arial"/>
          <w:sz w:val="24"/>
        </w:rPr>
        <w:t>As its last resort, Transredes will appeal to the Bolivian</w:t>
      </w:r>
      <w:r>
        <w:rPr>
          <w:rFonts w:cs="Arial" w:ascii="Arial" w:hAnsi="Arial"/>
          <w:b/>
          <w:bCs/>
          <w:sz w:val="24"/>
        </w:rPr>
        <w:t xml:space="preserve"> </w:t>
      </w:r>
      <w:r>
        <w:rPr>
          <w:rFonts w:cs="Arial" w:ascii="Arial" w:hAnsi="Arial"/>
          <w:sz w:val="24"/>
        </w:rPr>
        <w:t xml:space="preserve">Supreme Court before mid-April 2001.  Transredes shareholders, Enron and Shell, will not pursue an ICSID claim under the UK/Bolivia or Netherlands/Bolivia Bilateral Investment Treaties.  </w:t>
      </w:r>
    </w:p>
    <w:p>
      <w:pPr>
        <w:pStyle w:val="Normal"/>
        <w:numPr>
          <w:ilvl w:val="0"/>
          <w:numId w:val="112"/>
        </w:numPr>
        <w:tabs>
          <w:tab w:val="clear" w:pos="720"/>
          <w:tab w:val="left" w:pos="1800" w:leader="none"/>
          <w:tab w:val="left" w:pos="7740" w:leader="none"/>
        </w:tabs>
        <w:ind w:hanging="360" w:start="1800" w:end="0"/>
        <w:jc w:val="both"/>
        <w:rPr>
          <w:rFonts w:ascii="Arial" w:hAnsi="Arial" w:cs="Arial"/>
          <w:sz w:val="24"/>
        </w:rPr>
      </w:pPr>
      <w:r>
        <w:rPr>
          <w:rFonts w:cs="Arial" w:ascii="Arial" w:hAnsi="Arial"/>
          <w:i/>
          <w:sz w:val="24"/>
        </w:rPr>
        <w:t>Note:  This matter is being handled by Transredes’ in-house legal department.</w:t>
      </w:r>
    </w:p>
    <w:p>
      <w:pPr>
        <w:pStyle w:val="Normal"/>
        <w:tabs>
          <w:tab w:val="clear" w:pos="720"/>
          <w:tab w:val="left" w:pos="7740" w:leader="none"/>
        </w:tabs>
        <w:ind w:start="720" w:end="0"/>
        <w:jc w:val="both"/>
        <w:rPr>
          <w:rFonts w:ascii="Arial" w:hAnsi="Arial" w:cs="Arial"/>
          <w:sz w:val="24"/>
        </w:rPr>
      </w:pPr>
      <w:r>
        <w:rPr>
          <w:rFonts w:cs="Arial" w:ascii="Arial" w:hAnsi="Arial"/>
          <w:sz w:val="24"/>
        </w:rPr>
      </w:r>
    </w:p>
    <w:p>
      <w:pPr>
        <w:pStyle w:val="Normal"/>
        <w:keepNext w:val="true"/>
        <w:keepLines/>
        <w:tabs>
          <w:tab w:val="clear" w:pos="720"/>
          <w:tab w:val="left" w:pos="7740" w:leader="none"/>
        </w:tabs>
        <w:ind w:start="1440" w:end="0"/>
        <w:jc w:val="both"/>
        <w:rPr>
          <w:rFonts w:ascii="Arial" w:hAnsi="Arial" w:cs="Arial"/>
          <w:b/>
          <w:sz w:val="24"/>
        </w:rPr>
      </w:pPr>
      <w:r>
        <w:rPr>
          <w:rFonts w:cs="Arial" w:ascii="Arial" w:hAnsi="Arial"/>
          <w:b/>
          <w:sz w:val="24"/>
        </w:rPr>
        <w:t>Transredes S.A. Criminal Matter</w:t>
        <w:tab/>
        <w:t>(Updated)</w:t>
      </w:r>
    </w:p>
    <w:p>
      <w:pPr>
        <w:pStyle w:val="Normal"/>
        <w:keepNext w:val="true"/>
        <w:keepLines/>
        <w:ind w:start="1440" w:end="0"/>
        <w:jc w:val="both"/>
        <w:rPr>
          <w:rFonts w:ascii="Arial" w:hAnsi="Arial" w:cs="Arial"/>
          <w:sz w:val="24"/>
        </w:rPr>
      </w:pPr>
      <w:r>
        <w:rPr>
          <w:rFonts w:cs="Arial" w:ascii="Arial" w:hAnsi="Arial"/>
          <w:sz w:val="24"/>
        </w:rPr>
        <w:t>(Santa Cruz Criminal District Court, Bolivia) (Christina Gutierrez, Alajandro Ortega) ($3 million from Transredes plus 1-5 years’ imprisonment of indicted individuals) (Enron’s Interest: 25%)</w:t>
      </w:r>
    </w:p>
    <w:p>
      <w:pPr>
        <w:pStyle w:val="Normal"/>
        <w:keepNext w:val="true"/>
        <w:keepLines/>
        <w:ind w:start="720" w:end="0"/>
        <w:jc w:val="both"/>
        <w:rPr>
          <w:rFonts w:ascii="Arial" w:hAnsi="Arial" w:cs="Arial"/>
          <w:sz w:val="24"/>
        </w:rPr>
      </w:pPr>
      <w:r>
        <w:rPr>
          <w:rFonts w:cs="Arial" w:ascii="Arial" w:hAnsi="Arial"/>
          <w:sz w:val="24"/>
        </w:rPr>
      </w:r>
    </w:p>
    <w:p>
      <w:pPr>
        <w:pStyle w:val="Normal"/>
        <w:keepNext w:val="true"/>
        <w:keepLines/>
        <w:numPr>
          <w:ilvl w:val="0"/>
          <w:numId w:val="118"/>
        </w:numPr>
        <w:tabs>
          <w:tab w:val="clear" w:pos="720"/>
          <w:tab w:val="left" w:pos="1800" w:leader="none"/>
          <w:tab w:val="left" w:pos="7740" w:leader="none"/>
          <w:tab w:val="left" w:pos="8370" w:leader="none"/>
        </w:tabs>
        <w:ind w:hanging="360" w:start="1800" w:end="0"/>
        <w:rPr>
          <w:rFonts w:ascii="Arial" w:hAnsi="Arial" w:cs="Arial"/>
          <w:sz w:val="24"/>
        </w:rPr>
      </w:pPr>
      <w:r>
        <w:rPr>
          <w:rFonts w:cs="Arial" w:ascii="Arial" w:hAnsi="Arial"/>
          <w:sz w:val="24"/>
        </w:rPr>
        <w:t xml:space="preserve">A May 1999 diesel spill into an artificial pond at Transredes Station No. 1 resulted in criminal charges for damage to public health being filed against three Transredes employees.  </w:t>
      </w:r>
    </w:p>
    <w:p>
      <w:pPr>
        <w:pStyle w:val="Normal"/>
        <w:numPr>
          <w:ilvl w:val="0"/>
          <w:numId w:val="62"/>
        </w:numPr>
        <w:tabs>
          <w:tab w:val="clear" w:pos="720"/>
          <w:tab w:val="left" w:pos="1800" w:leader="none"/>
          <w:tab w:val="left" w:pos="7740" w:leader="none"/>
          <w:tab w:val="left" w:pos="8370" w:leader="none"/>
        </w:tabs>
        <w:ind w:hanging="360" w:start="1800" w:end="0"/>
        <w:rPr>
          <w:rFonts w:ascii="Arial" w:hAnsi="Arial" w:cs="Arial"/>
          <w:sz w:val="24"/>
        </w:rPr>
      </w:pPr>
      <w:r>
        <w:rPr>
          <w:rFonts w:cs="Arial" w:ascii="Arial" w:hAnsi="Arial"/>
          <w:sz w:val="24"/>
        </w:rPr>
        <w:t>The defense argues that the District Attorney conducted the criminal investigation outside the scope of his authority to the extent that only environmental authorities, not the District Attorney, should determine which environmental cases warrant criminal prosecution.</w:t>
      </w:r>
    </w:p>
    <w:p>
      <w:pPr>
        <w:pStyle w:val="Normal"/>
        <w:numPr>
          <w:ilvl w:val="0"/>
          <w:numId w:val="62"/>
        </w:numPr>
        <w:tabs>
          <w:tab w:val="clear" w:pos="720"/>
          <w:tab w:val="left" w:pos="1800" w:leader="none"/>
          <w:tab w:val="left" w:pos="7740" w:leader="none"/>
          <w:tab w:val="left" w:pos="8370" w:leader="none"/>
        </w:tabs>
        <w:ind w:hanging="360" w:start="1800" w:end="0"/>
        <w:rPr>
          <w:rFonts w:ascii="Arial" w:hAnsi="Arial" w:cs="Arial"/>
          <w:sz w:val="24"/>
        </w:rPr>
      </w:pPr>
      <w:r>
        <w:rPr>
          <w:rFonts w:cs="Arial" w:ascii="Arial" w:hAnsi="Arial"/>
          <w:b/>
          <w:bCs/>
          <w:sz w:val="24"/>
        </w:rPr>
        <w:t>The judge of the Bolivian criminal court having jurisdiction of this matter has stayed the criminal proceedings in favor of Transredes’ representatives for lack of sufficient evidence, and suspended all judicial measures against them.  Under Bolivian law, the case must be dismissed within one year (February 2002) if sufficient evidence is not presented.  Transredes now seeks to recover its bond.</w:t>
      </w:r>
    </w:p>
    <w:p>
      <w:pPr>
        <w:pStyle w:val="Normal"/>
        <w:ind w:start="720" w:end="0"/>
        <w:rPr>
          <w:rFonts w:ascii="Arial" w:hAnsi="Arial" w:cs="Arial"/>
          <w:sz w:val="24"/>
        </w:rPr>
      </w:pPr>
      <w:r>
        <w:rPr>
          <w:rFonts w:cs="Arial" w:ascii="Arial" w:hAnsi="Arial"/>
          <w:sz w:val="24"/>
        </w:rPr>
      </w:r>
    </w:p>
    <w:p>
      <w:pPr>
        <w:pStyle w:val="Normal"/>
        <w:tabs>
          <w:tab w:val="clear" w:pos="720"/>
          <w:tab w:val="left" w:pos="7740" w:leader="none"/>
        </w:tabs>
        <w:ind w:start="1440" w:end="0"/>
        <w:rPr/>
      </w:pPr>
      <w:r>
        <w:rPr>
          <w:rFonts w:cs="Arial" w:ascii="Arial" w:hAnsi="Arial"/>
          <w:b/>
          <w:sz w:val="24"/>
          <w:u w:val="single"/>
        </w:rPr>
        <w:t>Garner Environmental Services, Inc. v. Enron</w:t>
      </w:r>
      <w:r>
        <w:rPr>
          <w:rFonts w:cs="Arial" w:ascii="Arial" w:hAnsi="Arial"/>
          <w:b/>
          <w:sz w:val="24"/>
        </w:rPr>
        <w:t xml:space="preserve"> </w:t>
        <w:tab/>
        <w:t>(Updated)</w:t>
      </w:r>
    </w:p>
    <w:p>
      <w:pPr>
        <w:pStyle w:val="Normal"/>
        <w:tabs>
          <w:tab w:val="clear" w:pos="720"/>
          <w:tab w:val="left" w:pos="7740" w:leader="none"/>
        </w:tabs>
        <w:ind w:start="1440" w:end="0"/>
        <w:rPr>
          <w:rFonts w:ascii="Arial" w:hAnsi="Arial" w:cs="Arial"/>
          <w:b/>
          <w:sz w:val="24"/>
          <w:u w:val="single"/>
        </w:rPr>
      </w:pPr>
      <w:r>
        <w:rPr>
          <w:rFonts w:cs="Arial" w:ascii="Arial" w:hAnsi="Arial"/>
          <w:b/>
          <w:sz w:val="24"/>
          <w:u w:val="single"/>
        </w:rPr>
        <w:t>Pipeline Company and Enron Operation Services Corp.</w:t>
      </w:r>
    </w:p>
    <w:p>
      <w:pPr>
        <w:pStyle w:val="Normal"/>
        <w:tabs>
          <w:tab w:val="clear" w:pos="720"/>
          <w:tab w:val="left" w:pos="7740" w:leader="none"/>
        </w:tabs>
        <w:ind w:start="1440" w:end="0"/>
        <w:rPr/>
      </w:pPr>
      <w:r>
        <w:rPr>
          <w:rFonts w:cs="Arial" w:ascii="Arial" w:hAnsi="Arial"/>
          <w:sz w:val="24"/>
        </w:rPr>
        <w:t>(281</w:t>
      </w:r>
      <w:r>
        <w:rPr>
          <w:rFonts w:cs="Arial" w:ascii="Arial" w:hAnsi="Arial"/>
          <w:sz w:val="24"/>
          <w:vertAlign w:val="superscript"/>
        </w:rPr>
        <w:t>st</w:t>
      </w:r>
      <w:r>
        <w:rPr>
          <w:rFonts w:cs="Arial" w:ascii="Arial" w:hAnsi="Arial"/>
          <w:sz w:val="24"/>
        </w:rPr>
        <w:t xml:space="preserve"> Judicial District Court, Harris County, Texas) (Lee Kaplan/Smyser, Kaplan &amp; Veseeka)</w:t>
      </w:r>
      <w:r>
        <w:rPr>
          <w:rFonts w:cs="Arial" w:ascii="Arial" w:hAnsi="Arial"/>
          <w:b/>
          <w:sz w:val="24"/>
        </w:rPr>
        <w:t xml:space="preserve"> </w:t>
      </w:r>
      <w:r>
        <w:rPr>
          <w:rFonts w:cs="Arial" w:ascii="Arial" w:hAnsi="Arial"/>
          <w:sz w:val="24"/>
        </w:rPr>
        <w:t>($7.7 million)</w:t>
      </w:r>
    </w:p>
    <w:p>
      <w:pPr>
        <w:pStyle w:val="Normal"/>
        <w:tabs>
          <w:tab w:val="clear" w:pos="720"/>
          <w:tab w:val="left" w:pos="7740" w:leader="none"/>
        </w:tabs>
        <w:ind w:start="1440" w:end="0"/>
        <w:rPr>
          <w:rFonts w:ascii="Arial" w:hAnsi="Arial" w:cs="Arial"/>
          <w:sz w:val="24"/>
        </w:rPr>
      </w:pPr>
      <w:r>
        <w:rPr>
          <w:rFonts w:cs="Arial" w:ascii="Arial" w:hAnsi="Arial"/>
          <w:sz w:val="24"/>
        </w:rPr>
      </w:r>
    </w:p>
    <w:p>
      <w:pPr>
        <w:pStyle w:val="Normal"/>
        <w:numPr>
          <w:ilvl w:val="0"/>
          <w:numId w:val="95"/>
        </w:numPr>
        <w:tabs>
          <w:tab w:val="clear" w:pos="720"/>
          <w:tab w:val="left" w:pos="1800" w:leader="none"/>
          <w:tab w:val="left" w:pos="7740" w:leader="none"/>
        </w:tabs>
        <w:ind w:hanging="360" w:start="1800" w:end="0"/>
        <w:rPr>
          <w:rFonts w:ascii="Arial" w:hAnsi="Arial" w:cs="Arial"/>
          <w:sz w:val="24"/>
        </w:rPr>
      </w:pPr>
      <w:r>
        <w:rPr>
          <w:rFonts w:cs="Arial" w:ascii="Arial" w:hAnsi="Arial"/>
          <w:sz w:val="24"/>
        </w:rPr>
        <w:t>Garner claims that the named Enron defendants failed to pay approximately $7.7 million owed in connection with Garner’s clean-up efforts relating to the Transredes Desaguardero River Oil Spill.</w:t>
      </w:r>
    </w:p>
    <w:p>
      <w:pPr>
        <w:pStyle w:val="Normal"/>
        <w:numPr>
          <w:ilvl w:val="0"/>
          <w:numId w:val="95"/>
        </w:numPr>
        <w:tabs>
          <w:tab w:val="clear" w:pos="720"/>
          <w:tab w:val="left" w:pos="1800" w:leader="none"/>
          <w:tab w:val="left" w:pos="7740" w:leader="none"/>
        </w:tabs>
        <w:ind w:hanging="360" w:start="1800" w:end="0"/>
        <w:rPr>
          <w:rFonts w:ascii="Arial" w:hAnsi="Arial" w:cs="Arial"/>
          <w:sz w:val="24"/>
        </w:rPr>
      </w:pPr>
      <w:r>
        <w:rPr>
          <w:rFonts w:cs="Arial" w:ascii="Arial" w:hAnsi="Arial"/>
          <w:sz w:val="24"/>
        </w:rPr>
        <w:t xml:space="preserve">On October 19, 2000, Garner filed suit against Enron Pipeline Company and Enron Operation Services Corp. based on an umbrella contract involving the entities.  Transredes was not made a defendant.  </w:t>
      </w:r>
    </w:p>
    <w:p>
      <w:pPr>
        <w:pStyle w:val="Normal"/>
        <w:numPr>
          <w:ilvl w:val="0"/>
          <w:numId w:val="95"/>
        </w:numPr>
        <w:tabs>
          <w:tab w:val="clear" w:pos="720"/>
          <w:tab w:val="left" w:pos="1800" w:leader="none"/>
          <w:tab w:val="left" w:pos="7740" w:leader="none"/>
        </w:tabs>
        <w:ind w:hanging="360" w:start="1800" w:end="0"/>
        <w:rPr>
          <w:rFonts w:ascii="Arial" w:hAnsi="Arial" w:cs="Arial"/>
          <w:sz w:val="24"/>
        </w:rPr>
      </w:pPr>
      <w:r>
        <w:rPr>
          <w:rFonts w:cs="Arial" w:ascii="Arial" w:hAnsi="Arial"/>
          <w:sz w:val="24"/>
        </w:rPr>
        <w:t>The defendants’ filed their answer and special exception.  Both parties have filed initial disclosures as required by the Texas Rules of Civil Procedure.</w:t>
      </w:r>
    </w:p>
    <w:p>
      <w:pPr>
        <w:pStyle w:val="Normal"/>
        <w:numPr>
          <w:ilvl w:val="0"/>
          <w:numId w:val="95"/>
        </w:numPr>
        <w:tabs>
          <w:tab w:val="clear" w:pos="720"/>
          <w:tab w:val="left" w:pos="1800" w:leader="none"/>
          <w:tab w:val="left" w:pos="7740" w:leader="none"/>
        </w:tabs>
        <w:ind w:hanging="360" w:start="1800" w:end="0"/>
        <w:rPr>
          <w:rFonts w:ascii="Arial" w:hAnsi="Arial" w:cs="Arial"/>
          <w:bCs/>
          <w:sz w:val="24"/>
        </w:rPr>
      </w:pPr>
      <w:r>
        <w:rPr>
          <w:rFonts w:cs="Arial" w:ascii="Arial" w:hAnsi="Arial"/>
          <w:bCs/>
          <w:sz w:val="24"/>
        </w:rPr>
        <w:t xml:space="preserve">Garner has agreed to binding arbitration with Transredes and to </w:t>
      </w:r>
      <w:r>
        <w:rPr>
          <w:rFonts w:cs="Arial" w:ascii="Arial" w:hAnsi="Arial"/>
          <w:b/>
          <w:sz w:val="24"/>
        </w:rPr>
        <w:t xml:space="preserve">dismiss its claims </w:t>
      </w:r>
      <w:r>
        <w:rPr>
          <w:rFonts w:cs="Arial" w:ascii="Arial" w:hAnsi="Arial"/>
          <w:bCs/>
          <w:sz w:val="24"/>
        </w:rPr>
        <w:t>against the Enron defendants</w:t>
      </w:r>
      <w:r>
        <w:rPr>
          <w:rFonts w:cs="Arial" w:ascii="Arial" w:hAnsi="Arial"/>
          <w:b/>
          <w:sz w:val="24"/>
        </w:rPr>
        <w:t xml:space="preserve">, without prejudice, </w:t>
      </w:r>
      <w:r>
        <w:rPr>
          <w:rFonts w:cs="Arial" w:ascii="Arial" w:hAnsi="Arial"/>
          <w:bCs/>
          <w:sz w:val="24"/>
        </w:rPr>
        <w:t xml:space="preserve">until the arbitration has been completed and any judgment paid.  </w:t>
      </w:r>
      <w:r>
        <w:rPr>
          <w:rFonts w:cs="Arial" w:ascii="Arial" w:hAnsi="Arial"/>
          <w:b/>
          <w:sz w:val="24"/>
        </w:rPr>
        <w:t>Once a judgment, if any, in favor of Garner is paid, the dismissal without prejudice will be converted to a dismissal with prejudice.</w:t>
      </w:r>
    </w:p>
    <w:p>
      <w:pPr>
        <w:pStyle w:val="Normal"/>
        <w:numPr>
          <w:ilvl w:val="0"/>
          <w:numId w:val="95"/>
        </w:numPr>
        <w:tabs>
          <w:tab w:val="clear" w:pos="720"/>
          <w:tab w:val="left" w:pos="1800" w:leader="none"/>
          <w:tab w:val="left" w:pos="7740" w:leader="none"/>
        </w:tabs>
        <w:ind w:hanging="360" w:start="1800" w:end="0"/>
        <w:rPr>
          <w:rFonts w:ascii="Arial" w:hAnsi="Arial" w:cs="Arial"/>
          <w:bCs/>
          <w:sz w:val="24"/>
        </w:rPr>
      </w:pPr>
      <w:r>
        <w:rPr>
          <w:rFonts w:cs="Arial" w:ascii="Arial" w:hAnsi="Arial"/>
          <w:b/>
          <w:sz w:val="24"/>
        </w:rPr>
        <w:t>The arbitration agreement has been executed. Once the Rule 11 Agreement is executed, this matter will appear on the report as “</w:t>
      </w:r>
      <w:r>
        <w:rPr>
          <w:rFonts w:cs="Arial" w:ascii="Arial" w:hAnsi="Arial"/>
          <w:b/>
          <w:sz w:val="24"/>
          <w:u w:val="single"/>
        </w:rPr>
        <w:t>Garner v. Transredes</w:t>
      </w:r>
      <w:r>
        <w:rPr>
          <w:rFonts w:cs="Arial" w:ascii="Arial" w:hAnsi="Arial"/>
          <w:b/>
          <w:sz w:val="24"/>
        </w:rPr>
        <w:t>.”</w:t>
      </w:r>
    </w:p>
    <w:p>
      <w:pPr>
        <w:pStyle w:val="Normal"/>
        <w:tabs>
          <w:tab w:val="clear" w:pos="720"/>
          <w:tab w:val="left" w:pos="7740" w:leader="none"/>
        </w:tabs>
        <w:ind w:start="720" w:end="0"/>
        <w:rPr>
          <w:rFonts w:ascii="Arial" w:hAnsi="Arial" w:cs="Arial"/>
          <w:b/>
          <w:bCs/>
          <w:sz w:val="24"/>
        </w:rPr>
      </w:pPr>
      <w:r>
        <w:rPr>
          <w:rFonts w:cs="Arial" w:ascii="Arial" w:hAnsi="Arial"/>
          <w:b/>
          <w:bCs/>
          <w:sz w:val="24"/>
        </w:rPr>
      </w:r>
    </w:p>
    <w:p>
      <w:pPr>
        <w:pStyle w:val="Normal"/>
        <w:tabs>
          <w:tab w:val="clear" w:pos="720"/>
          <w:tab w:val="left" w:pos="7740" w:leader="none"/>
        </w:tabs>
        <w:ind w:start="720" w:end="0"/>
        <w:rPr>
          <w:rFonts w:ascii="Arial" w:hAnsi="Arial" w:cs="Arial"/>
          <w:b/>
          <w:sz w:val="24"/>
        </w:rPr>
      </w:pPr>
      <w:r>
        <w:rPr>
          <w:rFonts w:cs="Arial" w:ascii="Arial" w:hAnsi="Arial"/>
          <w:b/>
          <w:sz w:val="24"/>
        </w:rPr>
      </w:r>
    </w:p>
    <w:p>
      <w:pPr>
        <w:pStyle w:val="Normal"/>
        <w:keepNext w:val="true"/>
        <w:keepLines/>
        <w:numPr>
          <w:ilvl w:val="0"/>
          <w:numId w:val="149"/>
        </w:numPr>
        <w:tabs>
          <w:tab w:val="clear" w:pos="720"/>
          <w:tab w:val="left" w:pos="7740" w:leader="none"/>
        </w:tabs>
        <w:rPr>
          <w:rFonts w:ascii="Arial" w:hAnsi="Arial" w:cs="Arial"/>
          <w:b/>
          <w:sz w:val="28"/>
          <w:u w:val="single"/>
        </w:rPr>
      </w:pPr>
      <w:r>
        <w:rPr>
          <w:rFonts w:cs="Arial" w:ascii="Arial" w:hAnsi="Arial"/>
          <w:b/>
          <w:sz w:val="28"/>
          <w:u w:val="single"/>
        </w:rPr>
        <w:t>Gas Oriente Boliviano</w:t>
      </w:r>
    </w:p>
    <w:p>
      <w:pPr>
        <w:pStyle w:val="Normal"/>
        <w:keepNext w:val="true"/>
        <w:keepLines/>
        <w:tabs>
          <w:tab w:val="clear" w:pos="720"/>
          <w:tab w:val="left" w:pos="7740" w:leader="none"/>
        </w:tabs>
        <w:ind w:start="720" w:end="0"/>
        <w:jc w:val="both"/>
        <w:rPr>
          <w:rFonts w:ascii="Arial" w:hAnsi="Arial" w:cs="Arial"/>
          <w:b/>
          <w:sz w:val="24"/>
          <w:u w:val="single"/>
        </w:rPr>
      </w:pPr>
      <w:r>
        <w:rPr>
          <w:rFonts w:cs="Arial" w:ascii="Arial" w:hAnsi="Arial"/>
          <w:b/>
          <w:sz w:val="24"/>
          <w:u w:val="single"/>
        </w:rPr>
      </w:r>
    </w:p>
    <w:p>
      <w:pPr>
        <w:pStyle w:val="Normal"/>
        <w:keepNext w:val="true"/>
        <w:keepLines/>
        <w:numPr>
          <w:ilvl w:val="0"/>
          <w:numId w:val="32"/>
        </w:numPr>
        <w:tabs>
          <w:tab w:val="clear" w:pos="720"/>
          <w:tab w:val="left" w:pos="1440" w:leader="none"/>
        </w:tabs>
        <w:ind w:hanging="720" w:start="1440" w:end="0"/>
        <w:jc w:val="both"/>
        <w:rPr>
          <w:rFonts w:ascii="Arial" w:hAnsi="Arial" w:cs="Arial"/>
          <w:b/>
          <w:sz w:val="24"/>
        </w:rPr>
      </w:pPr>
      <w:r>
        <w:rPr>
          <w:rFonts w:cs="Arial" w:ascii="Arial" w:hAnsi="Arial"/>
          <w:b/>
          <w:sz w:val="24"/>
        </w:rPr>
        <w:t>LITIGATION/ARBITRATION</w:t>
      </w:r>
    </w:p>
    <w:p>
      <w:pPr>
        <w:pStyle w:val="Normal"/>
        <w:keepNext w:val="true"/>
        <w:keepLines/>
        <w:ind w:start="720" w:end="0"/>
        <w:jc w:val="both"/>
        <w:rPr>
          <w:rFonts w:ascii="Arial" w:hAnsi="Arial" w:cs="Arial"/>
          <w:b/>
          <w:sz w:val="24"/>
        </w:rPr>
      </w:pPr>
      <w:r>
        <w:rPr>
          <w:rFonts w:cs="Arial" w:ascii="Arial" w:hAnsi="Arial"/>
          <w:b/>
          <w:sz w:val="24"/>
        </w:rPr>
      </w:r>
    </w:p>
    <w:p>
      <w:pPr>
        <w:pStyle w:val="Normal"/>
        <w:keepNext w:val="true"/>
        <w:keepLines/>
        <w:tabs>
          <w:tab w:val="clear" w:pos="720"/>
          <w:tab w:val="left" w:pos="7740" w:leader="none"/>
        </w:tabs>
        <w:ind w:start="1440" w:end="0"/>
        <w:jc w:val="both"/>
        <w:rPr/>
      </w:pPr>
      <w:r>
        <w:rPr>
          <w:rFonts w:cs="Arial" w:ascii="Arial" w:hAnsi="Arial"/>
          <w:b/>
          <w:sz w:val="24"/>
          <w:u w:val="single"/>
        </w:rPr>
        <w:t>MABONAL Ltd. v. Gas Oriente Boliviano, Transredes,</w:t>
      </w:r>
      <w:r>
        <w:rPr>
          <w:rFonts w:cs="Arial" w:ascii="Arial" w:hAnsi="Arial"/>
          <w:b/>
          <w:sz w:val="24"/>
        </w:rPr>
        <w:tab/>
        <w:t>(Updated)</w:t>
      </w:r>
    </w:p>
    <w:p>
      <w:pPr>
        <w:pStyle w:val="Normal"/>
        <w:keepNext w:val="true"/>
        <w:keepLines/>
        <w:tabs>
          <w:tab w:val="clear" w:pos="720"/>
          <w:tab w:val="left" w:pos="7740" w:leader="none"/>
        </w:tabs>
        <w:ind w:start="1440" w:end="0"/>
        <w:jc w:val="both"/>
        <w:rPr>
          <w:rFonts w:ascii="Arial" w:hAnsi="Arial" w:cs="Arial"/>
          <w:b/>
          <w:sz w:val="24"/>
          <w:u w:val="single"/>
        </w:rPr>
      </w:pPr>
      <w:r>
        <w:rPr>
          <w:rFonts w:cs="Arial" w:ascii="Arial" w:hAnsi="Arial"/>
          <w:b/>
          <w:sz w:val="24"/>
          <w:u w:val="single"/>
        </w:rPr>
        <w:t>Enron S.A., and Shell S.A.</w:t>
      </w:r>
    </w:p>
    <w:p>
      <w:pPr>
        <w:pStyle w:val="Normal"/>
        <w:keepNext w:val="true"/>
        <w:keepLines/>
        <w:tabs>
          <w:tab w:val="clear" w:pos="720"/>
          <w:tab w:val="left" w:pos="7740" w:leader="none"/>
          <w:tab w:val="left" w:pos="8370" w:leader="none"/>
        </w:tabs>
        <w:ind w:start="1440" w:end="0"/>
        <w:rPr/>
      </w:pPr>
      <w:r>
        <w:rPr>
          <w:rFonts w:cs="Arial" w:ascii="Arial" w:hAnsi="Arial"/>
          <w:sz w:val="24"/>
        </w:rPr>
        <w:t>(Santa Cruz Civil Court)</w:t>
      </w:r>
      <w:r>
        <w:rPr>
          <w:rFonts w:cs="Arial" w:ascii="Arial" w:hAnsi="Arial"/>
          <w:b/>
          <w:sz w:val="24"/>
        </w:rPr>
        <w:t xml:space="preserve"> </w:t>
      </w:r>
      <w:r>
        <w:rPr>
          <w:rFonts w:cs="Arial" w:ascii="Arial" w:hAnsi="Arial"/>
          <w:sz w:val="24"/>
        </w:rPr>
        <w:t>(Dra. Bonnie Coca) ($600,000) (Enron’s Interest: 30%)</w:t>
      </w:r>
    </w:p>
    <w:p>
      <w:pPr>
        <w:pStyle w:val="Normal"/>
        <w:keepNext w:val="true"/>
        <w:keepLines/>
        <w:tabs>
          <w:tab w:val="clear" w:pos="720"/>
          <w:tab w:val="left" w:pos="7740" w:leader="none"/>
          <w:tab w:val="left" w:pos="8370" w:leader="none"/>
        </w:tabs>
        <w:ind w:start="1440" w:end="0"/>
        <w:rPr>
          <w:rFonts w:ascii="Arial" w:hAnsi="Arial" w:cs="Arial"/>
          <w:sz w:val="24"/>
        </w:rPr>
      </w:pPr>
      <w:r>
        <w:rPr>
          <w:rFonts w:cs="Arial" w:ascii="Arial" w:hAnsi="Arial"/>
          <w:sz w:val="24"/>
        </w:rPr>
      </w:r>
    </w:p>
    <w:p>
      <w:pPr>
        <w:pStyle w:val="Normal"/>
        <w:keepNext w:val="true"/>
        <w:keepLines/>
        <w:numPr>
          <w:ilvl w:val="0"/>
          <w:numId w:val="17"/>
        </w:numPr>
        <w:tabs>
          <w:tab w:val="clear" w:pos="720"/>
          <w:tab w:val="left" w:pos="1800" w:leader="none"/>
          <w:tab w:val="left" w:pos="7740" w:leader="none"/>
          <w:tab w:val="left" w:pos="8370" w:leader="none"/>
        </w:tabs>
        <w:ind w:hanging="360" w:start="1800" w:end="0"/>
        <w:rPr>
          <w:rFonts w:ascii="Arial" w:hAnsi="Arial" w:cs="Arial"/>
          <w:sz w:val="24"/>
        </w:rPr>
      </w:pPr>
      <w:r>
        <w:rPr>
          <w:rFonts w:cs="Arial" w:ascii="Arial" w:hAnsi="Arial"/>
          <w:sz w:val="24"/>
        </w:rPr>
        <w:t>In January 2000, MABONAL Ltd., a timber merchant company, filed a precautionary measure against Gas Oriente Boliviano (“GOB”), Transredes, Enron S.A., and Shell S.A. claiming damages caused to its timber concession by the construction of the right-of-way for the pipeline to Cuiabá.</w:t>
      </w:r>
    </w:p>
    <w:p>
      <w:pPr>
        <w:pStyle w:val="Normal"/>
        <w:numPr>
          <w:ilvl w:val="0"/>
          <w:numId w:val="17"/>
        </w:numPr>
        <w:tabs>
          <w:tab w:val="clear" w:pos="720"/>
          <w:tab w:val="left" w:pos="1800" w:leader="none"/>
          <w:tab w:val="left" w:pos="7740" w:leader="none"/>
          <w:tab w:val="left" w:pos="8370" w:leader="none"/>
        </w:tabs>
        <w:ind w:hanging="360" w:start="1800" w:end="0"/>
        <w:rPr>
          <w:rFonts w:ascii="Arial" w:hAnsi="Arial" w:cs="Arial"/>
          <w:sz w:val="24"/>
        </w:rPr>
      </w:pPr>
      <w:r>
        <w:rPr>
          <w:rFonts w:cs="Arial" w:ascii="Arial" w:hAnsi="Arial"/>
          <w:sz w:val="24"/>
        </w:rPr>
        <w:t xml:space="preserve">Under Bolivian law, a precautionary measure seeks judicial inspection of the site to verify its current condition.  </w:t>
      </w:r>
    </w:p>
    <w:p>
      <w:pPr>
        <w:pStyle w:val="Normal"/>
        <w:numPr>
          <w:ilvl w:val="0"/>
          <w:numId w:val="17"/>
        </w:numPr>
        <w:tabs>
          <w:tab w:val="clear" w:pos="720"/>
          <w:tab w:val="left" w:pos="1800" w:leader="none"/>
          <w:tab w:val="left" w:pos="7740" w:leader="none"/>
          <w:tab w:val="left" w:pos="8370" w:leader="none"/>
        </w:tabs>
        <w:ind w:hanging="360" w:start="1800" w:end="0"/>
        <w:rPr>
          <w:rFonts w:ascii="Arial" w:hAnsi="Arial" w:cs="Arial"/>
          <w:sz w:val="24"/>
        </w:rPr>
      </w:pPr>
      <w:r>
        <w:rPr>
          <w:rFonts w:cs="Arial" w:ascii="Arial" w:hAnsi="Arial"/>
          <w:sz w:val="24"/>
        </w:rPr>
        <w:t xml:space="preserve">Transredes S.A., Enron S.A., and GOB have not been legally served.  Shell S.A. has been served. </w:t>
      </w:r>
    </w:p>
    <w:p>
      <w:pPr>
        <w:pStyle w:val="Normal"/>
        <w:numPr>
          <w:ilvl w:val="0"/>
          <w:numId w:val="17"/>
        </w:numPr>
        <w:tabs>
          <w:tab w:val="clear" w:pos="720"/>
          <w:tab w:val="left" w:pos="1800" w:leader="none"/>
          <w:tab w:val="left" w:pos="7740" w:leader="none"/>
          <w:tab w:val="left" w:pos="8370" w:leader="none"/>
        </w:tabs>
        <w:ind w:hanging="360" w:start="1800" w:end="0"/>
        <w:rPr>
          <w:rFonts w:ascii="Arial" w:hAnsi="Arial" w:cs="Arial"/>
          <w:sz w:val="24"/>
        </w:rPr>
      </w:pPr>
      <w:r>
        <w:rPr>
          <w:rFonts w:cs="Arial" w:ascii="Arial" w:hAnsi="Arial"/>
          <w:sz w:val="24"/>
        </w:rPr>
        <w:t>Enron and Transredes will defend on jurisdictional grounds and on the basis that they are not responsible for the damage.  GOB will defend on the following grounds: (i) compliance with the law and regulations; (ii) public notification to negotiate compensation</w:t>
      </w:r>
      <w:r>
        <w:rPr>
          <w:rFonts w:cs="Arial" w:ascii="Arial" w:hAnsi="Arial"/>
          <w:b/>
          <w:bCs/>
          <w:sz w:val="24"/>
        </w:rPr>
        <w:t xml:space="preserve"> was ignored by MABONAL</w:t>
      </w:r>
      <w:r>
        <w:rPr>
          <w:rFonts w:cs="Arial" w:ascii="Arial" w:hAnsi="Arial"/>
          <w:sz w:val="24"/>
        </w:rPr>
        <w:t xml:space="preserve">; and (iii) the </w:t>
      </w:r>
      <w:r>
        <w:rPr>
          <w:rFonts w:cs="Arial" w:ascii="Arial" w:hAnsi="Arial"/>
          <w:b/>
          <w:bCs/>
          <w:sz w:val="24"/>
        </w:rPr>
        <w:t xml:space="preserve">construction </w:t>
      </w:r>
      <w:r>
        <w:rPr>
          <w:rFonts w:cs="Arial" w:ascii="Arial" w:hAnsi="Arial"/>
          <w:sz w:val="24"/>
        </w:rPr>
        <w:t>made on the forest area were carried out under appropriate technical criteria.</w:t>
      </w:r>
    </w:p>
    <w:p>
      <w:pPr>
        <w:pStyle w:val="Normal"/>
        <w:numPr>
          <w:ilvl w:val="0"/>
          <w:numId w:val="17"/>
        </w:numPr>
        <w:tabs>
          <w:tab w:val="clear" w:pos="720"/>
          <w:tab w:val="left" w:pos="1800" w:leader="none"/>
          <w:tab w:val="left" w:pos="7740" w:leader="none"/>
          <w:tab w:val="left" w:pos="8370" w:leader="none"/>
        </w:tabs>
        <w:ind w:hanging="360" w:start="1800" w:end="0"/>
        <w:rPr>
          <w:rFonts w:ascii="Arial" w:hAnsi="Arial" w:cs="Arial"/>
          <w:sz w:val="24"/>
        </w:rPr>
      </w:pPr>
      <w:r>
        <w:rPr>
          <w:rFonts w:cs="Arial" w:ascii="Arial" w:hAnsi="Arial"/>
          <w:sz w:val="24"/>
        </w:rPr>
        <w:t xml:space="preserve">Recently GOB learned that MABONAL failed to pay its concessionary fee for the past 2 years which makes its concession legally unenforceable.  Because the majority of concessionaires are in arrears on their concessionary fees, </w:t>
      </w:r>
      <w:r>
        <w:rPr>
          <w:rFonts w:cs="Arial" w:ascii="Arial" w:hAnsi="Arial"/>
          <w:b/>
          <w:bCs/>
          <w:sz w:val="24"/>
        </w:rPr>
        <w:t xml:space="preserve">however, </w:t>
      </w:r>
      <w:r>
        <w:rPr>
          <w:rFonts w:cs="Arial" w:ascii="Arial" w:hAnsi="Arial"/>
          <w:sz w:val="24"/>
        </w:rPr>
        <w:t>GOB’s effort to have the Forestry Superintendent invalidate MABONAL’s concession was unsuccessful.</w:t>
      </w:r>
    </w:p>
    <w:p>
      <w:pPr>
        <w:pStyle w:val="Normal"/>
        <w:numPr>
          <w:ilvl w:val="0"/>
          <w:numId w:val="17"/>
        </w:numPr>
        <w:tabs>
          <w:tab w:val="clear" w:pos="720"/>
          <w:tab w:val="left" w:pos="1800" w:leader="none"/>
          <w:tab w:val="left" w:pos="7740" w:leader="none"/>
          <w:tab w:val="left" w:pos="8370" w:leader="none"/>
        </w:tabs>
        <w:ind w:hanging="360" w:start="1800" w:end="0"/>
        <w:rPr>
          <w:rFonts w:ascii="Arial" w:hAnsi="Arial" w:cs="Arial"/>
          <w:sz w:val="24"/>
        </w:rPr>
      </w:pPr>
      <w:r>
        <w:rPr>
          <w:rFonts w:cs="Arial" w:ascii="Arial" w:hAnsi="Arial"/>
          <w:sz w:val="24"/>
        </w:rPr>
        <w:t>GOB has filed a request for reconsideration.</w:t>
      </w:r>
    </w:p>
    <w:p>
      <w:pPr>
        <w:pStyle w:val="Normal"/>
        <w:numPr>
          <w:ilvl w:val="0"/>
          <w:numId w:val="17"/>
        </w:numPr>
        <w:tabs>
          <w:tab w:val="clear" w:pos="720"/>
          <w:tab w:val="left" w:pos="1800" w:leader="none"/>
          <w:tab w:val="left" w:pos="7740" w:leader="none"/>
          <w:tab w:val="left" w:pos="8370" w:leader="none"/>
        </w:tabs>
        <w:ind w:hanging="360" w:start="1800" w:end="0"/>
        <w:rPr>
          <w:rFonts w:ascii="Arial" w:hAnsi="Arial" w:cs="Arial"/>
          <w:sz w:val="24"/>
        </w:rPr>
      </w:pPr>
      <w:r>
        <w:rPr>
          <w:rFonts w:cs="Arial" w:ascii="Arial" w:hAnsi="Arial"/>
          <w:b/>
          <w:bCs/>
          <w:sz w:val="24"/>
        </w:rPr>
        <w:t>MABONAL filed a claim in the local court, which GOB now seeks to set aside on the three grounds set forth above.</w:t>
      </w:r>
    </w:p>
    <w:p>
      <w:pPr>
        <w:pStyle w:val="Normal"/>
        <w:tabs>
          <w:tab w:val="clear" w:pos="720"/>
          <w:tab w:val="left" w:pos="7740" w:leader="none"/>
          <w:tab w:val="left" w:pos="8370" w:leader="none"/>
        </w:tabs>
        <w:ind w:start="720" w:end="0"/>
        <w:rPr>
          <w:rFonts w:ascii="Arial" w:hAnsi="Arial" w:cs="Arial"/>
          <w:sz w:val="24"/>
        </w:rPr>
      </w:pPr>
      <w:r>
        <w:rPr>
          <w:rFonts w:cs="Arial" w:ascii="Arial" w:hAnsi="Arial"/>
          <w:sz w:val="24"/>
        </w:rPr>
      </w:r>
    </w:p>
    <w:p>
      <w:pPr>
        <w:pStyle w:val="Normal"/>
        <w:keepNext w:val="true"/>
        <w:keepLines/>
        <w:numPr>
          <w:ilvl w:val="0"/>
          <w:numId w:val="105"/>
        </w:numPr>
        <w:rPr>
          <w:rFonts w:ascii="Arial" w:hAnsi="Arial" w:cs="Arial"/>
          <w:b/>
          <w:sz w:val="24"/>
          <w:u w:val="single"/>
        </w:rPr>
      </w:pPr>
      <w:r>
        <w:rPr>
          <w:rFonts w:cs="Arial" w:ascii="Arial" w:hAnsi="Arial"/>
          <w:b/>
          <w:sz w:val="24"/>
        </w:rPr>
        <w:t>CLAIMS/DISPUTES</w:t>
      </w:r>
    </w:p>
    <w:p>
      <w:pPr>
        <w:pStyle w:val="Normal"/>
        <w:keepNext w:val="true"/>
        <w:keepLines/>
        <w:tabs>
          <w:tab w:val="clear" w:pos="720"/>
          <w:tab w:val="left" w:pos="7740" w:leader="none"/>
        </w:tabs>
        <w:ind w:start="1440" w:end="0"/>
        <w:jc w:val="both"/>
        <w:rPr>
          <w:rFonts w:ascii="Arial" w:hAnsi="Arial" w:cs="Arial"/>
          <w:b/>
          <w:sz w:val="24"/>
          <w:u w:val="single"/>
        </w:rPr>
      </w:pPr>
      <w:r>
        <w:rPr>
          <w:rFonts w:cs="Arial" w:ascii="Arial" w:hAnsi="Arial"/>
          <w:b/>
          <w:sz w:val="24"/>
          <w:u w:val="single"/>
        </w:rPr>
      </w:r>
    </w:p>
    <w:p>
      <w:pPr>
        <w:pStyle w:val="Normal"/>
        <w:keepNext w:val="true"/>
        <w:keepLines/>
        <w:tabs>
          <w:tab w:val="clear" w:pos="720"/>
          <w:tab w:val="left" w:pos="7740" w:leader="none"/>
        </w:tabs>
        <w:ind w:start="1440" w:end="0"/>
        <w:jc w:val="both"/>
        <w:rPr>
          <w:rFonts w:ascii="Arial" w:hAnsi="Arial" w:cs="Arial"/>
          <w:b/>
          <w:sz w:val="24"/>
        </w:rPr>
      </w:pPr>
      <w:r>
        <w:rPr>
          <w:rFonts w:cs="Arial" w:ascii="Arial" w:hAnsi="Arial"/>
          <w:b/>
          <w:sz w:val="24"/>
        </w:rPr>
        <w:t xml:space="preserve">Deferred Account Regulatory Dispute </w:t>
        <w:tab/>
        <w:t>(Updated)</w:t>
      </w:r>
    </w:p>
    <w:p>
      <w:pPr>
        <w:pStyle w:val="Normal"/>
        <w:keepNext w:val="true"/>
        <w:keepLines/>
        <w:ind w:start="1440" w:end="0"/>
        <w:jc w:val="both"/>
        <w:rPr>
          <w:rFonts w:ascii="Arial" w:hAnsi="Arial" w:cs="Arial"/>
          <w:b/>
          <w:bCs/>
          <w:sz w:val="24"/>
        </w:rPr>
      </w:pPr>
      <w:r>
        <w:rPr>
          <w:rFonts w:cs="Arial" w:ascii="Arial" w:hAnsi="Arial"/>
          <w:b/>
          <w:bCs/>
          <w:sz w:val="24"/>
        </w:rPr>
        <w:t>(Jim Loftis/Vinson &amp; Elkins) ($30-40 million)</w:t>
      </w:r>
    </w:p>
    <w:p>
      <w:pPr>
        <w:pStyle w:val="Normal"/>
        <w:keepNext w:val="true"/>
        <w:keepLines/>
        <w:ind w:start="720" w:end="0"/>
        <w:jc w:val="both"/>
        <w:rPr>
          <w:rFonts w:ascii="Arial" w:hAnsi="Arial" w:cs="Arial"/>
          <w:b/>
          <w:bCs/>
          <w:sz w:val="24"/>
        </w:rPr>
      </w:pPr>
      <w:r>
        <w:rPr>
          <w:rFonts w:cs="Arial" w:ascii="Arial" w:hAnsi="Arial"/>
          <w:b/>
          <w:bCs/>
          <w:sz w:val="24"/>
        </w:rPr>
      </w:r>
    </w:p>
    <w:p>
      <w:pPr>
        <w:pStyle w:val="Normal"/>
        <w:keepNext w:val="true"/>
        <w:keepLines/>
        <w:numPr>
          <w:ilvl w:val="0"/>
          <w:numId w:val="4"/>
        </w:numPr>
        <w:jc w:val="both"/>
        <w:rPr>
          <w:rFonts w:ascii="Arial" w:hAnsi="Arial" w:cs="Arial"/>
          <w:sz w:val="24"/>
        </w:rPr>
      </w:pPr>
      <w:r>
        <w:rPr>
          <w:rFonts w:cs="Arial" w:ascii="Arial" w:hAnsi="Arial"/>
          <w:sz w:val="24"/>
        </w:rPr>
        <w:t>Following privatization, rates were kept low under a transitional regulatory scheme whereby Transredes would recover its deferred costs in 2001.</w:t>
      </w:r>
    </w:p>
    <w:p>
      <w:pPr>
        <w:pStyle w:val="Normal"/>
        <w:keepNext w:val="true"/>
        <w:keepLines/>
        <w:numPr>
          <w:ilvl w:val="0"/>
          <w:numId w:val="4"/>
        </w:numPr>
        <w:jc w:val="both"/>
        <w:rPr>
          <w:rFonts w:ascii="Arial" w:hAnsi="Arial" w:cs="Arial"/>
          <w:sz w:val="24"/>
        </w:rPr>
      </w:pPr>
      <w:r>
        <w:rPr>
          <w:rFonts w:cs="Arial" w:ascii="Arial" w:hAnsi="Arial"/>
          <w:sz w:val="24"/>
        </w:rPr>
        <w:t xml:space="preserve">The dispute concerns the implementation of Law No. 34 which should enable Transredes to recover its deferred costs </w:t>
      </w:r>
      <w:r>
        <w:rPr>
          <w:rFonts w:cs="Arial" w:ascii="Arial" w:hAnsi="Arial"/>
          <w:b/>
          <w:bCs/>
          <w:sz w:val="24"/>
        </w:rPr>
        <w:t xml:space="preserve">(under $150 million) </w:t>
      </w:r>
      <w:r>
        <w:rPr>
          <w:rFonts w:cs="Arial" w:ascii="Arial" w:hAnsi="Arial"/>
          <w:sz w:val="24"/>
        </w:rPr>
        <w:t xml:space="preserve">under the original transition scheme </w:t>
      </w:r>
      <w:r>
        <w:rPr>
          <w:rFonts w:cs="Arial" w:ascii="Arial" w:hAnsi="Arial"/>
          <w:b/>
          <w:bCs/>
          <w:sz w:val="24"/>
        </w:rPr>
        <w:t>in place at the time of privatization.</w:t>
      </w:r>
    </w:p>
    <w:p>
      <w:pPr>
        <w:pStyle w:val="Normal"/>
        <w:keepNext w:val="true"/>
        <w:keepLines/>
        <w:numPr>
          <w:ilvl w:val="0"/>
          <w:numId w:val="4"/>
        </w:numPr>
        <w:jc w:val="both"/>
        <w:rPr>
          <w:rFonts w:ascii="Arial" w:hAnsi="Arial" w:cs="Arial"/>
          <w:sz w:val="24"/>
        </w:rPr>
      </w:pPr>
      <w:r>
        <w:rPr>
          <w:rFonts w:cs="Arial" w:ascii="Arial" w:hAnsi="Arial"/>
          <w:sz w:val="24"/>
        </w:rPr>
        <w:t xml:space="preserve">A supreme decree interpreting the law should be officially published in April or May 2001.  Transredes is considering a BIT claim if the supreme decree interprets the law to prevent Transredes from recovering all of its deferred costs.  </w:t>
      </w:r>
    </w:p>
    <w:p>
      <w:pPr>
        <w:pStyle w:val="Normal"/>
        <w:keepNext w:val="true"/>
        <w:keepLines/>
        <w:numPr>
          <w:ilvl w:val="0"/>
          <w:numId w:val="4"/>
        </w:numPr>
        <w:jc w:val="both"/>
        <w:rPr>
          <w:rFonts w:ascii="Arial" w:hAnsi="Arial" w:cs="Arial"/>
          <w:sz w:val="24"/>
        </w:rPr>
      </w:pPr>
      <w:r>
        <w:rPr>
          <w:rFonts w:cs="Arial" w:ascii="Arial" w:hAnsi="Arial"/>
          <w:sz w:val="24"/>
        </w:rPr>
        <w:t xml:space="preserve">Congress approved the Bolivia/US BIT in October of 2000; however, letters of ratification must be exchanged to activate the BIT, which should occur </w:t>
      </w:r>
      <w:r>
        <w:rPr>
          <w:rFonts w:cs="Arial" w:ascii="Arial" w:hAnsi="Arial"/>
          <w:b/>
          <w:bCs/>
          <w:sz w:val="24"/>
        </w:rPr>
        <w:t>before May 2001.  The BIT is retroactive.</w:t>
      </w:r>
    </w:p>
    <w:p>
      <w:pPr>
        <w:pStyle w:val="Normal"/>
        <w:keepNext w:val="true"/>
        <w:keepLines/>
        <w:numPr>
          <w:ilvl w:val="0"/>
          <w:numId w:val="4"/>
        </w:numPr>
        <w:jc w:val="both"/>
        <w:rPr>
          <w:rFonts w:ascii="Arial" w:hAnsi="Arial" w:cs="Arial"/>
          <w:sz w:val="24"/>
        </w:rPr>
      </w:pPr>
      <w:r>
        <w:rPr>
          <w:rFonts w:cs="Arial" w:ascii="Arial" w:hAnsi="Arial"/>
          <w:b/>
          <w:bCs/>
          <w:sz w:val="24"/>
        </w:rPr>
        <w:t xml:space="preserve">Transredes received the supreme decree in early April which permits recovery of the deferred account not over the extended time period.  </w:t>
      </w:r>
    </w:p>
    <w:p>
      <w:pPr>
        <w:pStyle w:val="Normal"/>
        <w:tabs>
          <w:tab w:val="clear" w:pos="720"/>
          <w:tab w:val="left" w:pos="7740" w:leader="none"/>
          <w:tab w:val="left" w:pos="8370" w:leader="none"/>
        </w:tabs>
        <w:ind w:start="720" w:end="0"/>
        <w:rPr>
          <w:rFonts w:ascii="Arial" w:hAnsi="Arial" w:cs="Arial"/>
          <w:sz w:val="24"/>
        </w:rPr>
      </w:pPr>
      <w:r>
        <w:rPr>
          <w:rFonts w:cs="Arial" w:ascii="Arial" w:hAnsi="Arial"/>
          <w:sz w:val="24"/>
        </w:rPr>
      </w:r>
    </w:p>
    <w:p>
      <w:pPr>
        <w:pStyle w:val="Normal"/>
        <w:jc w:val="both"/>
        <w:rPr>
          <w:rFonts w:ascii="Arial" w:hAnsi="Arial" w:cs="Arial"/>
          <w:b/>
          <w:sz w:val="28"/>
          <w:u w:val="single"/>
        </w:rPr>
      </w:pPr>
      <w:r>
        <w:rPr>
          <w:rFonts w:cs="Arial" w:ascii="Arial" w:hAnsi="Arial"/>
          <w:b/>
          <w:sz w:val="28"/>
          <w:u w:val="single"/>
        </w:rPr>
        <w:t>BRAZIL</w:t>
      </w:r>
    </w:p>
    <w:p>
      <w:pPr>
        <w:pStyle w:val="Normal"/>
        <w:jc w:val="both"/>
        <w:rPr>
          <w:rFonts w:ascii="Arial" w:hAnsi="Arial" w:cs="Arial"/>
          <w:b/>
          <w:sz w:val="28"/>
          <w:u w:val="single"/>
        </w:rPr>
      </w:pPr>
      <w:r>
        <w:rPr>
          <w:rFonts w:cs="Arial" w:ascii="Arial" w:hAnsi="Arial"/>
          <w:b/>
          <w:sz w:val="28"/>
          <w:u w:val="single"/>
        </w:rPr>
      </w:r>
    </w:p>
    <w:p>
      <w:pPr>
        <w:pStyle w:val="Normal"/>
        <w:keepNext w:val="true"/>
        <w:keepLines/>
        <w:numPr>
          <w:ilvl w:val="0"/>
          <w:numId w:val="89"/>
        </w:numPr>
        <w:rPr>
          <w:rFonts w:ascii="Arial" w:hAnsi="Arial" w:cs="Arial"/>
          <w:b/>
          <w:sz w:val="28"/>
          <w:u w:val="single"/>
        </w:rPr>
      </w:pPr>
      <w:r>
        <w:rPr>
          <w:rFonts w:cs="Arial" w:ascii="Arial" w:hAnsi="Arial"/>
          <w:b/>
          <w:sz w:val="28"/>
          <w:u w:val="single"/>
        </w:rPr>
        <w:t>Eletricidade e Servicos SA (“Elektro”)</w:t>
      </w:r>
    </w:p>
    <w:p>
      <w:pPr>
        <w:pStyle w:val="Normal"/>
        <w:keepNext w:val="true"/>
        <w:keepLines/>
        <w:rPr>
          <w:rFonts w:ascii="Arial" w:hAnsi="Arial" w:cs="Arial"/>
          <w:b/>
          <w:sz w:val="26"/>
          <w:u w:val="single"/>
        </w:rPr>
      </w:pPr>
      <w:r>
        <w:rPr>
          <w:rFonts w:cs="Arial" w:ascii="Arial" w:hAnsi="Arial"/>
          <w:b/>
          <w:sz w:val="26"/>
          <w:u w:val="single"/>
        </w:rPr>
      </w:r>
    </w:p>
    <w:p>
      <w:pPr>
        <w:pStyle w:val="Normal"/>
        <w:keepNext w:val="true"/>
        <w:keepLines/>
        <w:numPr>
          <w:ilvl w:val="0"/>
          <w:numId w:val="81"/>
        </w:numPr>
        <w:rPr>
          <w:rFonts w:ascii="Arial" w:hAnsi="Arial" w:cs="Arial"/>
          <w:b/>
          <w:sz w:val="24"/>
        </w:rPr>
      </w:pPr>
      <w:r>
        <w:rPr>
          <w:rFonts w:cs="Arial" w:ascii="Arial" w:hAnsi="Arial"/>
          <w:b/>
          <w:sz w:val="24"/>
        </w:rPr>
        <w:t>LITIGATION/ARBITRATION</w:t>
      </w:r>
    </w:p>
    <w:p>
      <w:pPr>
        <w:pStyle w:val="Normal"/>
        <w:keepNext w:val="true"/>
        <w:keepLines/>
        <w:ind w:start="720" w:end="0"/>
        <w:rPr>
          <w:rFonts w:ascii="Arial" w:hAnsi="Arial" w:cs="Arial"/>
          <w:b/>
          <w:sz w:val="24"/>
          <w:u w:val="single"/>
        </w:rPr>
      </w:pPr>
      <w:r>
        <w:rPr>
          <w:rFonts w:cs="Arial" w:ascii="Arial" w:hAnsi="Arial"/>
          <w:b/>
          <w:sz w:val="24"/>
          <w:u w:val="single"/>
        </w:rPr>
      </w:r>
    </w:p>
    <w:p>
      <w:pPr>
        <w:pStyle w:val="Normal"/>
        <w:keepNext w:val="true"/>
        <w:keepLines/>
        <w:tabs>
          <w:tab w:val="clear" w:pos="720"/>
          <w:tab w:val="left" w:pos="7740" w:leader="none"/>
        </w:tabs>
        <w:ind w:start="1440" w:end="0"/>
        <w:rPr>
          <w:rFonts w:ascii="Arial" w:hAnsi="Arial" w:cs="Arial"/>
          <w:b/>
          <w:sz w:val="24"/>
          <w:u w:val="single"/>
        </w:rPr>
      </w:pPr>
      <w:r>
        <w:rPr>
          <w:rFonts w:cs="Arial" w:ascii="Arial" w:hAnsi="Arial"/>
          <w:b/>
          <w:sz w:val="24"/>
          <w:u w:val="single"/>
        </w:rPr>
        <w:t xml:space="preserve">Jamil Murad et al. v. State of São Paulo Treasury, </w:t>
      </w:r>
      <w:r>
        <w:rPr>
          <w:rFonts w:cs="Arial" w:ascii="Arial" w:hAnsi="Arial"/>
          <w:b/>
          <w:sz w:val="24"/>
        </w:rPr>
        <w:tab/>
        <w:t>(Updated)</w:t>
      </w:r>
    </w:p>
    <w:p>
      <w:pPr>
        <w:pStyle w:val="Normal"/>
        <w:keepNext w:val="true"/>
        <w:keepLines/>
        <w:ind w:start="1440" w:end="0"/>
        <w:rPr>
          <w:rFonts w:ascii="Arial" w:hAnsi="Arial" w:cs="Arial"/>
          <w:b/>
          <w:sz w:val="24"/>
          <w:u w:val="single"/>
        </w:rPr>
      </w:pPr>
      <w:r>
        <w:rPr>
          <w:rFonts w:cs="Arial" w:ascii="Arial" w:hAnsi="Arial"/>
          <w:b/>
          <w:sz w:val="24"/>
          <w:u w:val="single"/>
        </w:rPr>
        <w:t>CESP, the President of CESP, Energia Total do Brasil</w:t>
      </w:r>
    </w:p>
    <w:p>
      <w:pPr>
        <w:pStyle w:val="Normal"/>
        <w:keepNext w:val="true"/>
        <w:keepLines/>
        <w:ind w:start="1440" w:end="0"/>
        <w:rPr>
          <w:rFonts w:ascii="Arial" w:hAnsi="Arial" w:cs="Arial"/>
          <w:b/>
          <w:sz w:val="24"/>
          <w:u w:val="single"/>
        </w:rPr>
      </w:pPr>
      <w:r>
        <w:rPr>
          <w:rFonts w:cs="Arial" w:ascii="Arial" w:hAnsi="Arial"/>
          <w:b/>
          <w:sz w:val="24"/>
          <w:u w:val="single"/>
        </w:rPr>
        <w:t>Ltda., Enron Investimentos Energéticos Ltda.,</w:t>
      </w:r>
    </w:p>
    <w:p>
      <w:pPr>
        <w:pStyle w:val="Normal"/>
        <w:keepNext w:val="true"/>
        <w:keepLines/>
        <w:ind w:start="1440" w:end="0"/>
        <w:rPr>
          <w:rFonts w:ascii="Arial" w:hAnsi="Arial" w:cs="Arial"/>
          <w:b/>
          <w:sz w:val="24"/>
          <w:u w:val="single"/>
        </w:rPr>
      </w:pPr>
      <w:r>
        <w:rPr>
          <w:rFonts w:cs="Arial" w:ascii="Arial" w:hAnsi="Arial"/>
          <w:b/>
          <w:sz w:val="24"/>
          <w:u w:val="single"/>
        </w:rPr>
        <w:t xml:space="preserve">Empresa Paranaense Comercializadora Ltda. and </w:t>
      </w:r>
    </w:p>
    <w:p>
      <w:pPr>
        <w:pStyle w:val="Normal"/>
        <w:keepNext w:val="true"/>
        <w:keepLines/>
        <w:ind w:start="1440" w:end="0"/>
        <w:rPr>
          <w:rFonts w:ascii="Arial" w:hAnsi="Arial" w:cs="Arial"/>
          <w:b/>
          <w:sz w:val="24"/>
        </w:rPr>
      </w:pPr>
      <w:r>
        <w:rPr>
          <w:rFonts w:cs="Arial" w:ascii="Arial" w:hAnsi="Arial"/>
          <w:b/>
          <w:sz w:val="24"/>
          <w:u w:val="single"/>
        </w:rPr>
        <w:t>Enron Serviços do Brasil Ltda</w:t>
      </w:r>
      <w:r>
        <w:rPr>
          <w:rFonts w:cs="Arial" w:ascii="Arial" w:hAnsi="Arial"/>
          <w:b/>
          <w:sz w:val="24"/>
        </w:rPr>
        <w:t>.  (Popular Action</w:t>
      </w:r>
      <w:r>
        <w:rPr>
          <w:rFonts w:cs="Arial" w:ascii="Arial" w:hAnsi="Arial"/>
          <w:b/>
          <w:sz w:val="24"/>
          <w:u w:val="single"/>
        </w:rPr>
        <w:t>)</w:t>
      </w:r>
    </w:p>
    <w:p>
      <w:pPr>
        <w:pStyle w:val="Normal"/>
        <w:keepNext w:val="true"/>
        <w:keepLines/>
        <w:ind w:start="1440" w:end="0"/>
        <w:jc w:val="both"/>
        <w:rPr/>
      </w:pPr>
      <w:r>
        <w:rPr>
          <w:rFonts w:cs="Arial" w:ascii="Arial" w:hAnsi="Arial"/>
          <w:sz w:val="24"/>
        </w:rPr>
        <w:t>(7</w:t>
      </w:r>
      <w:r>
        <w:rPr>
          <w:rFonts w:cs="Arial" w:ascii="Arial" w:hAnsi="Arial"/>
          <w:sz w:val="24"/>
          <w:vertAlign w:val="superscript"/>
        </w:rPr>
        <w:t>th</w:t>
      </w:r>
      <w:r>
        <w:rPr>
          <w:rFonts w:cs="Arial" w:ascii="Arial" w:hAnsi="Arial"/>
          <w:sz w:val="24"/>
        </w:rPr>
        <w:t xml:space="preserve"> District Court of São Paulo Municipal Treasury) (Fernando Serec/Tozzini, Freire, Teixeira &amp; Silva) (Set aside purchase of preferred shares in Elektro)</w:t>
      </w:r>
    </w:p>
    <w:p>
      <w:pPr>
        <w:pStyle w:val="Normal"/>
        <w:keepNext w:val="true"/>
        <w:keepLines/>
        <w:ind w:start="720" w:end="0"/>
        <w:jc w:val="both"/>
        <w:rPr>
          <w:rFonts w:ascii="Arial" w:hAnsi="Arial" w:cs="Arial"/>
          <w:sz w:val="24"/>
        </w:rPr>
      </w:pPr>
      <w:r>
        <w:rPr>
          <w:rFonts w:cs="Arial" w:ascii="Arial" w:hAnsi="Arial"/>
          <w:sz w:val="24"/>
        </w:rPr>
      </w:r>
    </w:p>
    <w:p>
      <w:pPr>
        <w:pStyle w:val="Normal"/>
        <w:keepNext w:val="true"/>
        <w:keepLines/>
        <w:numPr>
          <w:ilvl w:val="0"/>
          <w:numId w:val="106"/>
        </w:numPr>
        <w:tabs>
          <w:tab w:val="clear" w:pos="720"/>
          <w:tab w:val="left" w:pos="1800" w:leader="none"/>
        </w:tabs>
        <w:ind w:hanging="360" w:start="1800" w:end="0"/>
        <w:rPr>
          <w:rFonts w:ascii="Arial" w:hAnsi="Arial" w:cs="Arial"/>
          <w:sz w:val="24"/>
        </w:rPr>
      </w:pPr>
      <w:r>
        <w:rPr>
          <w:rFonts w:cs="Arial" w:ascii="Arial" w:hAnsi="Arial"/>
          <w:sz w:val="24"/>
        </w:rPr>
        <w:t>On February 12, 1999, plaintiffs filed this public interest class action seeking to annul the sale of Elektro’s shares to Enron alleging that the price paid for Elektro’s preferred shares was too low (70% less).</w:t>
      </w:r>
    </w:p>
    <w:p>
      <w:pPr>
        <w:pStyle w:val="Normal"/>
        <w:numPr>
          <w:ilvl w:val="0"/>
          <w:numId w:val="131"/>
        </w:numPr>
        <w:tabs>
          <w:tab w:val="clear" w:pos="720"/>
          <w:tab w:val="left" w:pos="1800" w:leader="none"/>
        </w:tabs>
        <w:ind w:hanging="360" w:start="1800" w:end="0"/>
        <w:rPr>
          <w:rFonts w:ascii="Arial" w:hAnsi="Arial" w:cs="Arial"/>
          <w:sz w:val="24"/>
        </w:rPr>
      </w:pPr>
      <w:r>
        <w:rPr>
          <w:rFonts w:cs="Arial" w:ascii="Arial" w:hAnsi="Arial"/>
          <w:sz w:val="24"/>
        </w:rPr>
        <w:t xml:space="preserve">Plaintiffs’ preliminary injunction seeking to suspend the February 18, 1999 auction was denied. </w:t>
      </w:r>
    </w:p>
    <w:p>
      <w:pPr>
        <w:pStyle w:val="Normal"/>
        <w:numPr>
          <w:ilvl w:val="0"/>
          <w:numId w:val="53"/>
        </w:numPr>
        <w:tabs>
          <w:tab w:val="clear" w:pos="720"/>
          <w:tab w:val="left" w:pos="1800" w:leader="none"/>
        </w:tabs>
        <w:ind w:hanging="360" w:start="1800" w:end="0"/>
        <w:rPr>
          <w:rFonts w:ascii="Arial" w:hAnsi="Arial" w:cs="Arial"/>
          <w:sz w:val="24"/>
        </w:rPr>
      </w:pPr>
      <w:r>
        <w:rPr>
          <w:rFonts w:cs="Arial" w:ascii="Arial" w:hAnsi="Arial"/>
          <w:sz w:val="24"/>
        </w:rPr>
        <w:t xml:space="preserve">Local counsel advises that the plaintiffs’ claims are meritless because: (1) the price paid for controlling shares should be different than the price paid for non-controlling shares; and (2) there was no legal obligation for CESP and the state to obtain the same price for preferred shares as for controlling shares. </w:t>
      </w:r>
    </w:p>
    <w:p>
      <w:pPr>
        <w:pStyle w:val="Normal"/>
        <w:numPr>
          <w:ilvl w:val="0"/>
          <w:numId w:val="53"/>
        </w:numPr>
        <w:tabs>
          <w:tab w:val="clear" w:pos="720"/>
          <w:tab w:val="left" w:pos="1800" w:leader="none"/>
        </w:tabs>
        <w:ind w:hanging="360" w:start="1800" w:end="0"/>
        <w:rPr>
          <w:rFonts w:ascii="Arial" w:hAnsi="Arial" w:cs="Arial"/>
          <w:sz w:val="24"/>
        </w:rPr>
      </w:pPr>
      <w:r>
        <w:rPr>
          <w:rFonts w:cs="Arial" w:ascii="Arial" w:hAnsi="Arial"/>
          <w:sz w:val="24"/>
        </w:rPr>
        <w:t>Closing arguments were</w:t>
      </w:r>
      <w:r>
        <w:rPr>
          <w:rFonts w:cs="Arial" w:ascii="Arial" w:hAnsi="Arial"/>
          <w:b/>
          <w:sz w:val="24"/>
        </w:rPr>
        <w:t xml:space="preserve"> </w:t>
      </w:r>
      <w:r>
        <w:rPr>
          <w:rFonts w:cs="Arial" w:ascii="Arial" w:hAnsi="Arial"/>
          <w:sz w:val="24"/>
        </w:rPr>
        <w:t>prepared and filed</w:t>
      </w:r>
      <w:r>
        <w:rPr>
          <w:rFonts w:cs="Arial" w:ascii="Arial" w:hAnsi="Arial"/>
          <w:b/>
          <w:sz w:val="24"/>
        </w:rPr>
        <w:t xml:space="preserve"> </w:t>
      </w:r>
      <w:r>
        <w:rPr>
          <w:rFonts w:cs="Arial" w:ascii="Arial" w:hAnsi="Arial"/>
          <w:sz w:val="24"/>
        </w:rPr>
        <w:t>for Enron Services do Brasil Ltda., Enron Investimentos Energéticos Ltda., Energia Total do Brasil Ltda. and Empresa Paranaense Comercializadora Ltda.  On November 1, 2000 the state attorney presented his opinion and the records were sent to the judge for a decision.</w:t>
      </w:r>
    </w:p>
    <w:p>
      <w:pPr>
        <w:pStyle w:val="Normal"/>
        <w:numPr>
          <w:ilvl w:val="0"/>
          <w:numId w:val="53"/>
        </w:numPr>
        <w:tabs>
          <w:tab w:val="clear" w:pos="720"/>
          <w:tab w:val="left" w:pos="1800" w:leader="none"/>
        </w:tabs>
        <w:ind w:hanging="360" w:start="1800" w:end="0"/>
        <w:rPr>
          <w:rFonts w:ascii="Arial" w:hAnsi="Arial" w:cs="Arial"/>
          <w:sz w:val="24"/>
        </w:rPr>
      </w:pPr>
      <w:r>
        <w:rPr>
          <w:rFonts w:cs="Arial" w:ascii="Arial" w:hAnsi="Arial"/>
          <w:b/>
          <w:bCs/>
          <w:sz w:val="24"/>
        </w:rPr>
        <w:t>On or about February 1, 2001, the judge dismissed the plaintiffs’ case.  We expect the plaintiffs to appeal.</w:t>
      </w:r>
    </w:p>
    <w:p>
      <w:pPr>
        <w:pStyle w:val="Normal"/>
        <w:tabs>
          <w:tab w:val="clear" w:pos="720"/>
          <w:tab w:val="left" w:pos="1080" w:leader="none"/>
        </w:tabs>
        <w:ind w:start="720" w:end="0"/>
        <w:rPr>
          <w:rFonts w:ascii="Arial" w:hAnsi="Arial" w:cs="Arial"/>
          <w:sz w:val="24"/>
        </w:rPr>
      </w:pPr>
      <w:r>
        <w:rPr>
          <w:rFonts w:cs="Arial" w:ascii="Arial" w:hAnsi="Arial"/>
          <w:sz w:val="24"/>
        </w:rPr>
      </w:r>
    </w:p>
    <w:p>
      <w:pPr>
        <w:pStyle w:val="Normal"/>
        <w:tabs>
          <w:tab w:val="clear" w:pos="720"/>
          <w:tab w:val="left" w:pos="7740" w:leader="none"/>
        </w:tabs>
        <w:ind w:start="1440" w:end="0"/>
        <w:rPr>
          <w:rFonts w:ascii="Arial" w:hAnsi="Arial" w:cs="Arial"/>
          <w:b/>
          <w:sz w:val="24"/>
          <w:u w:val="single"/>
        </w:rPr>
      </w:pPr>
      <w:r>
        <w:rPr>
          <w:rFonts w:cs="Arial" w:ascii="Arial" w:hAnsi="Arial"/>
          <w:b/>
          <w:sz w:val="24"/>
          <w:u w:val="single"/>
        </w:rPr>
        <w:t>Amarildo Bolito et al. v. State Public Treasury,</w:t>
      </w:r>
      <w:r>
        <w:rPr>
          <w:rFonts w:cs="Arial" w:ascii="Arial" w:hAnsi="Arial"/>
          <w:b/>
          <w:sz w:val="24"/>
        </w:rPr>
        <w:tab/>
        <w:t>(Updated)</w:t>
      </w:r>
    </w:p>
    <w:p>
      <w:pPr>
        <w:pStyle w:val="Normal"/>
        <w:ind w:start="1440" w:end="0"/>
        <w:rPr>
          <w:rFonts w:ascii="Arial" w:hAnsi="Arial" w:cs="Arial"/>
          <w:b/>
          <w:sz w:val="24"/>
          <w:u w:val="single"/>
        </w:rPr>
      </w:pPr>
      <w:r>
        <w:rPr>
          <w:rFonts w:cs="Arial" w:ascii="Arial" w:hAnsi="Arial"/>
          <w:b/>
          <w:sz w:val="24"/>
          <w:u w:val="single"/>
        </w:rPr>
        <w:t xml:space="preserve">Companhia Energética de São Paulo, individual </w:t>
      </w:r>
    </w:p>
    <w:p>
      <w:pPr>
        <w:pStyle w:val="Normal"/>
        <w:ind w:start="1440" w:end="0"/>
        <w:rPr>
          <w:rFonts w:ascii="Arial" w:hAnsi="Arial" w:cs="Arial"/>
          <w:b/>
          <w:sz w:val="24"/>
          <w:u w:val="single"/>
        </w:rPr>
      </w:pPr>
      <w:r>
        <w:rPr>
          <w:rFonts w:cs="Arial" w:ascii="Arial" w:hAnsi="Arial"/>
          <w:b/>
          <w:sz w:val="24"/>
          <w:u w:val="single"/>
        </w:rPr>
        <w:t>members of the Board of PED and Enron Serviços</w:t>
      </w:r>
    </w:p>
    <w:p>
      <w:pPr>
        <w:pStyle w:val="Normal"/>
        <w:ind w:start="1440" w:end="0"/>
        <w:rPr>
          <w:rFonts w:ascii="Arial" w:hAnsi="Arial" w:cs="Arial"/>
          <w:b/>
          <w:sz w:val="24"/>
          <w:u w:val="single"/>
        </w:rPr>
      </w:pPr>
      <w:r>
        <w:rPr>
          <w:rFonts w:cs="Arial" w:ascii="Arial" w:hAnsi="Arial"/>
          <w:b/>
          <w:sz w:val="24"/>
          <w:u w:val="single"/>
        </w:rPr>
        <w:t>do Brasil Ltda. (renamed Enron</w:t>
      </w:r>
    </w:p>
    <w:p>
      <w:pPr>
        <w:pStyle w:val="Normal"/>
        <w:ind w:start="1440" w:end="0"/>
        <w:rPr/>
      </w:pPr>
      <w:r>
        <w:rPr>
          <w:rFonts w:cs="Arial" w:ascii="Arial" w:hAnsi="Arial"/>
          <w:b/>
          <w:sz w:val="24"/>
          <w:u w:val="single"/>
        </w:rPr>
        <w:t>America do Sul Ltda.</w:t>
      </w:r>
      <w:r>
        <w:rPr>
          <w:rFonts w:cs="Arial" w:ascii="Arial" w:hAnsi="Arial"/>
          <w:b/>
          <w:sz w:val="24"/>
        </w:rPr>
        <w:t xml:space="preserve"> (Popular Action)</w:t>
      </w:r>
    </w:p>
    <w:p>
      <w:pPr>
        <w:pStyle w:val="Normal"/>
        <w:ind w:start="1440" w:end="0"/>
        <w:jc w:val="both"/>
        <w:rPr/>
      </w:pPr>
      <w:r>
        <w:rPr>
          <w:rFonts w:cs="Arial" w:ascii="Arial" w:hAnsi="Arial"/>
          <w:sz w:val="24"/>
        </w:rPr>
        <w:t>(8</w:t>
      </w:r>
      <w:r>
        <w:rPr>
          <w:rFonts w:cs="Arial" w:ascii="Arial" w:hAnsi="Arial"/>
          <w:sz w:val="24"/>
          <w:vertAlign w:val="superscript"/>
        </w:rPr>
        <w:t>th</w:t>
      </w:r>
      <w:r>
        <w:rPr>
          <w:rFonts w:cs="Arial" w:ascii="Arial" w:hAnsi="Arial"/>
          <w:sz w:val="24"/>
        </w:rPr>
        <w:t xml:space="preserve"> District Court of São Paulo Municipal Treasury) (Fernando Serec/Tozzini, Freire, Teixeira &amp; Silva) (Set aside privatization of Elektro) </w:t>
      </w:r>
    </w:p>
    <w:p>
      <w:pPr>
        <w:pStyle w:val="Normal"/>
        <w:tabs>
          <w:tab w:val="clear" w:pos="720"/>
          <w:tab w:val="left" w:pos="1080" w:leader="none"/>
          <w:tab w:val="left" w:pos="1170" w:leader="none"/>
          <w:tab w:val="left" w:pos="7740" w:leader="none"/>
          <w:tab w:val="left" w:pos="8370" w:leader="none"/>
        </w:tabs>
        <w:ind w:start="720" w:end="0"/>
        <w:jc w:val="both"/>
        <w:rPr>
          <w:rFonts w:ascii="Arial" w:hAnsi="Arial" w:cs="Arial"/>
          <w:sz w:val="24"/>
        </w:rPr>
      </w:pPr>
      <w:r>
        <w:rPr>
          <w:rFonts w:cs="Arial" w:ascii="Arial" w:hAnsi="Arial"/>
          <w:sz w:val="24"/>
        </w:rPr>
      </w:r>
    </w:p>
    <w:p>
      <w:pPr>
        <w:pStyle w:val="Normal"/>
        <w:numPr>
          <w:ilvl w:val="0"/>
          <w:numId w:val="93"/>
        </w:numPr>
        <w:tabs>
          <w:tab w:val="clear" w:pos="720"/>
          <w:tab w:val="left" w:pos="1800" w:leader="none"/>
        </w:tabs>
        <w:ind w:hanging="360" w:start="1800" w:end="0"/>
        <w:jc w:val="both"/>
        <w:rPr>
          <w:rFonts w:ascii="Arial" w:hAnsi="Arial" w:cs="Arial"/>
          <w:sz w:val="24"/>
        </w:rPr>
      </w:pPr>
      <w:r>
        <w:rPr>
          <w:rFonts w:cs="Arial" w:ascii="Arial" w:hAnsi="Arial"/>
          <w:sz w:val="24"/>
        </w:rPr>
        <w:t xml:space="preserve">In July 1998, plaintiffs filed this public interest class action seeking annulment of the Elektro privatization challenging the valuation of the company.  </w:t>
      </w:r>
      <w:r>
        <w:rPr>
          <w:rFonts w:cs="Arial" w:ascii="Arial" w:hAnsi="Arial"/>
          <w:b/>
          <w:bCs/>
          <w:sz w:val="24"/>
        </w:rPr>
        <w:t>Enron filed its defense on November 3, 1999.</w:t>
      </w:r>
    </w:p>
    <w:p>
      <w:pPr>
        <w:pStyle w:val="Normal"/>
        <w:numPr>
          <w:ilvl w:val="0"/>
          <w:numId w:val="93"/>
        </w:numPr>
        <w:tabs>
          <w:tab w:val="clear" w:pos="720"/>
          <w:tab w:val="left" w:pos="1800" w:leader="none"/>
        </w:tabs>
        <w:ind w:hanging="360" w:start="1800" w:end="0"/>
        <w:jc w:val="both"/>
        <w:rPr>
          <w:rFonts w:ascii="Arial" w:hAnsi="Arial" w:cs="Arial"/>
          <w:sz w:val="24"/>
        </w:rPr>
      </w:pPr>
      <w:r>
        <w:rPr>
          <w:rFonts w:cs="Arial" w:ascii="Arial" w:hAnsi="Arial"/>
          <w:sz w:val="24"/>
        </w:rPr>
        <w:t>On November 22, 2000, additional documents were presented to the judge and on December 13, 2000, the court ordered the parties to present expert evidence and also ruled that since expert evidence was already required in the Fedeli matter (below) that the same evidence could be applied here.</w:t>
      </w:r>
    </w:p>
    <w:p>
      <w:pPr>
        <w:pStyle w:val="Normal"/>
        <w:numPr>
          <w:ilvl w:val="0"/>
          <w:numId w:val="93"/>
        </w:numPr>
        <w:tabs>
          <w:tab w:val="clear" w:pos="720"/>
          <w:tab w:val="left" w:pos="1800" w:leader="none"/>
        </w:tabs>
        <w:ind w:hanging="360" w:start="1800" w:end="0"/>
        <w:jc w:val="both"/>
        <w:rPr>
          <w:rFonts w:ascii="Arial" w:hAnsi="Arial" w:cs="Arial"/>
          <w:sz w:val="24"/>
        </w:rPr>
      </w:pPr>
      <w:r>
        <w:rPr>
          <w:rFonts w:cs="Arial" w:ascii="Arial" w:hAnsi="Arial"/>
          <w:b/>
          <w:bCs/>
          <w:sz w:val="24"/>
        </w:rPr>
        <w:t xml:space="preserve">On or about February 6, 2001, Elektro notified the court that there was no further evidence to be submitted and on February 13, 2001 the matter was submitted to the State Public Attorney.  </w:t>
      </w:r>
    </w:p>
    <w:p>
      <w:pPr>
        <w:pStyle w:val="Normal"/>
        <w:numPr>
          <w:ilvl w:val="0"/>
          <w:numId w:val="93"/>
        </w:numPr>
        <w:tabs>
          <w:tab w:val="clear" w:pos="720"/>
          <w:tab w:val="left" w:pos="1800" w:leader="none"/>
        </w:tabs>
        <w:ind w:hanging="360" w:start="1800" w:end="0"/>
        <w:jc w:val="both"/>
        <w:rPr>
          <w:rFonts w:ascii="Arial" w:hAnsi="Arial" w:cs="Arial"/>
          <w:sz w:val="24"/>
        </w:rPr>
      </w:pPr>
      <w:r>
        <w:rPr>
          <w:rFonts w:cs="Arial" w:ascii="Arial" w:hAnsi="Arial"/>
          <w:b/>
          <w:bCs/>
          <w:sz w:val="24"/>
        </w:rPr>
        <w:t xml:space="preserve">On March 14, 2001, Elektro forwarded a copy of the dismissal of the </w:t>
      </w:r>
      <w:r>
        <w:rPr>
          <w:rFonts w:cs="Arial" w:ascii="Arial" w:hAnsi="Arial"/>
          <w:b/>
          <w:bCs/>
          <w:sz w:val="24"/>
          <w:u w:val="single"/>
        </w:rPr>
        <w:t>Murad</w:t>
      </w:r>
      <w:r>
        <w:rPr>
          <w:rFonts w:cs="Arial" w:ascii="Arial" w:hAnsi="Arial"/>
          <w:b/>
          <w:bCs/>
          <w:sz w:val="24"/>
        </w:rPr>
        <w:t xml:space="preserve"> suit to the Public Attorney.  Elektro awaits the Public Attorney’s opinion.</w:t>
      </w:r>
    </w:p>
    <w:p>
      <w:pPr>
        <w:pStyle w:val="Normal"/>
        <w:ind w:start="720" w:end="0"/>
        <w:jc w:val="both"/>
        <w:rPr>
          <w:rFonts w:ascii="Arial" w:hAnsi="Arial" w:cs="Arial"/>
          <w:sz w:val="24"/>
        </w:rPr>
      </w:pPr>
      <w:r>
        <w:rPr>
          <w:rFonts w:cs="Arial" w:ascii="Arial" w:hAnsi="Arial"/>
          <w:sz w:val="24"/>
        </w:rPr>
      </w:r>
    </w:p>
    <w:p>
      <w:pPr>
        <w:pStyle w:val="Normal"/>
        <w:tabs>
          <w:tab w:val="clear" w:pos="720"/>
          <w:tab w:val="left" w:pos="7740" w:leader="none"/>
        </w:tabs>
        <w:ind w:start="1440" w:end="0"/>
        <w:rPr/>
      </w:pPr>
      <w:r>
        <w:rPr>
          <w:rFonts w:cs="Arial" w:ascii="Arial" w:hAnsi="Arial"/>
          <w:b/>
          <w:sz w:val="24"/>
          <w:u w:val="single"/>
        </w:rPr>
        <w:t xml:space="preserve">José Fedeli et al. v. CESP, Elektro et al. </w:t>
      </w:r>
      <w:r>
        <w:rPr>
          <w:rFonts w:cs="Arial" w:ascii="Arial" w:hAnsi="Arial"/>
          <w:b/>
          <w:sz w:val="24"/>
        </w:rPr>
        <w:tab/>
        <w:t>(Not Updated)</w:t>
      </w:r>
    </w:p>
    <w:p>
      <w:pPr>
        <w:pStyle w:val="Normal"/>
        <w:ind w:start="1440" w:end="0"/>
        <w:rPr>
          <w:rFonts w:ascii="Arial" w:hAnsi="Arial" w:cs="Arial"/>
          <w:b/>
          <w:sz w:val="24"/>
        </w:rPr>
      </w:pPr>
      <w:r>
        <w:rPr>
          <w:rFonts w:cs="Arial" w:ascii="Arial" w:hAnsi="Arial"/>
          <w:b/>
          <w:sz w:val="24"/>
        </w:rPr>
        <w:t>(Popular Action)</w:t>
      </w:r>
    </w:p>
    <w:p>
      <w:pPr>
        <w:pStyle w:val="Normal"/>
        <w:ind w:start="1440" w:end="0"/>
        <w:jc w:val="both"/>
        <w:rPr/>
      </w:pPr>
      <w:r>
        <w:rPr>
          <w:rFonts w:cs="Arial" w:ascii="Arial" w:hAnsi="Arial"/>
          <w:sz w:val="24"/>
        </w:rPr>
        <w:t>(8</w:t>
      </w:r>
      <w:r>
        <w:rPr>
          <w:rFonts w:cs="Arial" w:ascii="Arial" w:hAnsi="Arial"/>
          <w:sz w:val="24"/>
          <w:vertAlign w:val="superscript"/>
        </w:rPr>
        <w:t>th</w:t>
      </w:r>
      <w:r>
        <w:rPr>
          <w:rFonts w:cs="Arial" w:ascii="Arial" w:hAnsi="Arial"/>
          <w:sz w:val="24"/>
        </w:rPr>
        <w:t xml:space="preserve"> District Court of São Paulo Municipal Treasury) (Fernando Serec/Tozzini, Freire, Teixeira &amp; Silva) (Set aside sale of Elektro shares) </w:t>
      </w:r>
    </w:p>
    <w:p>
      <w:pPr>
        <w:pStyle w:val="Normal"/>
        <w:ind w:start="720" w:end="0"/>
        <w:jc w:val="both"/>
        <w:rPr>
          <w:rFonts w:ascii="Arial" w:hAnsi="Arial" w:cs="Arial"/>
          <w:sz w:val="24"/>
        </w:rPr>
      </w:pPr>
      <w:r>
        <w:rPr>
          <w:rFonts w:cs="Arial" w:ascii="Arial" w:hAnsi="Arial"/>
          <w:sz w:val="24"/>
        </w:rPr>
      </w:r>
    </w:p>
    <w:p>
      <w:pPr>
        <w:pStyle w:val="Normal"/>
        <w:numPr>
          <w:ilvl w:val="0"/>
          <w:numId w:val="122"/>
        </w:numPr>
        <w:tabs>
          <w:tab w:val="clear" w:pos="720"/>
          <w:tab w:val="left" w:pos="1800" w:leader="none"/>
        </w:tabs>
        <w:ind w:hanging="360" w:start="1800" w:end="0"/>
        <w:jc w:val="both"/>
        <w:rPr>
          <w:rFonts w:ascii="Arial" w:hAnsi="Arial" w:cs="Arial"/>
          <w:sz w:val="24"/>
        </w:rPr>
      </w:pPr>
      <w:r>
        <w:rPr>
          <w:rFonts w:cs="Arial" w:ascii="Arial" w:hAnsi="Arial"/>
          <w:sz w:val="24"/>
        </w:rPr>
        <w:t>On July 14, 1998, plaintiffs filed this public interest action seeking to annul the sale of CESP’s shares in Elektro arguing that the minimum price of the shares was inadequate.  Plaintiffs claim that there were problems relating to publication of the bidding process and that there was no government authorization for the sale.</w:t>
      </w:r>
    </w:p>
    <w:p>
      <w:pPr>
        <w:pStyle w:val="Normal"/>
        <w:numPr>
          <w:ilvl w:val="0"/>
          <w:numId w:val="122"/>
        </w:numPr>
        <w:tabs>
          <w:tab w:val="clear" w:pos="720"/>
          <w:tab w:val="left" w:pos="1800" w:leader="none"/>
        </w:tabs>
        <w:ind w:hanging="360" w:start="1800" w:end="0"/>
        <w:jc w:val="both"/>
        <w:rPr>
          <w:rFonts w:ascii="Arial" w:hAnsi="Arial" w:cs="Arial"/>
          <w:sz w:val="24"/>
        </w:rPr>
      </w:pPr>
      <w:r>
        <w:rPr>
          <w:rFonts w:cs="Arial" w:ascii="Arial" w:hAnsi="Arial"/>
          <w:sz w:val="24"/>
        </w:rPr>
        <w:t>Elektro answered on December 26, 1999, and on September 4, 2000, the court ordered that an accounting and evaluation of assets be conducted.</w:t>
      </w:r>
    </w:p>
    <w:p>
      <w:pPr>
        <w:pStyle w:val="Normal"/>
        <w:numPr>
          <w:ilvl w:val="0"/>
          <w:numId w:val="122"/>
        </w:numPr>
        <w:tabs>
          <w:tab w:val="clear" w:pos="720"/>
          <w:tab w:val="left" w:pos="1800" w:leader="none"/>
        </w:tabs>
        <w:ind w:hanging="360" w:start="1800" w:end="0"/>
        <w:jc w:val="both"/>
        <w:rPr>
          <w:rFonts w:ascii="Arial" w:hAnsi="Arial" w:cs="Arial"/>
          <w:sz w:val="24"/>
        </w:rPr>
      </w:pPr>
      <w:r>
        <w:rPr>
          <w:rFonts w:cs="Arial" w:ascii="Arial" w:hAnsi="Arial"/>
          <w:sz w:val="24"/>
        </w:rPr>
        <w:t>Prior to September 25, 2000, Elektro handled this matter in-house.  On September 25, 2000, it was referred to the Tozzini firm filed an interlocutory appeal seeking to have the court’s decision to have an accounting overturned and also attempting to have the case dismissed.  The order requiring the accounting was stayed.</w:t>
      </w:r>
    </w:p>
    <w:p>
      <w:pPr>
        <w:pStyle w:val="Normal"/>
        <w:ind w:start="720" w:end="0"/>
        <w:jc w:val="both"/>
        <w:rPr>
          <w:rFonts w:ascii="Arial" w:hAnsi="Arial" w:cs="Arial"/>
          <w:sz w:val="24"/>
        </w:rPr>
      </w:pPr>
      <w:r>
        <w:rPr>
          <w:rFonts w:cs="Arial" w:ascii="Arial" w:hAnsi="Arial"/>
          <w:sz w:val="24"/>
        </w:rPr>
      </w:r>
    </w:p>
    <w:p>
      <w:pPr>
        <w:pStyle w:val="Heading8"/>
        <w:keepLines/>
        <w:tabs>
          <w:tab w:val="clear" w:pos="720"/>
          <w:tab w:val="left" w:pos="7740" w:leader="none"/>
        </w:tabs>
        <w:ind w:hanging="0" w:start="1440" w:end="0"/>
        <w:rPr>
          <w:i/>
          <w:i/>
          <w:u w:val="none"/>
        </w:rPr>
      </w:pPr>
      <w:r>
        <w:rPr/>
        <w:t>Overcharge Suits</w:t>
      </w:r>
      <w:r>
        <w:rPr>
          <w:i/>
          <w:u w:val="none"/>
        </w:rPr>
        <w:tab/>
      </w:r>
      <w:r>
        <w:rPr>
          <w:u w:val="none"/>
        </w:rPr>
        <w:t>(Not Updated)</w:t>
      </w:r>
    </w:p>
    <w:p>
      <w:pPr>
        <w:pStyle w:val="Normal"/>
        <w:keepNext w:val="true"/>
        <w:keepLines/>
        <w:ind w:start="1440" w:end="0"/>
        <w:rPr>
          <w:rFonts w:ascii="Arial" w:hAnsi="Arial" w:cs="Arial"/>
          <w:sz w:val="24"/>
        </w:rPr>
      </w:pPr>
      <w:r>
        <w:rPr>
          <w:rFonts w:cs="Arial" w:ascii="Arial" w:hAnsi="Arial"/>
          <w:sz w:val="24"/>
        </w:rPr>
        <w:t>(State Court, São Paulo) (Elektro in-house) (Less than R$4.7 million/ US$2,650,000)</w:t>
      </w:r>
    </w:p>
    <w:p>
      <w:pPr>
        <w:pStyle w:val="Normal"/>
        <w:keepNext w:val="true"/>
        <w:keepLines/>
        <w:ind w:start="720" w:end="0"/>
        <w:rPr>
          <w:rFonts w:ascii="Arial" w:hAnsi="Arial" w:cs="Arial"/>
          <w:sz w:val="24"/>
        </w:rPr>
      </w:pPr>
      <w:r>
        <w:rPr>
          <w:rFonts w:cs="Arial" w:ascii="Arial" w:hAnsi="Arial"/>
          <w:sz w:val="24"/>
        </w:rPr>
      </w:r>
    </w:p>
    <w:p>
      <w:pPr>
        <w:pStyle w:val="Heading8"/>
        <w:keepLines/>
        <w:numPr>
          <w:ilvl w:val="0"/>
          <w:numId w:val="5"/>
        </w:numPr>
        <w:tabs>
          <w:tab w:val="clear" w:pos="720"/>
          <w:tab w:val="left" w:pos="1800" w:leader="none"/>
        </w:tabs>
        <w:ind w:hanging="360" w:start="1800" w:end="0"/>
        <w:rPr>
          <w:b w:val="false"/>
          <w:u w:val="none"/>
        </w:rPr>
      </w:pPr>
      <w:r>
        <w:rPr>
          <w:b w:val="false"/>
          <w:u w:val="none"/>
        </w:rPr>
        <w:t>The Brazilian courts have determined that during a nine-month period in 1986 when government price controls were in effect Brazilian energy suppliers overcharged customers for power.</w:t>
      </w:r>
    </w:p>
    <w:p>
      <w:pPr>
        <w:pStyle w:val="Heading8"/>
        <w:keepLines/>
        <w:numPr>
          <w:ilvl w:val="0"/>
          <w:numId w:val="5"/>
        </w:numPr>
        <w:tabs>
          <w:tab w:val="clear" w:pos="720"/>
          <w:tab w:val="left" w:pos="1800" w:leader="none"/>
        </w:tabs>
        <w:ind w:hanging="360" w:start="1800" w:end="0"/>
        <w:rPr>
          <w:b w:val="false"/>
          <w:u w:val="none"/>
        </w:rPr>
      </w:pPr>
      <w:r>
        <w:rPr>
          <w:b w:val="false"/>
          <w:u w:val="none"/>
        </w:rPr>
        <w:t>Fourteen customers, several of which are municipalities, have filed suit against Elektro.  The aggregate amount of these claims is less than R$4.7 million.</w:t>
      </w:r>
    </w:p>
    <w:p>
      <w:pPr>
        <w:pStyle w:val="Normal"/>
        <w:numPr>
          <w:ilvl w:val="0"/>
          <w:numId w:val="163"/>
        </w:numPr>
        <w:tabs>
          <w:tab w:val="clear" w:pos="720"/>
          <w:tab w:val="left" w:pos="1800" w:leader="none"/>
        </w:tabs>
        <w:ind w:hanging="360" w:start="1800" w:end="0"/>
        <w:rPr>
          <w:rFonts w:ascii="Arial" w:hAnsi="Arial" w:cs="Arial"/>
          <w:sz w:val="24"/>
        </w:rPr>
      </w:pPr>
      <w:r>
        <w:rPr>
          <w:rFonts w:cs="Arial" w:ascii="Arial" w:hAnsi="Arial"/>
          <w:sz w:val="24"/>
        </w:rPr>
        <w:t>Elektro argues that the plaintiffs were not affected by the increase.</w:t>
      </w:r>
    </w:p>
    <w:p>
      <w:pPr>
        <w:pStyle w:val="Heading8"/>
        <w:keepLines/>
        <w:numPr>
          <w:ilvl w:val="0"/>
          <w:numId w:val="5"/>
        </w:numPr>
        <w:tabs>
          <w:tab w:val="clear" w:pos="720"/>
          <w:tab w:val="left" w:pos="1800" w:leader="none"/>
        </w:tabs>
        <w:ind w:hanging="360" w:start="1800" w:end="0"/>
        <w:rPr>
          <w:b w:val="false"/>
          <w:u w:val="none"/>
        </w:rPr>
      </w:pPr>
      <w:r>
        <w:rPr>
          <w:b w:val="false"/>
          <w:u w:val="none"/>
        </w:rPr>
        <w:t>The 20-year statute of limitation on such suits expires in 2006.</w:t>
      </w:r>
    </w:p>
    <w:p>
      <w:pPr>
        <w:pStyle w:val="Normal"/>
        <w:numPr>
          <w:ilvl w:val="0"/>
          <w:numId w:val="0"/>
        </w:numPr>
        <w:tabs>
          <w:tab w:val="clear" w:pos="720"/>
          <w:tab w:val="left" w:pos="7740" w:leader="none"/>
        </w:tabs>
        <w:ind w:hanging="0" w:start="720" w:end="0"/>
        <w:rPr>
          <w:rFonts w:ascii="Arial" w:hAnsi="Arial" w:cs="Arial"/>
          <w:b/>
          <w:sz w:val="24"/>
          <w:u w:val="none"/>
        </w:rPr>
      </w:pPr>
      <w:r>
        <w:rPr>
          <w:rFonts w:cs="Arial" w:ascii="Arial" w:hAnsi="Arial"/>
          <w:b/>
          <w:sz w:val="24"/>
          <w:u w:val="none"/>
        </w:rPr>
      </w:r>
    </w:p>
    <w:p>
      <w:pPr>
        <w:pStyle w:val="Normal"/>
        <w:tabs>
          <w:tab w:val="clear" w:pos="720"/>
          <w:tab w:val="left" w:pos="1080" w:leader="none"/>
          <w:tab w:val="left" w:pos="1170" w:leader="none"/>
          <w:tab w:val="left" w:pos="7740" w:leader="none"/>
        </w:tabs>
        <w:ind w:start="1440" w:end="0"/>
        <w:jc w:val="both"/>
        <w:rPr/>
      </w:pPr>
      <w:r>
        <w:rPr>
          <w:rFonts w:cs="Arial" w:ascii="Arial" w:hAnsi="Arial"/>
          <w:b/>
          <w:sz w:val="24"/>
          <w:u w:val="single"/>
        </w:rPr>
        <w:t>Brazilian Institute for the Consumer Defense (IDEC)</w:t>
      </w:r>
      <w:r>
        <w:rPr>
          <w:rFonts w:cs="Arial" w:ascii="Arial" w:hAnsi="Arial"/>
          <w:b/>
          <w:sz w:val="24"/>
        </w:rPr>
        <w:tab/>
        <w:t>(Not Updated)</w:t>
      </w:r>
    </w:p>
    <w:p>
      <w:pPr>
        <w:pStyle w:val="Normal"/>
        <w:tabs>
          <w:tab w:val="clear" w:pos="720"/>
          <w:tab w:val="left" w:pos="1080" w:leader="none"/>
          <w:tab w:val="left" w:pos="1170" w:leader="none"/>
          <w:tab w:val="left" w:pos="7740" w:leader="none"/>
        </w:tabs>
        <w:ind w:start="1440" w:end="0"/>
        <w:jc w:val="both"/>
        <w:rPr>
          <w:rFonts w:ascii="Arial" w:hAnsi="Arial" w:cs="Arial"/>
          <w:b/>
          <w:sz w:val="24"/>
        </w:rPr>
      </w:pPr>
      <w:r>
        <w:rPr>
          <w:rFonts w:cs="Arial" w:ascii="Arial" w:hAnsi="Arial"/>
          <w:b/>
          <w:sz w:val="24"/>
          <w:u w:val="single"/>
        </w:rPr>
        <w:t>v. Elektro et al.</w:t>
      </w:r>
    </w:p>
    <w:p>
      <w:pPr>
        <w:pStyle w:val="Normal"/>
        <w:tabs>
          <w:tab w:val="clear" w:pos="720"/>
          <w:tab w:val="left" w:pos="1080" w:leader="none"/>
          <w:tab w:val="left" w:pos="1170" w:leader="none"/>
          <w:tab w:val="left" w:pos="7740" w:leader="none"/>
          <w:tab w:val="left" w:pos="8370" w:leader="none"/>
        </w:tabs>
        <w:ind w:start="1440" w:end="0"/>
        <w:rPr/>
      </w:pPr>
      <w:r>
        <w:rPr>
          <w:rFonts w:cs="Arial" w:ascii="Arial" w:hAnsi="Arial"/>
          <w:sz w:val="24"/>
        </w:rPr>
        <w:t>(5</w:t>
      </w:r>
      <w:r>
        <w:rPr>
          <w:rFonts w:cs="Arial" w:ascii="Arial" w:hAnsi="Arial"/>
          <w:sz w:val="24"/>
          <w:vertAlign w:val="superscript"/>
        </w:rPr>
        <w:t>th</w:t>
      </w:r>
      <w:r>
        <w:rPr>
          <w:rFonts w:cs="Arial" w:ascii="Arial" w:hAnsi="Arial"/>
          <w:sz w:val="24"/>
        </w:rPr>
        <w:t xml:space="preserve"> Federal Court, São Paulo) (Fernando Serec/Tozzini, Freire, Teixeira &amp; Silva) (at least US$550,000 as of September 1999) </w:t>
      </w:r>
    </w:p>
    <w:p>
      <w:pPr>
        <w:pStyle w:val="Normal"/>
        <w:tabs>
          <w:tab w:val="clear" w:pos="720"/>
          <w:tab w:val="left" w:pos="1080" w:leader="none"/>
          <w:tab w:val="left" w:pos="1170" w:leader="none"/>
          <w:tab w:val="left" w:pos="7740" w:leader="none"/>
          <w:tab w:val="left" w:pos="8370" w:leader="none"/>
        </w:tabs>
        <w:ind w:start="720" w:end="0"/>
        <w:jc w:val="both"/>
        <w:rPr>
          <w:rFonts w:ascii="Arial" w:hAnsi="Arial" w:cs="Arial"/>
          <w:sz w:val="24"/>
        </w:rPr>
      </w:pPr>
      <w:r>
        <w:rPr>
          <w:rFonts w:cs="Arial" w:ascii="Arial" w:hAnsi="Arial"/>
          <w:sz w:val="24"/>
        </w:rPr>
      </w:r>
    </w:p>
    <w:p>
      <w:pPr>
        <w:pStyle w:val="Normal"/>
        <w:numPr>
          <w:ilvl w:val="0"/>
          <w:numId w:val="107"/>
        </w:numPr>
        <w:tabs>
          <w:tab w:val="clear" w:pos="720"/>
          <w:tab w:val="left" w:pos="1800" w:leader="none"/>
        </w:tabs>
        <w:ind w:hanging="360" w:start="1800" w:end="0"/>
        <w:rPr>
          <w:rFonts w:ascii="Arial" w:hAnsi="Arial" w:cs="Arial"/>
          <w:sz w:val="24"/>
        </w:rPr>
      </w:pPr>
      <w:r>
        <w:rPr>
          <w:rFonts w:cs="Arial" w:ascii="Arial" w:hAnsi="Arial"/>
          <w:sz w:val="24"/>
        </w:rPr>
        <w:t xml:space="preserve">On August 26, 1999, the Brazilian Institute for the Consumer Defense, a non-profit civil organization, filed a class-action suit against Elektro and others which seeks </w:t>
      </w:r>
      <w:r>
        <w:rPr>
          <w:rFonts w:cs="Arial" w:ascii="Arial" w:hAnsi="Arial"/>
          <w:i/>
          <w:sz w:val="24"/>
        </w:rPr>
        <w:t>inter alia</w:t>
      </w:r>
      <w:r>
        <w:rPr>
          <w:rFonts w:cs="Arial" w:ascii="Arial" w:hAnsi="Arial"/>
          <w:sz w:val="24"/>
        </w:rPr>
        <w:t xml:space="preserve"> to enjoin the tariff increase granted by the government in June 1999 (16.34% for Elektro).</w:t>
      </w:r>
    </w:p>
    <w:p>
      <w:pPr>
        <w:pStyle w:val="Normal"/>
        <w:numPr>
          <w:ilvl w:val="0"/>
          <w:numId w:val="107"/>
        </w:numPr>
        <w:tabs>
          <w:tab w:val="clear" w:pos="720"/>
          <w:tab w:val="left" w:pos="1800" w:leader="none"/>
        </w:tabs>
        <w:ind w:hanging="360" w:start="1800" w:end="0"/>
        <w:rPr>
          <w:rFonts w:ascii="Arial" w:hAnsi="Arial" w:cs="Arial"/>
          <w:sz w:val="24"/>
        </w:rPr>
      </w:pPr>
      <w:r>
        <w:rPr>
          <w:rFonts w:cs="Arial" w:ascii="Arial" w:hAnsi="Arial"/>
          <w:sz w:val="24"/>
        </w:rPr>
        <w:t>Elektro was served on September 1, 1999, and filed its response and objection to the injunction on September 6, 1999.</w:t>
      </w:r>
    </w:p>
    <w:p>
      <w:pPr>
        <w:pStyle w:val="Normal"/>
        <w:numPr>
          <w:ilvl w:val="0"/>
          <w:numId w:val="107"/>
        </w:numPr>
        <w:tabs>
          <w:tab w:val="clear" w:pos="720"/>
          <w:tab w:val="left" w:pos="1800" w:leader="none"/>
        </w:tabs>
        <w:ind w:hanging="360" w:start="1800" w:end="0"/>
        <w:rPr>
          <w:rFonts w:ascii="Arial" w:hAnsi="Arial" w:cs="Arial"/>
          <w:sz w:val="24"/>
        </w:rPr>
      </w:pPr>
      <w:r>
        <w:rPr>
          <w:rFonts w:cs="Arial" w:ascii="Arial" w:hAnsi="Arial"/>
          <w:sz w:val="24"/>
        </w:rPr>
        <w:t>On October 1, 1999, the court denied IDEC’s request for an injunction suspending the tariff increase.</w:t>
      </w:r>
    </w:p>
    <w:p>
      <w:pPr>
        <w:pStyle w:val="Normal"/>
        <w:numPr>
          <w:ilvl w:val="0"/>
          <w:numId w:val="107"/>
        </w:numPr>
        <w:tabs>
          <w:tab w:val="clear" w:pos="720"/>
          <w:tab w:val="left" w:pos="1800" w:leader="none"/>
        </w:tabs>
        <w:ind w:hanging="360" w:start="1800" w:end="0"/>
        <w:rPr>
          <w:rFonts w:ascii="Arial" w:hAnsi="Arial" w:cs="Arial"/>
          <w:sz w:val="24"/>
        </w:rPr>
      </w:pPr>
      <w:r>
        <w:rPr>
          <w:rFonts w:cs="Arial" w:ascii="Arial" w:hAnsi="Arial"/>
          <w:sz w:val="24"/>
        </w:rPr>
        <w:t xml:space="preserve">A decision on the merits is still pending.  Should the plaintiffs win, consumers could receive a 16.34% refund of the amounts collected by Elektro. </w:t>
      </w:r>
    </w:p>
    <w:p>
      <w:pPr>
        <w:pStyle w:val="Normal"/>
        <w:ind w:start="720" w:end="0"/>
        <w:rPr>
          <w:rFonts w:ascii="Arial" w:hAnsi="Arial" w:cs="Arial"/>
          <w:sz w:val="24"/>
        </w:rPr>
      </w:pPr>
      <w:r>
        <w:rPr>
          <w:rFonts w:cs="Arial" w:ascii="Arial" w:hAnsi="Arial"/>
          <w:sz w:val="24"/>
        </w:rPr>
      </w:r>
    </w:p>
    <w:p>
      <w:pPr>
        <w:pStyle w:val="Normal"/>
        <w:ind w:start="720" w:end="0"/>
        <w:rPr>
          <w:rFonts w:ascii="Arial" w:hAnsi="Arial" w:cs="Arial"/>
          <w:sz w:val="24"/>
        </w:rPr>
      </w:pPr>
      <w:r>
        <w:rPr>
          <w:rFonts w:cs="Arial" w:ascii="Arial" w:hAnsi="Arial"/>
          <w:sz w:val="24"/>
        </w:rPr>
      </w:r>
    </w:p>
    <w:p>
      <w:pPr>
        <w:pStyle w:val="Normal"/>
        <w:keepNext w:val="true"/>
        <w:keepLines/>
        <w:ind w:start="1440" w:end="0"/>
        <w:rPr>
          <w:rFonts w:ascii="Arial" w:hAnsi="Arial" w:cs="Arial"/>
          <w:sz w:val="24"/>
        </w:rPr>
      </w:pPr>
      <w:r>
        <w:rPr>
          <w:rFonts w:cs="Arial" w:ascii="Arial" w:hAnsi="Arial"/>
          <w:sz w:val="24"/>
        </w:rPr>
        <w:t>Listed below are the expropriation claims filed by or against Elektro involving amounts in excess of $100,000.</w:t>
      </w:r>
    </w:p>
    <w:p>
      <w:pPr>
        <w:pStyle w:val="Normal"/>
        <w:keepNext w:val="true"/>
        <w:keepLines/>
        <w:ind w:start="1440" w:end="0"/>
        <w:rPr>
          <w:rFonts w:ascii="Arial" w:hAnsi="Arial" w:cs="Arial"/>
          <w:sz w:val="24"/>
        </w:rPr>
      </w:pPr>
      <w:r>
        <w:rPr>
          <w:rFonts w:cs="Arial" w:ascii="Arial" w:hAnsi="Arial"/>
          <w:sz w:val="24"/>
        </w:rPr>
      </w:r>
    </w:p>
    <w:p>
      <w:pPr>
        <w:pStyle w:val="Normal"/>
        <w:keepNext w:val="true"/>
        <w:keepLines/>
        <w:ind w:start="1440" w:end="0"/>
        <w:rPr>
          <w:rFonts w:ascii="Arial" w:hAnsi="Arial" w:cs="Arial"/>
          <w:sz w:val="24"/>
        </w:rPr>
      </w:pPr>
      <w:r>
        <w:rPr>
          <w:rFonts w:cs="Arial" w:ascii="Arial" w:hAnsi="Arial"/>
          <w:sz w:val="24"/>
        </w:rPr>
      </w:r>
    </w:p>
    <w:p>
      <w:pPr>
        <w:pStyle w:val="Normal"/>
        <w:keepNext w:val="true"/>
        <w:keepLines/>
        <w:tabs>
          <w:tab w:val="clear" w:pos="720"/>
          <w:tab w:val="left" w:pos="7740" w:leader="none"/>
        </w:tabs>
        <w:ind w:start="1440" w:end="0"/>
        <w:rPr/>
      </w:pPr>
      <w:r>
        <w:rPr>
          <w:rFonts w:cs="Arial" w:ascii="Arial" w:hAnsi="Arial"/>
          <w:b/>
          <w:sz w:val="24"/>
          <w:u w:val="single"/>
        </w:rPr>
        <w:t>Elektro v. Agreste Construtora e Agricola Ltda.</w:t>
      </w:r>
      <w:r>
        <w:rPr>
          <w:rFonts w:cs="Arial" w:ascii="Arial" w:hAnsi="Arial"/>
          <w:b/>
          <w:sz w:val="24"/>
        </w:rPr>
        <w:tab/>
        <w:t>(Not Updated)</w:t>
      </w:r>
    </w:p>
    <w:p>
      <w:pPr>
        <w:pStyle w:val="Normal"/>
        <w:keepNext w:val="true"/>
        <w:keepLines/>
        <w:tabs>
          <w:tab w:val="clear" w:pos="720"/>
          <w:tab w:val="left" w:pos="7740" w:leader="none"/>
        </w:tabs>
        <w:ind w:start="1440" w:end="0"/>
        <w:rPr>
          <w:rFonts w:ascii="Arial" w:hAnsi="Arial" w:cs="Arial"/>
          <w:b/>
          <w:sz w:val="24"/>
        </w:rPr>
      </w:pPr>
      <w:r>
        <w:rPr>
          <w:rFonts w:cs="Arial" w:ascii="Arial" w:hAnsi="Arial"/>
          <w:b/>
          <w:sz w:val="24"/>
          <w:u w:val="single"/>
        </w:rPr>
        <w:t>Agreste Constutora e Agricola Ltda. v. Elektro</w:t>
      </w:r>
    </w:p>
    <w:p>
      <w:pPr>
        <w:pStyle w:val="Normal"/>
        <w:keepNext w:val="true"/>
        <w:keepLines/>
        <w:ind w:start="1440" w:end="0"/>
        <w:rPr/>
      </w:pPr>
      <w:r>
        <w:rPr>
          <w:rFonts w:cs="Arial" w:ascii="Arial" w:hAnsi="Arial"/>
          <w:sz w:val="24"/>
        </w:rPr>
        <w:t>(5</w:t>
      </w:r>
      <w:r>
        <w:rPr>
          <w:rFonts w:cs="Arial" w:ascii="Arial" w:hAnsi="Arial"/>
          <w:sz w:val="24"/>
          <w:vertAlign w:val="superscript"/>
        </w:rPr>
        <w:t>th</w:t>
      </w:r>
      <w:r>
        <w:rPr>
          <w:rFonts w:cs="Arial" w:ascii="Arial" w:hAnsi="Arial"/>
          <w:sz w:val="24"/>
        </w:rPr>
        <w:t xml:space="preserve"> Federal Court, São Paulo) (Fernando Serec/Tozzini, Freire, Teixeira &amp; Silva) (R$5,815,205.60/US$3,233,903) </w:t>
      </w:r>
    </w:p>
    <w:p>
      <w:pPr>
        <w:pStyle w:val="Normal"/>
        <w:keepNext w:val="true"/>
        <w:keepLines/>
        <w:ind w:start="720" w:end="0"/>
        <w:rPr>
          <w:rFonts w:ascii="Arial" w:hAnsi="Arial" w:cs="Arial"/>
          <w:sz w:val="24"/>
        </w:rPr>
      </w:pPr>
      <w:r>
        <w:rPr>
          <w:rFonts w:cs="Arial" w:ascii="Arial" w:hAnsi="Arial"/>
          <w:sz w:val="24"/>
        </w:rPr>
      </w:r>
    </w:p>
    <w:p>
      <w:pPr>
        <w:pStyle w:val="Normal"/>
        <w:keepNext w:val="true"/>
        <w:keepLines/>
        <w:numPr>
          <w:ilvl w:val="0"/>
          <w:numId w:val="60"/>
        </w:numPr>
        <w:tabs>
          <w:tab w:val="clear" w:pos="720"/>
          <w:tab w:val="left" w:pos="1800" w:leader="none"/>
        </w:tabs>
        <w:ind w:hanging="360" w:start="1800" w:end="0"/>
        <w:rPr>
          <w:rFonts w:ascii="Arial" w:hAnsi="Arial" w:cs="Arial"/>
          <w:sz w:val="24"/>
        </w:rPr>
      </w:pPr>
      <w:r>
        <w:rPr>
          <w:rFonts w:cs="Arial" w:ascii="Arial" w:hAnsi="Arial"/>
          <w:sz w:val="24"/>
        </w:rPr>
        <w:t>Elektro filed two expropriation suits in1986 and 1987 to obtain possession of portions of 433.420 meters of land in Bom Jesus dos Perdões, São Paulo necessary to install electricity stations and towers.</w:t>
      </w:r>
    </w:p>
    <w:p>
      <w:pPr>
        <w:pStyle w:val="Normal"/>
        <w:numPr>
          <w:ilvl w:val="0"/>
          <w:numId w:val="60"/>
        </w:numPr>
        <w:tabs>
          <w:tab w:val="clear" w:pos="720"/>
          <w:tab w:val="left" w:pos="1800" w:leader="none"/>
        </w:tabs>
        <w:ind w:hanging="360" w:start="1800" w:end="0"/>
        <w:rPr>
          <w:rFonts w:ascii="Arial" w:hAnsi="Arial" w:cs="Arial"/>
          <w:sz w:val="24"/>
        </w:rPr>
      </w:pPr>
      <w:r>
        <w:rPr>
          <w:rFonts w:cs="Arial" w:ascii="Arial" w:hAnsi="Arial"/>
          <w:sz w:val="24"/>
        </w:rPr>
        <w:t>The first suit sought possession of 12.842,02 meters and the second suit sought possession of more than 0.5588 hectares.</w:t>
      </w:r>
    </w:p>
    <w:p>
      <w:pPr>
        <w:pStyle w:val="Normal"/>
        <w:numPr>
          <w:ilvl w:val="0"/>
          <w:numId w:val="85"/>
        </w:numPr>
        <w:tabs>
          <w:tab w:val="clear" w:pos="720"/>
          <w:tab w:val="left" w:pos="1800" w:leader="none"/>
        </w:tabs>
        <w:ind w:hanging="360" w:start="1800" w:end="0"/>
        <w:rPr>
          <w:rFonts w:ascii="Arial" w:hAnsi="Arial" w:cs="Arial"/>
          <w:sz w:val="24"/>
        </w:rPr>
      </w:pPr>
      <w:r>
        <w:rPr>
          <w:rFonts w:cs="Arial" w:ascii="Arial" w:hAnsi="Arial"/>
          <w:sz w:val="24"/>
        </w:rPr>
        <w:t>In September 1987, a court-appointed expert assessed the value of the subject property as R$1.25 million.</w:t>
      </w:r>
    </w:p>
    <w:p>
      <w:pPr>
        <w:pStyle w:val="Normal"/>
        <w:numPr>
          <w:ilvl w:val="0"/>
          <w:numId w:val="153"/>
        </w:numPr>
        <w:tabs>
          <w:tab w:val="clear" w:pos="720"/>
          <w:tab w:val="left" w:pos="1800" w:leader="none"/>
        </w:tabs>
        <w:ind w:hanging="360" w:start="1800" w:end="0"/>
        <w:rPr>
          <w:rFonts w:ascii="Arial" w:hAnsi="Arial" w:cs="Arial"/>
          <w:sz w:val="24"/>
        </w:rPr>
      </w:pPr>
      <w:r>
        <w:rPr>
          <w:rFonts w:cs="Arial" w:ascii="Arial" w:hAnsi="Arial"/>
          <w:sz w:val="24"/>
        </w:rPr>
        <w:t>The judge accepted the expert's valuation thereby ruling against Elektro and on February 21, 2000 Elektro appealed to the federal court of appeals.  Briefing has been submitted and Elektro’s appeal has been before the federal court since July 28, 2000.</w:t>
      </w:r>
    </w:p>
    <w:p>
      <w:pPr>
        <w:pStyle w:val="Normal"/>
        <w:numPr>
          <w:ilvl w:val="0"/>
          <w:numId w:val="153"/>
        </w:numPr>
        <w:tabs>
          <w:tab w:val="clear" w:pos="720"/>
          <w:tab w:val="left" w:pos="1800" w:leader="none"/>
        </w:tabs>
        <w:ind w:hanging="360" w:start="1800" w:end="0"/>
        <w:rPr>
          <w:rFonts w:ascii="Arial" w:hAnsi="Arial" w:cs="Arial"/>
          <w:sz w:val="24"/>
        </w:rPr>
      </w:pPr>
      <w:r>
        <w:rPr>
          <w:rFonts w:cs="Arial" w:ascii="Arial" w:hAnsi="Arial"/>
          <w:sz w:val="24"/>
        </w:rPr>
        <w:t>In another related suit, Agreste also claimed losses and damages allegedly sustained to his adjoining property not directly expropriated by Elektro.  This claim was dismissed and has been appealed.  No ruling on this matter has yet been issued.</w:t>
      </w:r>
    </w:p>
    <w:p>
      <w:pPr>
        <w:pStyle w:val="Normal"/>
        <w:ind w:start="720" w:end="0"/>
        <w:rPr>
          <w:rFonts w:ascii="Arial" w:hAnsi="Arial" w:cs="Arial"/>
          <w:sz w:val="24"/>
        </w:rPr>
      </w:pPr>
      <w:r>
        <w:rPr>
          <w:rFonts w:cs="Arial" w:ascii="Arial" w:hAnsi="Arial"/>
          <w:sz w:val="24"/>
        </w:rPr>
      </w:r>
    </w:p>
    <w:p>
      <w:pPr>
        <w:pStyle w:val="Normal"/>
        <w:tabs>
          <w:tab w:val="clear" w:pos="720"/>
          <w:tab w:val="left" w:pos="7740" w:leader="none"/>
        </w:tabs>
        <w:ind w:start="1440" w:end="0"/>
        <w:rPr/>
      </w:pPr>
      <w:r>
        <w:rPr>
          <w:rFonts w:cs="Arial" w:ascii="Arial" w:hAnsi="Arial"/>
          <w:b/>
          <w:sz w:val="24"/>
          <w:u w:val="single"/>
        </w:rPr>
        <w:t>Elektro v. Jose Lopes et al.</w:t>
      </w:r>
      <w:r>
        <w:rPr>
          <w:rFonts w:cs="Arial" w:ascii="Arial" w:hAnsi="Arial"/>
          <w:b/>
          <w:sz w:val="24"/>
        </w:rPr>
        <w:t xml:space="preserve"> </w:t>
        <w:tab/>
        <w:t>(Not Updated)</w:t>
      </w:r>
    </w:p>
    <w:p>
      <w:pPr>
        <w:pStyle w:val="Normal"/>
        <w:ind w:start="1440" w:end="0"/>
        <w:rPr/>
      </w:pPr>
      <w:r>
        <w:rPr>
          <w:rFonts w:cs="Arial" w:ascii="Arial" w:hAnsi="Arial"/>
          <w:sz w:val="24"/>
        </w:rPr>
        <w:t>(8</w:t>
      </w:r>
      <w:r>
        <w:rPr>
          <w:rFonts w:cs="Arial" w:ascii="Arial" w:hAnsi="Arial"/>
          <w:sz w:val="24"/>
          <w:vertAlign w:val="superscript"/>
        </w:rPr>
        <w:t>th</w:t>
      </w:r>
      <w:r>
        <w:rPr>
          <w:rFonts w:cs="Arial" w:ascii="Arial" w:hAnsi="Arial"/>
          <w:sz w:val="24"/>
        </w:rPr>
        <w:t xml:space="preserve"> Federal Court of São Paulo) (Fernando Serec/Tozzini, Freire, Teixeira &amp; Silva) (R$410,127.93/US$228,076.92) </w:t>
      </w:r>
    </w:p>
    <w:p>
      <w:pPr>
        <w:pStyle w:val="Normal"/>
        <w:ind w:start="720" w:end="0"/>
        <w:rPr>
          <w:rFonts w:ascii="Arial" w:hAnsi="Arial" w:cs="Arial"/>
          <w:sz w:val="24"/>
        </w:rPr>
      </w:pPr>
      <w:r>
        <w:rPr>
          <w:rFonts w:cs="Arial" w:ascii="Arial" w:hAnsi="Arial"/>
          <w:sz w:val="24"/>
        </w:rPr>
      </w:r>
    </w:p>
    <w:p>
      <w:pPr>
        <w:pStyle w:val="Normal"/>
        <w:numPr>
          <w:ilvl w:val="0"/>
          <w:numId w:val="23"/>
        </w:numPr>
        <w:tabs>
          <w:tab w:val="clear" w:pos="720"/>
          <w:tab w:val="left" w:pos="1800" w:leader="none"/>
        </w:tabs>
        <w:ind w:hanging="360" w:start="1800" w:end="0"/>
        <w:rPr>
          <w:rFonts w:ascii="Arial" w:hAnsi="Arial" w:cs="Arial"/>
          <w:sz w:val="24"/>
        </w:rPr>
      </w:pPr>
      <w:r>
        <w:rPr>
          <w:rFonts w:cs="Arial" w:ascii="Arial" w:hAnsi="Arial"/>
          <w:sz w:val="24"/>
        </w:rPr>
        <w:t>Elektro filed this lawsuit on March 11, 1986, to obtain possession of 1,8056 hectares in Guaruja, State of São Paulo, to install an electricity station and transmission towers.</w:t>
      </w:r>
    </w:p>
    <w:p>
      <w:pPr>
        <w:pStyle w:val="Normal"/>
        <w:numPr>
          <w:ilvl w:val="0"/>
          <w:numId w:val="23"/>
        </w:numPr>
        <w:tabs>
          <w:tab w:val="clear" w:pos="720"/>
          <w:tab w:val="left" w:pos="1800" w:leader="none"/>
        </w:tabs>
        <w:ind w:hanging="360" w:start="1800" w:end="0"/>
        <w:rPr>
          <w:rFonts w:ascii="Arial" w:hAnsi="Arial" w:cs="Arial"/>
          <w:sz w:val="24"/>
        </w:rPr>
      </w:pPr>
      <w:r>
        <w:rPr>
          <w:rFonts w:cs="Arial" w:ascii="Arial" w:hAnsi="Arial"/>
          <w:sz w:val="24"/>
        </w:rPr>
        <w:t>On December 18, 1998, the court required Elektro to pay $151,640.03 plus interest and attorney fees.</w:t>
      </w:r>
    </w:p>
    <w:p>
      <w:pPr>
        <w:pStyle w:val="Normal"/>
        <w:numPr>
          <w:ilvl w:val="0"/>
          <w:numId w:val="23"/>
        </w:numPr>
        <w:tabs>
          <w:tab w:val="clear" w:pos="720"/>
          <w:tab w:val="left" w:pos="1800" w:leader="none"/>
        </w:tabs>
        <w:ind w:hanging="360" w:start="1800" w:end="0"/>
        <w:rPr>
          <w:rFonts w:ascii="Arial" w:hAnsi="Arial" w:cs="Arial"/>
          <w:sz w:val="24"/>
        </w:rPr>
      </w:pPr>
      <w:r>
        <w:rPr>
          <w:rFonts w:cs="Arial" w:ascii="Arial" w:hAnsi="Arial"/>
          <w:sz w:val="24"/>
        </w:rPr>
        <w:t>On April 9, 1999, plaintiffs appealed this decision seeking the amount set forth above rather than the amount ordered by the court.  On August 30, 1999, the suit was sent to the regional federal court and has been under consideration since November 23, 1999.</w:t>
      </w:r>
    </w:p>
    <w:p>
      <w:pPr>
        <w:pStyle w:val="Normal"/>
        <w:ind w:start="720" w:end="0"/>
        <w:rPr>
          <w:rFonts w:ascii="Arial" w:hAnsi="Arial" w:cs="Arial"/>
          <w:sz w:val="24"/>
        </w:rPr>
      </w:pPr>
      <w:r>
        <w:rPr>
          <w:rFonts w:cs="Arial" w:ascii="Arial" w:hAnsi="Arial"/>
          <w:sz w:val="24"/>
        </w:rPr>
      </w:r>
    </w:p>
    <w:p>
      <w:pPr>
        <w:pStyle w:val="Normal"/>
        <w:tabs>
          <w:tab w:val="clear" w:pos="720"/>
          <w:tab w:val="left" w:pos="7740" w:leader="none"/>
        </w:tabs>
        <w:ind w:start="1440" w:end="0"/>
        <w:rPr/>
      </w:pPr>
      <w:r>
        <w:rPr>
          <w:rFonts w:cs="Arial" w:ascii="Arial" w:hAnsi="Arial"/>
          <w:b/>
          <w:sz w:val="24"/>
          <w:u w:val="single"/>
        </w:rPr>
        <w:t>Espólio de Fuad Anauate v. Elektro</w:t>
      </w:r>
      <w:r>
        <w:rPr>
          <w:rFonts w:cs="Arial" w:ascii="Arial" w:hAnsi="Arial"/>
          <w:b/>
          <w:sz w:val="24"/>
        </w:rPr>
        <w:tab/>
        <w:t>(Updated)</w:t>
      </w:r>
    </w:p>
    <w:p>
      <w:pPr>
        <w:pStyle w:val="Normal"/>
        <w:ind w:start="1440" w:end="0"/>
        <w:rPr/>
      </w:pPr>
      <w:r>
        <w:rPr>
          <w:rFonts w:cs="Arial" w:ascii="Arial" w:hAnsi="Arial"/>
          <w:sz w:val="24"/>
        </w:rPr>
        <w:t>(18</w:t>
      </w:r>
      <w:r>
        <w:rPr>
          <w:rFonts w:cs="Arial" w:ascii="Arial" w:hAnsi="Arial"/>
          <w:sz w:val="24"/>
          <w:vertAlign w:val="superscript"/>
        </w:rPr>
        <w:t>th</w:t>
      </w:r>
      <w:r>
        <w:rPr>
          <w:rFonts w:cs="Arial" w:ascii="Arial" w:hAnsi="Arial"/>
          <w:sz w:val="24"/>
        </w:rPr>
        <w:t xml:space="preserve"> Federal Court of São Paulo) (Fernando Serec/Tozzini, Freire, Teixeira &amp; Silva) (R$1,486,759/US$840,000) </w:t>
      </w:r>
    </w:p>
    <w:p>
      <w:pPr>
        <w:pStyle w:val="Normal"/>
        <w:ind w:start="720" w:end="0"/>
        <w:rPr>
          <w:rFonts w:ascii="Arial" w:hAnsi="Arial" w:cs="Arial"/>
          <w:sz w:val="24"/>
        </w:rPr>
      </w:pPr>
      <w:r>
        <w:rPr>
          <w:rFonts w:cs="Arial" w:ascii="Arial" w:hAnsi="Arial"/>
          <w:sz w:val="24"/>
        </w:rPr>
      </w:r>
    </w:p>
    <w:p>
      <w:pPr>
        <w:pStyle w:val="Normal"/>
        <w:numPr>
          <w:ilvl w:val="0"/>
          <w:numId w:val="117"/>
        </w:numPr>
        <w:tabs>
          <w:tab w:val="clear" w:pos="720"/>
          <w:tab w:val="left" w:pos="1800" w:leader="none"/>
        </w:tabs>
        <w:ind w:hanging="360" w:start="1800" w:end="0"/>
        <w:rPr>
          <w:rFonts w:ascii="Arial" w:hAnsi="Arial" w:cs="Arial"/>
          <w:sz w:val="24"/>
        </w:rPr>
      </w:pPr>
      <w:r>
        <w:rPr>
          <w:rFonts w:cs="Arial" w:ascii="Arial" w:hAnsi="Arial"/>
          <w:sz w:val="24"/>
        </w:rPr>
        <w:t xml:space="preserve">Landowners filed this suit in March 1980 concerning 9.955,68 meters of land expropriated by CESP to install an electricity station and transmission towers. </w:t>
      </w:r>
    </w:p>
    <w:p>
      <w:pPr>
        <w:pStyle w:val="Normal"/>
        <w:numPr>
          <w:ilvl w:val="0"/>
          <w:numId w:val="127"/>
        </w:numPr>
        <w:tabs>
          <w:tab w:val="clear" w:pos="720"/>
          <w:tab w:val="left" w:pos="1800" w:leader="none"/>
        </w:tabs>
        <w:ind w:hanging="360" w:start="1800" w:end="0"/>
        <w:rPr>
          <w:rFonts w:ascii="Arial" w:hAnsi="Arial" w:cs="Arial"/>
          <w:sz w:val="24"/>
        </w:rPr>
      </w:pPr>
      <w:r>
        <w:rPr>
          <w:rFonts w:cs="Arial" w:ascii="Arial" w:hAnsi="Arial"/>
          <w:sz w:val="24"/>
        </w:rPr>
        <w:t xml:space="preserve">The parties are awaiting the court’s decision.  In the meantime, Elektro has alleged that the federal court has no jurisdiction in this matter and the judge has required the Federal Union to file a manifestation concerning Elektro’s allegations.  </w:t>
      </w:r>
      <w:r>
        <w:rPr>
          <w:rFonts w:cs="Arial" w:ascii="Arial" w:hAnsi="Arial"/>
          <w:b/>
          <w:bCs/>
          <w:sz w:val="24"/>
        </w:rPr>
        <w:t>The federal union has not yet filed its manifestation.</w:t>
      </w:r>
    </w:p>
    <w:p>
      <w:pPr>
        <w:pStyle w:val="Normal"/>
        <w:numPr>
          <w:ilvl w:val="0"/>
          <w:numId w:val="127"/>
        </w:numPr>
        <w:tabs>
          <w:tab w:val="clear" w:pos="720"/>
          <w:tab w:val="left" w:pos="1800" w:leader="none"/>
        </w:tabs>
        <w:ind w:hanging="360" w:start="1800" w:end="0"/>
        <w:rPr>
          <w:rFonts w:ascii="Arial" w:hAnsi="Arial" w:cs="Arial"/>
          <w:sz w:val="24"/>
        </w:rPr>
      </w:pPr>
      <w:r>
        <w:rPr>
          <w:rFonts w:cs="Arial" w:ascii="Arial" w:hAnsi="Arial"/>
          <w:sz w:val="24"/>
        </w:rPr>
        <w:t>The parties are currently discussing settlement.</w:t>
      </w:r>
    </w:p>
    <w:p>
      <w:pPr>
        <w:pStyle w:val="Normal"/>
        <w:ind w:start="1440" w:end="0"/>
        <w:rPr>
          <w:rFonts w:ascii="Arial" w:hAnsi="Arial" w:cs="Arial"/>
          <w:sz w:val="24"/>
        </w:rPr>
      </w:pPr>
      <w:r>
        <w:rPr>
          <w:rFonts w:cs="Arial" w:ascii="Arial" w:hAnsi="Arial"/>
          <w:sz w:val="24"/>
        </w:rPr>
      </w:r>
    </w:p>
    <w:p>
      <w:pPr>
        <w:pStyle w:val="Normal"/>
        <w:keepNext w:val="true"/>
        <w:keepLines/>
        <w:ind w:start="1440" w:end="0"/>
        <w:rPr>
          <w:rFonts w:ascii="Arial" w:hAnsi="Arial" w:cs="Arial"/>
          <w:sz w:val="24"/>
        </w:rPr>
      </w:pPr>
      <w:r>
        <w:rPr>
          <w:rFonts w:cs="Arial" w:ascii="Arial" w:hAnsi="Arial"/>
          <w:sz w:val="24"/>
        </w:rPr>
        <w:t>Listed below are the labor matters filed against Elektro involving claims in excess of $100,000.</w:t>
      </w:r>
    </w:p>
    <w:p>
      <w:pPr>
        <w:pStyle w:val="BodyText"/>
        <w:keepNext w:val="true"/>
        <w:keepLines/>
        <w:ind w:start="720" w:end="0"/>
        <w:rPr>
          <w:rFonts w:ascii="Arial" w:hAnsi="Arial" w:cs="Arial"/>
          <w:sz w:val="24"/>
        </w:rPr>
      </w:pPr>
      <w:r>
        <w:rPr>
          <w:rFonts w:cs="Arial"/>
          <w:sz w:val="24"/>
        </w:rPr>
      </w:r>
    </w:p>
    <w:p>
      <w:pPr>
        <w:pStyle w:val="BodyText"/>
        <w:keepNext w:val="true"/>
        <w:keepLines/>
        <w:tabs>
          <w:tab w:val="clear" w:pos="720"/>
          <w:tab w:val="left" w:pos="7740" w:leader="none"/>
        </w:tabs>
        <w:ind w:firstLine="720" w:start="720" w:end="0"/>
        <w:rPr/>
      </w:pPr>
      <w:r>
        <w:rPr>
          <w:b/>
          <w:u w:val="single"/>
        </w:rPr>
        <w:t xml:space="preserve">Sindicato dos Trabalhadores nas Industria de </w:t>
      </w:r>
      <w:r>
        <w:rPr>
          <w:b/>
        </w:rPr>
        <w:tab/>
        <w:t>(Updated)</w:t>
      </w:r>
    </w:p>
    <w:p>
      <w:pPr>
        <w:pStyle w:val="BodyText"/>
        <w:keepNext w:val="true"/>
        <w:keepLines/>
        <w:tabs>
          <w:tab w:val="clear" w:pos="720"/>
          <w:tab w:val="left" w:pos="7740" w:leader="none"/>
        </w:tabs>
        <w:ind w:firstLine="720" w:start="720" w:end="0"/>
        <w:rPr/>
      </w:pPr>
      <w:r>
        <w:rPr>
          <w:b/>
          <w:u w:val="single"/>
        </w:rPr>
        <w:t>Energia Electrica de Campinas v. CESP</w:t>
      </w:r>
      <w:r>
        <w:rPr>
          <w:b/>
        </w:rPr>
        <w:tab/>
      </w:r>
    </w:p>
    <w:p>
      <w:pPr>
        <w:pStyle w:val="BodyText"/>
        <w:keepNext w:val="true"/>
        <w:keepLines/>
        <w:ind w:start="1440" w:end="0"/>
        <w:jc w:val="start"/>
        <w:rPr/>
      </w:pPr>
      <w:r>
        <w:rPr/>
        <w:t xml:space="preserve">(Superior Labor Court) (Fernando Serec/Tozzini, Freire, Teixeira &amp; Silva) (best estimated to be as much as $29,905,444/US$17,000,000 plus resulting changes to how employees’ future compensation is determined) </w:t>
      </w:r>
    </w:p>
    <w:p>
      <w:pPr>
        <w:pStyle w:val="BodyText"/>
        <w:keepNext w:val="true"/>
        <w:keepLines/>
        <w:ind w:start="1440" w:end="0"/>
        <w:jc w:val="start"/>
        <w:rPr/>
      </w:pPr>
      <w:r>
        <w:rPr/>
      </w:r>
    </w:p>
    <w:p>
      <w:pPr>
        <w:pStyle w:val="BodyText"/>
        <w:numPr>
          <w:ilvl w:val="0"/>
          <w:numId w:val="7"/>
        </w:numPr>
        <w:tabs>
          <w:tab w:val="clear" w:pos="720"/>
          <w:tab w:val="left" w:pos="1800" w:leader="none"/>
        </w:tabs>
        <w:ind w:hanging="360" w:start="1800" w:end="0"/>
        <w:rPr>
          <w:u w:val="single"/>
        </w:rPr>
      </w:pPr>
      <w:r>
        <w:rPr/>
        <w:t xml:space="preserve">The Union filed this claim in 1994 alleging </w:t>
      </w:r>
      <w:r>
        <w:rPr>
          <w:i/>
        </w:rPr>
        <w:t>inter alia</w:t>
      </w:r>
      <w:r>
        <w:rPr/>
        <w:t xml:space="preserve"> that its members were entitled to payment of a 30% hazardous pay premium based, not just on their base salary, but also based on their base salary plus bonus, Christmas bonus, vacation pay, </w:t>
      </w:r>
      <w:r>
        <w:rPr>
          <w:i/>
        </w:rPr>
        <w:t>etc</w:t>
      </w:r>
      <w:r>
        <w:rPr/>
        <w:t>.</w:t>
      </w:r>
    </w:p>
    <w:p>
      <w:pPr>
        <w:pStyle w:val="BodyText"/>
        <w:numPr>
          <w:ilvl w:val="0"/>
          <w:numId w:val="7"/>
        </w:numPr>
        <w:tabs>
          <w:tab w:val="clear" w:pos="720"/>
          <w:tab w:val="left" w:pos="1800" w:leader="none"/>
        </w:tabs>
        <w:ind w:hanging="360" w:start="1800" w:end="0"/>
        <w:rPr>
          <w:u w:val="single"/>
        </w:rPr>
      </w:pPr>
      <w:r>
        <w:rPr/>
        <w:t>Outside counsel notes that the union’s position is not consistent with decisions of the Superior Labor Court.</w:t>
      </w:r>
    </w:p>
    <w:p>
      <w:pPr>
        <w:pStyle w:val="BodyText"/>
        <w:numPr>
          <w:ilvl w:val="0"/>
          <w:numId w:val="7"/>
        </w:numPr>
        <w:tabs>
          <w:tab w:val="clear" w:pos="720"/>
          <w:tab w:val="left" w:pos="1800" w:leader="none"/>
        </w:tabs>
        <w:ind w:hanging="360" w:start="1800" w:end="0"/>
        <w:rPr>
          <w:u w:val="single"/>
        </w:rPr>
      </w:pPr>
      <w:r>
        <w:rPr/>
        <w:t>Elektro lost at the lower court and on appeal to the regional labor court.  The case is pending on appeal before the Superior Labor Court.</w:t>
      </w:r>
    </w:p>
    <w:p>
      <w:pPr>
        <w:pStyle w:val="BodyText"/>
        <w:numPr>
          <w:ilvl w:val="0"/>
          <w:numId w:val="7"/>
        </w:numPr>
        <w:tabs>
          <w:tab w:val="clear" w:pos="720"/>
          <w:tab w:val="left" w:pos="1800" w:leader="none"/>
        </w:tabs>
        <w:ind w:hanging="360" w:start="1800" w:end="0"/>
        <w:rPr/>
      </w:pPr>
      <w:r>
        <w:rPr/>
        <w:t xml:space="preserve">Elektro has executed a settlement agreement with the Union which was ratified by the Superior Labor Court on December 13, 2000.  The settlement involves the present action and is limited to the period after June 1, 1998.  CESP is not a party to the agreement.  </w:t>
      </w:r>
    </w:p>
    <w:p>
      <w:pPr>
        <w:pStyle w:val="BodyText"/>
        <w:numPr>
          <w:ilvl w:val="0"/>
          <w:numId w:val="7"/>
        </w:numPr>
        <w:tabs>
          <w:tab w:val="clear" w:pos="720"/>
          <w:tab w:val="left" w:pos="1800" w:leader="none"/>
        </w:tabs>
        <w:ind w:hanging="360" w:start="1800" w:end="0"/>
        <w:rPr/>
      </w:pPr>
      <w:r>
        <w:rPr/>
        <w:t>The final amount</w:t>
      </w:r>
      <w:r>
        <w:rPr>
          <w:b/>
          <w:bCs/>
        </w:rPr>
        <w:t>,</w:t>
      </w:r>
      <w:r>
        <w:rPr/>
        <w:t xml:space="preserve"> </w:t>
      </w:r>
      <w:r>
        <w:rPr>
          <w:b/>
          <w:bCs/>
        </w:rPr>
        <w:t xml:space="preserve">according to the expert’s calculation, is R$2,946,072 ($1,380,973).  </w:t>
      </w:r>
      <w:r>
        <w:rPr/>
        <w:t xml:space="preserve">Because it has been resolved as to Elektro, this matter will not </w:t>
      </w:r>
      <w:r>
        <w:rPr>
          <w:b/>
          <w:bCs/>
        </w:rPr>
        <w:t>appear</w:t>
      </w:r>
      <w:r>
        <w:rPr/>
        <w:t xml:space="preserve"> on next month’s report.</w:t>
      </w:r>
    </w:p>
    <w:p>
      <w:pPr>
        <w:pStyle w:val="BodyText"/>
        <w:rPr/>
      </w:pPr>
      <w:r>
        <w:rPr/>
      </w:r>
    </w:p>
    <w:p>
      <w:pPr>
        <w:pStyle w:val="BodyText"/>
        <w:keepNext w:val="true"/>
        <w:keepLines/>
        <w:tabs>
          <w:tab w:val="clear" w:pos="720"/>
          <w:tab w:val="left" w:pos="7740" w:leader="none"/>
        </w:tabs>
        <w:ind w:firstLine="720" w:start="720" w:end="0"/>
        <w:rPr/>
      </w:pPr>
      <w:r>
        <w:rPr>
          <w:b/>
          <w:u w:val="single"/>
        </w:rPr>
        <w:t xml:space="preserve">Sindicato dos Trabalhadores nas Industrias de </w:t>
      </w:r>
      <w:r>
        <w:rPr>
          <w:b/>
        </w:rPr>
        <w:tab/>
        <w:t>(Updated)</w:t>
      </w:r>
    </w:p>
    <w:p>
      <w:pPr>
        <w:pStyle w:val="BodyText"/>
        <w:keepNext w:val="true"/>
        <w:keepLines/>
        <w:tabs>
          <w:tab w:val="clear" w:pos="720"/>
          <w:tab w:val="left" w:pos="7740" w:leader="none"/>
        </w:tabs>
        <w:ind w:firstLine="720" w:start="720" w:end="0"/>
        <w:rPr>
          <w:b/>
        </w:rPr>
      </w:pPr>
      <w:r>
        <w:rPr>
          <w:b/>
          <w:u w:val="single"/>
        </w:rPr>
        <w:t>Energia Electrica de Itanhaem v. CESP</w:t>
      </w:r>
    </w:p>
    <w:p>
      <w:pPr>
        <w:pStyle w:val="BodyText"/>
        <w:keepNext w:val="true"/>
        <w:keepLines/>
        <w:ind w:start="1440" w:end="0"/>
        <w:jc w:val="start"/>
        <w:rPr/>
      </w:pPr>
      <w:r>
        <w:rPr/>
        <w:t xml:space="preserve">(Board of Conciliation and Judgment of the City of Itanhaem) (Fernando Serec/Tozzini, Freire, Teixeira &amp; Silva) (best estimated to be as much as R$415,000/US$235,000 plus resulting changes to how employees’ future compensation is determined) </w:t>
      </w:r>
    </w:p>
    <w:p>
      <w:pPr>
        <w:pStyle w:val="BodyText"/>
        <w:ind w:start="1440" w:end="0"/>
        <w:rPr/>
      </w:pPr>
      <w:r>
        <w:rPr/>
      </w:r>
    </w:p>
    <w:p>
      <w:pPr>
        <w:pStyle w:val="BodyText"/>
        <w:numPr>
          <w:ilvl w:val="0"/>
          <w:numId w:val="98"/>
        </w:numPr>
        <w:tabs>
          <w:tab w:val="clear" w:pos="720"/>
          <w:tab w:val="left" w:pos="1800" w:leader="none"/>
        </w:tabs>
        <w:ind w:hanging="360" w:start="1800" w:end="0"/>
        <w:rPr/>
      </w:pPr>
      <w:r>
        <w:rPr/>
        <w:t>This case involves the union’s claim that its members are entitled to payment of their bonus and overtime payments based not only on base salary, but also based on the addition of the 30% risk premium to their base pay.</w:t>
      </w:r>
    </w:p>
    <w:p>
      <w:pPr>
        <w:pStyle w:val="BodyText"/>
        <w:numPr>
          <w:ilvl w:val="0"/>
          <w:numId w:val="98"/>
        </w:numPr>
        <w:tabs>
          <w:tab w:val="clear" w:pos="720"/>
          <w:tab w:val="left" w:pos="1800" w:leader="none"/>
        </w:tabs>
        <w:ind w:hanging="360" w:start="1800" w:end="0"/>
        <w:rPr/>
      </w:pPr>
      <w:r>
        <w:rPr/>
        <w:t>Outside counsel notes that the union’s position is consistent with the majority of labor courts.</w:t>
      </w:r>
    </w:p>
    <w:p>
      <w:pPr>
        <w:pStyle w:val="BodyText"/>
        <w:numPr>
          <w:ilvl w:val="0"/>
          <w:numId w:val="98"/>
        </w:numPr>
        <w:tabs>
          <w:tab w:val="clear" w:pos="720"/>
          <w:tab w:val="left" w:pos="1800" w:leader="none"/>
        </w:tabs>
        <w:ind w:hanging="360" w:start="1800" w:end="0"/>
        <w:rPr/>
      </w:pPr>
      <w:r>
        <w:rPr/>
        <w:t>Elektro moved to be joined as a party; however, on June 1, 2000, the court denied this request and scheduled a judgment hearing for November 21, 2000.  The Judge has postponed her decision on the judgment.</w:t>
      </w:r>
    </w:p>
    <w:p>
      <w:pPr>
        <w:pStyle w:val="BodyText"/>
        <w:numPr>
          <w:ilvl w:val="0"/>
          <w:numId w:val="98"/>
        </w:numPr>
        <w:tabs>
          <w:tab w:val="clear" w:pos="720"/>
          <w:tab w:val="left" w:pos="1800" w:leader="none"/>
        </w:tabs>
        <w:ind w:hanging="360" w:start="1800" w:end="0"/>
        <w:rPr/>
      </w:pPr>
      <w:r>
        <w:rPr/>
        <w:t>Elektro has challenged the employees seeking to take advantage of this claim based on their lack of membership in the union, failure to take part in hazardous activities or overtime and based on limitations.</w:t>
      </w:r>
    </w:p>
    <w:p>
      <w:pPr>
        <w:pStyle w:val="BodyText"/>
        <w:numPr>
          <w:ilvl w:val="0"/>
          <w:numId w:val="98"/>
        </w:numPr>
        <w:tabs>
          <w:tab w:val="clear" w:pos="720"/>
          <w:tab w:val="left" w:pos="1800" w:leader="none"/>
        </w:tabs>
        <w:ind w:hanging="360" w:start="1800" w:end="0"/>
        <w:rPr/>
      </w:pPr>
      <w:r>
        <w:rPr/>
        <w:t xml:space="preserve">Elektro has entered into a collective bargaining agreement with the Itanhaem Union which has been filed at the regional labor agency.  The agreement involves this controversy but only after June 1, 1998.  The matter will be continued against CESP.  </w:t>
      </w:r>
      <w:r>
        <w:rPr>
          <w:b/>
          <w:bCs/>
        </w:rPr>
        <w:t>The gross amount involved in the settlement is R$681,449,000 ($319,429,718) according to Elektro and its expert.  Because this matter has been settled as to Elektro, it will not appear on next month’s report.</w:t>
      </w:r>
    </w:p>
    <w:p>
      <w:pPr>
        <w:pStyle w:val="BodyText"/>
        <w:tabs>
          <w:tab w:val="clear" w:pos="720"/>
          <w:tab w:val="left" w:pos="1080" w:leader="none"/>
          <w:tab w:val="left" w:pos="1170" w:leader="none"/>
          <w:tab w:val="left" w:pos="7740" w:leader="none"/>
          <w:tab w:val="left" w:pos="8370" w:leader="none"/>
        </w:tabs>
        <w:ind w:start="1440" w:end="0"/>
        <w:rPr/>
      </w:pPr>
      <w:r>
        <w:rPr/>
      </w:r>
    </w:p>
    <w:p>
      <w:pPr>
        <w:pStyle w:val="BodyText"/>
        <w:tabs>
          <w:tab w:val="clear" w:pos="720"/>
          <w:tab w:val="left" w:pos="1170" w:leader="none"/>
          <w:tab w:val="left" w:pos="7740" w:leader="none"/>
          <w:tab w:val="left" w:pos="8370" w:leader="none"/>
        </w:tabs>
        <w:ind w:start="1440" w:end="0"/>
        <w:rPr/>
      </w:pPr>
      <w:r>
        <w:rPr>
          <w:b/>
          <w:u w:val="single"/>
        </w:rPr>
        <w:t>Sindicato dos Electricitarios de Sao Paulo v. CESP</w:t>
      </w:r>
      <w:r>
        <w:rPr>
          <w:b/>
        </w:rPr>
        <w:tab/>
        <w:t>(Updated)</w:t>
      </w:r>
    </w:p>
    <w:p>
      <w:pPr>
        <w:pStyle w:val="BodyText"/>
        <w:tabs>
          <w:tab w:val="clear" w:pos="720"/>
          <w:tab w:val="left" w:pos="1170" w:leader="none"/>
          <w:tab w:val="left" w:pos="7740" w:leader="none"/>
          <w:tab w:val="left" w:pos="8370" w:leader="none"/>
        </w:tabs>
        <w:ind w:start="1440" w:end="0"/>
        <w:rPr/>
      </w:pPr>
      <w:r>
        <w:rPr/>
        <w:t>(39</w:t>
      </w:r>
      <w:r>
        <w:rPr>
          <w:vertAlign w:val="superscript"/>
        </w:rPr>
        <w:t>th</w:t>
      </w:r>
      <w:r>
        <w:rPr/>
        <w:t xml:space="preserve"> Board of Conciliation and Judgment of the City of Sao Paulo) (Fernando Serec/Tozzini, Freire, Teixeira &amp; Silva) (best estimated to be as much as R$790,000/US$445,000 plus resulting changes to how employees’ future compensation is determined)</w:t>
      </w:r>
    </w:p>
    <w:p>
      <w:pPr>
        <w:pStyle w:val="BodyText"/>
        <w:tabs>
          <w:tab w:val="clear" w:pos="720"/>
          <w:tab w:val="left" w:pos="1170" w:leader="none"/>
          <w:tab w:val="left" w:pos="7740" w:leader="none"/>
          <w:tab w:val="left" w:pos="8370" w:leader="none"/>
        </w:tabs>
        <w:ind w:start="1440" w:end="0"/>
        <w:rPr/>
      </w:pPr>
      <w:r>
        <w:rPr/>
      </w:r>
    </w:p>
    <w:p>
      <w:pPr>
        <w:pStyle w:val="BodyText"/>
        <w:numPr>
          <w:ilvl w:val="0"/>
          <w:numId w:val="103"/>
        </w:numPr>
        <w:tabs>
          <w:tab w:val="clear" w:pos="720"/>
          <w:tab w:val="left" w:pos="1170" w:leader="none"/>
          <w:tab w:val="left" w:pos="1800" w:leader="none"/>
          <w:tab w:val="left" w:pos="7740" w:leader="none"/>
          <w:tab w:val="left" w:pos="8370" w:leader="none"/>
        </w:tabs>
        <w:ind w:hanging="360" w:start="1800" w:end="0"/>
        <w:rPr/>
      </w:pPr>
      <w:r>
        <w:rPr/>
        <w:t>In December, 1997, the union filed this claim seeking calculation of additional overtime payments based on the inclusion of the hazardous condition payment.</w:t>
      </w:r>
    </w:p>
    <w:p>
      <w:pPr>
        <w:pStyle w:val="BodyText"/>
        <w:numPr>
          <w:ilvl w:val="0"/>
          <w:numId w:val="103"/>
        </w:numPr>
        <w:tabs>
          <w:tab w:val="clear" w:pos="720"/>
          <w:tab w:val="left" w:pos="1170" w:leader="none"/>
          <w:tab w:val="left" w:pos="1800" w:leader="none"/>
          <w:tab w:val="left" w:pos="7740" w:leader="none"/>
          <w:tab w:val="left" w:pos="8370" w:leader="none"/>
        </w:tabs>
        <w:ind w:hanging="360" w:start="1800" w:end="0"/>
        <w:rPr/>
      </w:pPr>
      <w:r>
        <w:rPr/>
        <w:t>On December 4, 1997, the parties agreed to stay the claim.</w:t>
      </w:r>
    </w:p>
    <w:p>
      <w:pPr>
        <w:pStyle w:val="BodyText"/>
        <w:numPr>
          <w:ilvl w:val="0"/>
          <w:numId w:val="103"/>
        </w:numPr>
        <w:tabs>
          <w:tab w:val="clear" w:pos="720"/>
          <w:tab w:val="left" w:pos="1170" w:leader="none"/>
          <w:tab w:val="left" w:pos="1800" w:leader="none"/>
          <w:tab w:val="left" w:pos="7740" w:leader="none"/>
          <w:tab w:val="left" w:pos="8370" w:leader="none"/>
        </w:tabs>
        <w:ind w:hanging="360" w:start="1800" w:end="0"/>
        <w:rPr/>
      </w:pPr>
      <w:r>
        <w:rPr/>
        <w:t>On May 4, 2000, Elektro sought to join the action.  A discovery hearing is scheduled for March 22, 2001.</w:t>
      </w:r>
    </w:p>
    <w:p>
      <w:pPr>
        <w:pStyle w:val="BodyText"/>
        <w:numPr>
          <w:ilvl w:val="0"/>
          <w:numId w:val="103"/>
        </w:numPr>
        <w:tabs>
          <w:tab w:val="clear" w:pos="720"/>
          <w:tab w:val="left" w:pos="1170" w:leader="none"/>
          <w:tab w:val="left" w:pos="1800" w:leader="none"/>
          <w:tab w:val="left" w:pos="7740" w:leader="none"/>
          <w:tab w:val="left" w:pos="8370" w:leader="none"/>
        </w:tabs>
        <w:ind w:hanging="360" w:start="1800" w:end="0"/>
        <w:rPr/>
      </w:pPr>
      <w:r>
        <w:rPr/>
        <w:t>As noted above, the union’s position is consistent with the majority of labor courts.  Withdrawal from the claim of a number of union members has decreased the contingent liability.</w:t>
      </w:r>
    </w:p>
    <w:p>
      <w:pPr>
        <w:pStyle w:val="BodyText"/>
        <w:numPr>
          <w:ilvl w:val="0"/>
          <w:numId w:val="103"/>
        </w:numPr>
        <w:tabs>
          <w:tab w:val="clear" w:pos="720"/>
          <w:tab w:val="left" w:pos="1170" w:leader="none"/>
          <w:tab w:val="left" w:pos="1800" w:leader="none"/>
          <w:tab w:val="left" w:pos="7740" w:leader="none"/>
          <w:tab w:val="left" w:pos="8370" w:leader="none"/>
        </w:tabs>
        <w:ind w:hanging="360" w:start="1800" w:end="0"/>
        <w:rPr/>
      </w:pPr>
      <w:r>
        <w:rPr/>
        <w:t>Elektro has sought to intervene as a third-party and the court has deferred ruling on this request.  A discovery hearing has been scheduled for March 22, 2001 and Elektro is scheduled to attend.</w:t>
      </w:r>
    </w:p>
    <w:p>
      <w:pPr>
        <w:pStyle w:val="BodyText"/>
        <w:numPr>
          <w:ilvl w:val="0"/>
          <w:numId w:val="103"/>
        </w:numPr>
        <w:tabs>
          <w:tab w:val="clear" w:pos="720"/>
          <w:tab w:val="left" w:pos="1170" w:leader="none"/>
          <w:tab w:val="left" w:pos="1800" w:leader="none"/>
          <w:tab w:val="left" w:pos="7740" w:leader="none"/>
          <w:tab w:val="left" w:pos="8370" w:leader="none"/>
        </w:tabs>
        <w:ind w:hanging="360" w:start="1800" w:end="0"/>
        <w:rPr/>
      </w:pPr>
      <w:r>
        <w:rPr/>
        <w:t xml:space="preserve">Elektro has executed a settlement agreement with the Union which was ratified by the labor court on December 19, 2000.  CESP is not a party to the settlement and the settlement is limited to the period after June 1, 1998.  </w:t>
      </w:r>
    </w:p>
    <w:p>
      <w:pPr>
        <w:pStyle w:val="BodyText"/>
        <w:numPr>
          <w:ilvl w:val="0"/>
          <w:numId w:val="103"/>
        </w:numPr>
        <w:tabs>
          <w:tab w:val="clear" w:pos="720"/>
          <w:tab w:val="left" w:pos="1170" w:leader="none"/>
          <w:tab w:val="left" w:pos="1800" w:leader="none"/>
          <w:tab w:val="left" w:pos="7740" w:leader="none"/>
          <w:tab w:val="left" w:pos="8370" w:leader="none"/>
        </w:tabs>
        <w:ind w:hanging="360" w:start="1800" w:end="0"/>
        <w:rPr/>
      </w:pPr>
      <w:r>
        <w:rPr>
          <w:b/>
          <w:bCs/>
        </w:rPr>
        <w:t>On March 3, 2001, the court ratified the settlement which amounted to R$596,467 ($279,594) according to calculations of Elektro and its expert.  Because this matter has been settled as to Elektro, it will not appear on next month’s report.</w:t>
      </w:r>
    </w:p>
    <w:p>
      <w:pPr>
        <w:pStyle w:val="BodyText"/>
        <w:tabs>
          <w:tab w:val="clear" w:pos="720"/>
          <w:tab w:val="left" w:pos="1170" w:leader="none"/>
          <w:tab w:val="left" w:pos="7740" w:leader="none"/>
          <w:tab w:val="left" w:pos="8370" w:leader="none"/>
        </w:tabs>
        <w:ind w:start="1440" w:end="0"/>
        <w:rPr/>
      </w:pPr>
      <w:r>
        <w:rPr/>
      </w:r>
    </w:p>
    <w:p>
      <w:pPr>
        <w:pStyle w:val="BodyText"/>
        <w:keepNext w:val="true"/>
        <w:keepLines/>
        <w:tabs>
          <w:tab w:val="clear" w:pos="720"/>
          <w:tab w:val="left" w:pos="7740" w:leader="none"/>
        </w:tabs>
        <w:ind w:start="1440" w:end="0"/>
        <w:rPr/>
      </w:pPr>
      <w:r>
        <w:rPr>
          <w:b/>
          <w:u w:val="single"/>
        </w:rPr>
        <w:t>Silva v. CESP</w:t>
      </w:r>
      <w:r>
        <w:rPr>
          <w:b/>
        </w:rPr>
        <w:tab/>
        <w:t>(Updated)</w:t>
      </w:r>
    </w:p>
    <w:p>
      <w:pPr>
        <w:pStyle w:val="BodyText"/>
        <w:keepNext w:val="true"/>
        <w:keepLines/>
        <w:tabs>
          <w:tab w:val="clear" w:pos="720"/>
          <w:tab w:val="left" w:pos="7740" w:leader="none"/>
        </w:tabs>
        <w:ind w:start="1440" w:end="0"/>
        <w:rPr/>
      </w:pPr>
      <w:r>
        <w:rPr/>
        <w:t>(Board of Conciliation and Judgment of the City of Braganca Paulista)</w:t>
      </w:r>
    </w:p>
    <w:p>
      <w:pPr>
        <w:pStyle w:val="BodyText"/>
        <w:keepNext w:val="true"/>
        <w:keepLines/>
        <w:tabs>
          <w:tab w:val="clear" w:pos="720"/>
          <w:tab w:val="left" w:pos="7740" w:leader="none"/>
        </w:tabs>
        <w:ind w:start="1440" w:end="0"/>
        <w:rPr/>
      </w:pPr>
      <w:r>
        <w:rPr/>
        <w:t xml:space="preserve">(Fernando Serec/Tozzini, Freire, Teixeira &amp; Silva) (R$75,000/US$42,000) </w:t>
      </w:r>
    </w:p>
    <w:p>
      <w:pPr>
        <w:pStyle w:val="BodyText"/>
        <w:keepNext w:val="true"/>
        <w:keepLines/>
        <w:tabs>
          <w:tab w:val="clear" w:pos="720"/>
          <w:tab w:val="left" w:pos="7740" w:leader="none"/>
        </w:tabs>
        <w:ind w:start="1440" w:end="0"/>
        <w:rPr/>
      </w:pPr>
      <w:r>
        <w:rPr/>
      </w:r>
    </w:p>
    <w:p>
      <w:pPr>
        <w:pStyle w:val="BodyText"/>
        <w:keepNext w:val="true"/>
        <w:keepLines/>
        <w:numPr>
          <w:ilvl w:val="0"/>
          <w:numId w:val="52"/>
        </w:numPr>
        <w:tabs>
          <w:tab w:val="clear" w:pos="720"/>
          <w:tab w:val="left" w:pos="1800" w:leader="none"/>
          <w:tab w:val="left" w:pos="7740" w:leader="none"/>
        </w:tabs>
        <w:ind w:hanging="360" w:start="1800" w:end="0"/>
        <w:rPr/>
      </w:pPr>
      <w:r>
        <w:rPr/>
        <w:t>The claimant seeks payment of the 30% hazardous pay premium.</w:t>
      </w:r>
    </w:p>
    <w:p>
      <w:pPr>
        <w:pStyle w:val="BodyText"/>
        <w:keepNext w:val="true"/>
        <w:keepLines/>
        <w:numPr>
          <w:ilvl w:val="0"/>
          <w:numId w:val="52"/>
        </w:numPr>
        <w:tabs>
          <w:tab w:val="clear" w:pos="720"/>
          <w:tab w:val="left" w:pos="1800" w:leader="none"/>
          <w:tab w:val="left" w:pos="7740" w:leader="none"/>
        </w:tabs>
        <w:ind w:hanging="360" w:start="1800" w:end="0"/>
        <w:rPr/>
      </w:pPr>
      <w:r>
        <w:rPr/>
        <w:t>Elektro’s efforts to be added as a necessary party were not successful.</w:t>
      </w:r>
    </w:p>
    <w:p>
      <w:pPr>
        <w:pStyle w:val="BodyText"/>
        <w:numPr>
          <w:ilvl w:val="0"/>
          <w:numId w:val="87"/>
        </w:numPr>
        <w:tabs>
          <w:tab w:val="clear" w:pos="720"/>
          <w:tab w:val="left" w:pos="1170" w:leader="none"/>
          <w:tab w:val="left" w:pos="1800" w:leader="none"/>
          <w:tab w:val="left" w:pos="7740" w:leader="none"/>
          <w:tab w:val="left" w:pos="8370" w:leader="none"/>
        </w:tabs>
        <w:ind w:hanging="360" w:start="1800" w:end="0"/>
        <w:rPr/>
      </w:pPr>
      <w:r>
        <w:rPr/>
        <w:t>Discovery has been completed and it is likely but not definite he will be found to have engaged in hazardous duty.</w:t>
      </w:r>
    </w:p>
    <w:p>
      <w:pPr>
        <w:pStyle w:val="BodyText"/>
        <w:numPr>
          <w:ilvl w:val="0"/>
          <w:numId w:val="87"/>
        </w:numPr>
        <w:tabs>
          <w:tab w:val="clear" w:pos="720"/>
          <w:tab w:val="left" w:pos="1170" w:leader="none"/>
          <w:tab w:val="left" w:pos="1800" w:leader="none"/>
          <w:tab w:val="left" w:pos="7740" w:leader="none"/>
          <w:tab w:val="left" w:pos="8370" w:leader="none"/>
        </w:tabs>
        <w:ind w:hanging="360" w:start="1800" w:end="0"/>
        <w:rPr/>
      </w:pPr>
      <w:r>
        <w:rPr/>
        <w:t>A judgment date</w:t>
      </w:r>
      <w:r>
        <w:rPr>
          <w:b/>
          <w:bCs/>
        </w:rPr>
        <w:t xml:space="preserve"> has been set for November 5, 2001.</w:t>
      </w:r>
    </w:p>
    <w:p>
      <w:pPr>
        <w:pStyle w:val="BodyText"/>
        <w:tabs>
          <w:tab w:val="clear" w:pos="720"/>
          <w:tab w:val="left" w:pos="1080" w:leader="none"/>
          <w:tab w:val="left" w:pos="1170" w:leader="none"/>
          <w:tab w:val="left" w:pos="7740" w:leader="none"/>
          <w:tab w:val="left" w:pos="8370" w:leader="none"/>
        </w:tabs>
        <w:ind w:start="1440" w:end="0"/>
        <w:rPr/>
      </w:pPr>
      <w:r>
        <w:rPr/>
      </w:r>
    </w:p>
    <w:p>
      <w:pPr>
        <w:pStyle w:val="BodyText"/>
        <w:tabs>
          <w:tab w:val="clear" w:pos="720"/>
          <w:tab w:val="left" w:pos="1080" w:leader="none"/>
          <w:tab w:val="left" w:pos="1170" w:leader="none"/>
          <w:tab w:val="left" w:pos="7740" w:leader="none"/>
          <w:tab w:val="left" w:pos="8370" w:leader="none"/>
        </w:tabs>
        <w:ind w:start="1440" w:end="0"/>
        <w:rPr/>
      </w:pPr>
      <w:r>
        <w:rPr>
          <w:b/>
          <w:u w:val="single"/>
        </w:rPr>
        <w:t>Sindicato dos Trabalhadores nas Industria de</w:t>
      </w:r>
      <w:r>
        <w:rPr>
          <w:b/>
        </w:rPr>
        <w:tab/>
        <w:t>(Not Updated)</w:t>
      </w:r>
    </w:p>
    <w:p>
      <w:pPr>
        <w:pStyle w:val="BodyText"/>
        <w:tabs>
          <w:tab w:val="clear" w:pos="720"/>
          <w:tab w:val="left" w:pos="1080" w:leader="none"/>
          <w:tab w:val="left" w:pos="1170" w:leader="none"/>
          <w:tab w:val="left" w:pos="7740" w:leader="none"/>
          <w:tab w:val="left" w:pos="8370" w:leader="none"/>
        </w:tabs>
        <w:ind w:start="1440" w:end="0"/>
        <w:rPr>
          <w:b/>
          <w:u w:val="single"/>
        </w:rPr>
      </w:pPr>
      <w:r>
        <w:rPr>
          <w:b/>
          <w:u w:val="single"/>
        </w:rPr>
        <w:t>Energia Electrica de Campinas v. CESP</w:t>
      </w:r>
    </w:p>
    <w:p>
      <w:pPr>
        <w:pStyle w:val="BodyText"/>
        <w:tabs>
          <w:tab w:val="clear" w:pos="720"/>
          <w:tab w:val="left" w:pos="1080" w:leader="none"/>
          <w:tab w:val="left" w:pos="1170" w:leader="none"/>
          <w:tab w:val="left" w:pos="7740" w:leader="none"/>
          <w:tab w:val="left" w:pos="8370" w:leader="none"/>
        </w:tabs>
        <w:ind w:start="1440" w:end="0"/>
        <w:rPr/>
      </w:pPr>
      <w:r>
        <w:rPr/>
        <w:t>(4</w:t>
      </w:r>
      <w:r>
        <w:rPr>
          <w:vertAlign w:val="superscript"/>
        </w:rPr>
        <w:t>th</w:t>
      </w:r>
      <w:r>
        <w:rPr/>
        <w:t xml:space="preserve"> Labor Court of Campinas) (Fernando Serec/Tozzini, Freire, Teixeira &amp; Silva) (best estimated to be as much as R$5,900,000/US$3,310,000 plus resulting changes to how employees’ future compensation is determined)</w:t>
      </w:r>
    </w:p>
    <w:p>
      <w:pPr>
        <w:pStyle w:val="BodyText"/>
        <w:tabs>
          <w:tab w:val="clear" w:pos="720"/>
          <w:tab w:val="left" w:pos="1080" w:leader="none"/>
          <w:tab w:val="left" w:pos="1170" w:leader="none"/>
          <w:tab w:val="left" w:pos="7740" w:leader="none"/>
          <w:tab w:val="left" w:pos="8370" w:leader="none"/>
        </w:tabs>
        <w:ind w:start="1440" w:end="0"/>
        <w:rPr/>
      </w:pPr>
      <w:r>
        <w:rPr/>
      </w:r>
    </w:p>
    <w:p>
      <w:pPr>
        <w:pStyle w:val="BodyText"/>
        <w:numPr>
          <w:ilvl w:val="0"/>
          <w:numId w:val="147"/>
        </w:numPr>
        <w:tabs>
          <w:tab w:val="clear" w:pos="720"/>
          <w:tab w:val="left" w:pos="1170" w:leader="none"/>
          <w:tab w:val="left" w:pos="1800" w:leader="none"/>
          <w:tab w:val="left" w:pos="7740" w:leader="none"/>
          <w:tab w:val="left" w:pos="8370" w:leader="none"/>
        </w:tabs>
        <w:ind w:hanging="360" w:start="1800" w:end="0"/>
        <w:rPr/>
      </w:pPr>
      <w:r>
        <w:rPr/>
        <w:t>On November 11, 1994, this matter was brought seeking salary readjustment as of October 1, 1994, for payments for food allowances for employees on sickness, maternity, accident leave, and other matters covered by a collective bargaining agreement.</w:t>
      </w:r>
    </w:p>
    <w:p>
      <w:pPr>
        <w:pStyle w:val="BodyText"/>
        <w:numPr>
          <w:ilvl w:val="0"/>
          <w:numId w:val="147"/>
        </w:numPr>
        <w:tabs>
          <w:tab w:val="clear" w:pos="720"/>
          <w:tab w:val="left" w:pos="1170" w:leader="none"/>
          <w:tab w:val="left" w:pos="1800" w:leader="none"/>
          <w:tab w:val="left" w:pos="7740" w:leader="none"/>
          <w:tab w:val="left" w:pos="8370" w:leader="none"/>
        </w:tabs>
        <w:ind w:hanging="360" w:start="1800" w:end="0"/>
        <w:rPr/>
      </w:pPr>
      <w:r>
        <w:rPr/>
        <w:t>On February 3, 1998, CESP submitted its defense and the judge ordered an expert accounting.</w:t>
      </w:r>
    </w:p>
    <w:p>
      <w:pPr>
        <w:pStyle w:val="BodyText"/>
        <w:numPr>
          <w:ilvl w:val="0"/>
          <w:numId w:val="147"/>
        </w:numPr>
        <w:tabs>
          <w:tab w:val="clear" w:pos="720"/>
          <w:tab w:val="left" w:pos="1170" w:leader="none"/>
          <w:tab w:val="left" w:pos="1800" w:leader="none"/>
          <w:tab w:val="left" w:pos="7740" w:leader="none"/>
          <w:tab w:val="left" w:pos="8370" w:leader="none"/>
        </w:tabs>
        <w:ind w:hanging="360" w:start="1800" w:end="0"/>
        <w:rPr/>
      </w:pPr>
      <w:r>
        <w:rPr/>
        <w:t>The expert submitted his report and both sides submitted their comments.</w:t>
      </w:r>
    </w:p>
    <w:p>
      <w:pPr>
        <w:pStyle w:val="BodyText"/>
        <w:numPr>
          <w:ilvl w:val="0"/>
          <w:numId w:val="147"/>
        </w:numPr>
        <w:tabs>
          <w:tab w:val="clear" w:pos="720"/>
          <w:tab w:val="left" w:pos="1170" w:leader="none"/>
          <w:tab w:val="left" w:pos="1800" w:leader="none"/>
          <w:tab w:val="left" w:pos="7740" w:leader="none"/>
          <w:tab w:val="left" w:pos="8370" w:leader="none"/>
        </w:tabs>
        <w:ind w:hanging="360" w:start="1800" w:end="0"/>
        <w:rPr/>
      </w:pPr>
      <w:r>
        <w:rPr/>
        <w:t>On November 12, 1999, the court ruled in favor of CESP.</w:t>
      </w:r>
    </w:p>
    <w:p>
      <w:pPr>
        <w:pStyle w:val="BodyText"/>
        <w:numPr>
          <w:ilvl w:val="0"/>
          <w:numId w:val="147"/>
        </w:numPr>
        <w:tabs>
          <w:tab w:val="clear" w:pos="720"/>
          <w:tab w:val="left" w:pos="1170" w:leader="none"/>
          <w:tab w:val="left" w:pos="1800" w:leader="none"/>
          <w:tab w:val="left" w:pos="7740" w:leader="none"/>
          <w:tab w:val="left" w:pos="8370" w:leader="none"/>
        </w:tabs>
        <w:ind w:hanging="360" w:start="1800" w:end="0"/>
        <w:rPr/>
      </w:pPr>
      <w:r>
        <w:rPr/>
        <w:t>We await the Appellate Court's decision on the claimant's appeal.</w:t>
      </w:r>
    </w:p>
    <w:p>
      <w:pPr>
        <w:pStyle w:val="BodyText"/>
        <w:tabs>
          <w:tab w:val="clear" w:pos="720"/>
          <w:tab w:val="left" w:pos="1170" w:leader="none"/>
          <w:tab w:val="left" w:pos="7740" w:leader="none"/>
          <w:tab w:val="left" w:pos="8370" w:leader="none"/>
        </w:tabs>
        <w:ind w:start="720" w:end="0"/>
        <w:rPr/>
      </w:pPr>
      <w:r>
        <w:rPr/>
      </w:r>
    </w:p>
    <w:p>
      <w:pPr>
        <w:pStyle w:val="BodyText"/>
        <w:tabs>
          <w:tab w:val="clear" w:pos="720"/>
          <w:tab w:val="left" w:pos="1170" w:leader="none"/>
          <w:tab w:val="left" w:pos="7740" w:leader="none"/>
          <w:tab w:val="left" w:pos="8370" w:leader="none"/>
        </w:tabs>
        <w:ind w:start="1440" w:end="0"/>
        <w:rPr/>
      </w:pPr>
      <w:r>
        <w:rPr>
          <w:b/>
          <w:u w:val="single"/>
        </w:rPr>
        <w:t>CPMF/Elektro</w:t>
      </w:r>
      <w:r>
        <w:rPr>
          <w:b/>
        </w:rPr>
        <w:tab/>
        <w:t>(Not Updated)</w:t>
      </w:r>
    </w:p>
    <w:p>
      <w:pPr>
        <w:pStyle w:val="BodyText"/>
        <w:tabs>
          <w:tab w:val="clear" w:pos="720"/>
          <w:tab w:val="left" w:pos="1170" w:leader="none"/>
          <w:tab w:val="left" w:pos="7740" w:leader="none"/>
          <w:tab w:val="left" w:pos="8370" w:leader="none"/>
        </w:tabs>
        <w:ind w:start="1440" w:end="0"/>
        <w:rPr/>
      </w:pPr>
      <w:r>
        <w:rPr/>
        <w:t xml:space="preserve">(São Paulo Federal Court) (Veirano </w:t>
      </w:r>
      <w:r>
        <w:rPr>
          <w:color w:val="000000"/>
        </w:rPr>
        <w:t>Advogados</w:t>
      </w:r>
      <w:r>
        <w:rPr/>
        <w:t>)</w:t>
      </w:r>
    </w:p>
    <w:p>
      <w:pPr>
        <w:pStyle w:val="BodyText"/>
        <w:tabs>
          <w:tab w:val="clear" w:pos="720"/>
          <w:tab w:val="left" w:pos="1170" w:leader="none"/>
          <w:tab w:val="left" w:pos="7740" w:leader="none"/>
          <w:tab w:val="left" w:pos="8370" w:leader="none"/>
        </w:tabs>
        <w:ind w:start="1440" w:end="0"/>
        <w:rPr/>
      </w:pPr>
      <w:r>
        <w:rPr/>
        <w:t>(R$750,000/US$415,000)</w:t>
      </w:r>
    </w:p>
    <w:p>
      <w:pPr>
        <w:pStyle w:val="BodyText"/>
        <w:tabs>
          <w:tab w:val="clear" w:pos="720"/>
          <w:tab w:val="left" w:pos="1170" w:leader="none"/>
          <w:tab w:val="left" w:pos="7740" w:leader="none"/>
          <w:tab w:val="left" w:pos="8370" w:leader="none"/>
        </w:tabs>
        <w:ind w:start="1440" w:end="0"/>
        <w:rPr/>
      </w:pPr>
      <w:r>
        <w:rPr/>
      </w:r>
    </w:p>
    <w:p>
      <w:pPr>
        <w:pStyle w:val="BodyText"/>
        <w:numPr>
          <w:ilvl w:val="0"/>
          <w:numId w:val="111"/>
        </w:numPr>
        <w:tabs>
          <w:tab w:val="clear" w:pos="720"/>
          <w:tab w:val="left" w:pos="1170" w:leader="none"/>
          <w:tab w:val="left" w:pos="1800" w:leader="none"/>
          <w:tab w:val="left" w:pos="7740" w:leader="none"/>
          <w:tab w:val="left" w:pos="8370" w:leader="none"/>
        </w:tabs>
        <w:ind w:hanging="360" w:start="1800" w:end="0"/>
        <w:rPr/>
      </w:pPr>
      <w:r>
        <w:rPr/>
        <w:t xml:space="preserve">Enron assigned Elektro debt to direct investors EIE, ETB &amp; EPC, which requires that the Certificate of Foreign Capital Registration be amended to reflect this assignment.  Before it would issue the amended Certificate, Central Bank of Brazil required the company to enter into a "symbolic exchange transaction". Such transaction triggers a CPMF tax of approximately R$750,000/US$415,000. </w:t>
      </w:r>
    </w:p>
    <w:p>
      <w:pPr>
        <w:pStyle w:val="BodyText"/>
        <w:numPr>
          <w:ilvl w:val="0"/>
          <w:numId w:val="111"/>
        </w:numPr>
        <w:tabs>
          <w:tab w:val="clear" w:pos="720"/>
          <w:tab w:val="left" w:pos="1170" w:leader="none"/>
          <w:tab w:val="left" w:pos="1800" w:leader="none"/>
          <w:tab w:val="left" w:pos="7740" w:leader="none"/>
          <w:tab w:val="left" w:pos="8370" w:leader="none"/>
        </w:tabs>
        <w:ind w:hanging="360" w:start="1800" w:end="0"/>
        <w:rPr/>
      </w:pPr>
      <w:r>
        <w:rPr/>
        <w:t xml:space="preserve">Enron and others are challenging the constitutionality of the CPMF tax.  </w:t>
      </w:r>
    </w:p>
    <w:p>
      <w:pPr>
        <w:pStyle w:val="BodyText"/>
        <w:numPr>
          <w:ilvl w:val="0"/>
          <w:numId w:val="111"/>
        </w:numPr>
        <w:tabs>
          <w:tab w:val="clear" w:pos="720"/>
          <w:tab w:val="left" w:pos="1170" w:leader="none"/>
          <w:tab w:val="left" w:pos="1800" w:leader="none"/>
          <w:tab w:val="left" w:pos="7740" w:leader="none"/>
          <w:tab w:val="left" w:pos="8370" w:leader="none"/>
        </w:tabs>
        <w:ind w:hanging="360" w:start="1800" w:end="0"/>
        <w:rPr/>
      </w:pPr>
      <w:r>
        <w:rPr/>
        <w:t xml:space="preserve">In this case, however, rather than dispute the tax, Enron filed suit to dispute the Central Bank's demand for the "symbolic exchange transaction" which is not required under the Brazilian Civil Code.  </w:t>
      </w:r>
    </w:p>
    <w:p>
      <w:pPr>
        <w:pStyle w:val="BodyText"/>
        <w:numPr>
          <w:ilvl w:val="0"/>
          <w:numId w:val="111"/>
        </w:numPr>
        <w:tabs>
          <w:tab w:val="clear" w:pos="720"/>
          <w:tab w:val="left" w:pos="1170" w:leader="none"/>
          <w:tab w:val="left" w:pos="1800" w:leader="none"/>
          <w:tab w:val="left" w:pos="7740" w:leader="none"/>
          <w:tab w:val="left" w:pos="8370" w:leader="none"/>
        </w:tabs>
        <w:ind w:hanging="360" w:start="1800" w:end="0"/>
        <w:rPr/>
      </w:pPr>
      <w:r>
        <w:rPr/>
        <w:t>The court granted a preliminary injunction against payment of the tax but required the amount due be deposited in escrow pending final resolution of the case.</w:t>
      </w:r>
    </w:p>
    <w:p>
      <w:pPr>
        <w:pStyle w:val="BodyText"/>
        <w:numPr>
          <w:ilvl w:val="0"/>
          <w:numId w:val="111"/>
        </w:numPr>
        <w:tabs>
          <w:tab w:val="clear" w:pos="720"/>
          <w:tab w:val="left" w:pos="1170" w:leader="none"/>
          <w:tab w:val="left" w:pos="1800" w:leader="none"/>
          <w:tab w:val="left" w:pos="7740" w:leader="none"/>
          <w:tab w:val="left" w:pos="8370" w:leader="none"/>
        </w:tabs>
        <w:ind w:hanging="360" w:start="1800" w:end="0"/>
        <w:rPr/>
      </w:pPr>
      <w:r>
        <w:rPr/>
        <w:t>Enron petitioned the court to enforce the preliminary injunction against payment without requiring it to deposit the disputed amount in escrow.</w:t>
      </w:r>
    </w:p>
    <w:p>
      <w:pPr>
        <w:pStyle w:val="BodyText"/>
        <w:tabs>
          <w:tab w:val="clear" w:pos="720"/>
          <w:tab w:val="left" w:pos="1170" w:leader="none"/>
          <w:tab w:val="left" w:pos="7740" w:leader="none"/>
          <w:tab w:val="left" w:pos="8370" w:leader="none"/>
        </w:tabs>
        <w:ind w:start="720" w:end="0"/>
        <w:rPr/>
      </w:pPr>
      <w:r>
        <w:rPr/>
      </w:r>
    </w:p>
    <w:p>
      <w:pPr>
        <w:pStyle w:val="BodyText"/>
        <w:tabs>
          <w:tab w:val="clear" w:pos="720"/>
          <w:tab w:val="left" w:pos="1170" w:leader="none"/>
          <w:tab w:val="left" w:pos="7740" w:leader="none"/>
          <w:tab w:val="left" w:pos="8370" w:leader="none"/>
        </w:tabs>
        <w:ind w:start="1440" w:end="0"/>
        <w:rPr/>
      </w:pPr>
      <w:r>
        <w:rPr>
          <w:b/>
          <w:u w:val="single"/>
        </w:rPr>
        <w:t>Elektro v. Federal Treasury Department (Federal</w:t>
      </w:r>
      <w:r>
        <w:rPr>
          <w:b/>
        </w:rPr>
        <w:tab/>
        <w:t>(Not Updated)</w:t>
      </w:r>
    </w:p>
    <w:p>
      <w:pPr>
        <w:pStyle w:val="BodyText"/>
        <w:tabs>
          <w:tab w:val="clear" w:pos="720"/>
          <w:tab w:val="left" w:pos="1170" w:leader="none"/>
          <w:tab w:val="left" w:pos="7740" w:leader="none"/>
          <w:tab w:val="left" w:pos="8370" w:leader="none"/>
        </w:tabs>
        <w:ind w:start="1440" w:end="0"/>
        <w:rPr>
          <w:b/>
        </w:rPr>
      </w:pPr>
      <w:r>
        <w:rPr>
          <w:b/>
          <w:u w:val="single"/>
        </w:rPr>
        <w:t>Tax Case)</w:t>
      </w:r>
    </w:p>
    <w:p>
      <w:pPr>
        <w:pStyle w:val="BodyText"/>
        <w:tabs>
          <w:tab w:val="clear" w:pos="720"/>
          <w:tab w:val="left" w:pos="1170" w:leader="none"/>
          <w:tab w:val="left" w:pos="7740" w:leader="none"/>
          <w:tab w:val="left" w:pos="8370" w:leader="none"/>
        </w:tabs>
        <w:ind w:start="1440" w:end="0"/>
        <w:rPr/>
      </w:pPr>
      <w:r>
        <w:rPr/>
        <w:t>(23rd Federal Court of São Paulo) (Fernando Serec/Tozzini, Freire, Teixeira &amp; Silva) (request for mandamus in tax suit which could result in as yet undetermined additional tax liability)</w:t>
      </w:r>
    </w:p>
    <w:p>
      <w:pPr>
        <w:pStyle w:val="BodyText"/>
        <w:tabs>
          <w:tab w:val="clear" w:pos="720"/>
          <w:tab w:val="left" w:pos="1170" w:leader="none"/>
          <w:tab w:val="left" w:pos="7740" w:leader="none"/>
          <w:tab w:val="left" w:pos="8370" w:leader="none"/>
        </w:tabs>
        <w:ind w:start="720" w:end="0"/>
        <w:rPr/>
      </w:pPr>
      <w:r>
        <w:rPr/>
      </w:r>
    </w:p>
    <w:p>
      <w:pPr>
        <w:pStyle w:val="BodyText"/>
        <w:numPr>
          <w:ilvl w:val="0"/>
          <w:numId w:val="45"/>
        </w:numPr>
        <w:tabs>
          <w:tab w:val="clear" w:pos="720"/>
          <w:tab w:val="left" w:pos="1170" w:leader="none"/>
          <w:tab w:val="left" w:pos="1800" w:leader="none"/>
          <w:tab w:val="left" w:pos="7740" w:leader="none"/>
          <w:tab w:val="left" w:pos="8370" w:leader="none"/>
        </w:tabs>
        <w:ind w:hanging="360" w:start="1800" w:end="0"/>
        <w:rPr/>
      </w:pPr>
      <w:r>
        <w:rPr/>
        <w:t>Elektro filed this tax suit to guarantee its right to pay social contribution on revenue tax (“COFINS”) without the increase affected by new federal tax legislation.  In general terms, Elektro had been paying a 2% tax on revenue when, in fact, the tax increased to 3%.</w:t>
      </w:r>
    </w:p>
    <w:p>
      <w:pPr>
        <w:pStyle w:val="BodyText"/>
        <w:numPr>
          <w:ilvl w:val="0"/>
          <w:numId w:val="45"/>
        </w:numPr>
        <w:tabs>
          <w:tab w:val="clear" w:pos="720"/>
          <w:tab w:val="left" w:pos="1170" w:leader="none"/>
          <w:tab w:val="left" w:pos="1800" w:leader="none"/>
          <w:tab w:val="left" w:pos="7740" w:leader="none"/>
          <w:tab w:val="left" w:pos="8370" w:leader="none"/>
        </w:tabs>
        <w:ind w:hanging="360" w:start="1800" w:end="0"/>
        <w:rPr/>
      </w:pPr>
      <w:r>
        <w:rPr/>
        <w:t>Elektro received favorable rulings at the lower court level and the government filed its appeal in May 2000.</w:t>
      </w:r>
    </w:p>
    <w:p>
      <w:pPr>
        <w:pStyle w:val="BodyText"/>
        <w:numPr>
          <w:ilvl w:val="0"/>
          <w:numId w:val="45"/>
        </w:numPr>
        <w:tabs>
          <w:tab w:val="clear" w:pos="720"/>
          <w:tab w:val="left" w:pos="1170" w:leader="none"/>
          <w:tab w:val="left" w:pos="1800" w:leader="none"/>
          <w:tab w:val="left" w:pos="7740" w:leader="none"/>
          <w:tab w:val="left" w:pos="8370" w:leader="none"/>
        </w:tabs>
        <w:ind w:hanging="360" w:start="1800" w:end="0"/>
        <w:rPr/>
      </w:pPr>
      <w:r>
        <w:rPr/>
        <w:t>On September 13, 2000, the record of the matter was sent to the federal public prosecutor.</w:t>
      </w:r>
    </w:p>
    <w:p>
      <w:pPr>
        <w:pStyle w:val="BodyText"/>
        <w:tabs>
          <w:tab w:val="clear" w:pos="720"/>
          <w:tab w:val="left" w:pos="1170" w:leader="none"/>
          <w:tab w:val="left" w:pos="7740" w:leader="none"/>
          <w:tab w:val="left" w:pos="8370" w:leader="none"/>
        </w:tabs>
        <w:ind w:start="720" w:end="0"/>
        <w:rPr/>
      </w:pPr>
      <w:r>
        <w:rPr/>
      </w:r>
    </w:p>
    <w:p>
      <w:pPr>
        <w:pStyle w:val="BodyText"/>
        <w:tabs>
          <w:tab w:val="clear" w:pos="720"/>
          <w:tab w:val="left" w:pos="1170" w:leader="none"/>
          <w:tab w:val="left" w:pos="7740" w:leader="none"/>
          <w:tab w:val="left" w:pos="8370" w:leader="none"/>
        </w:tabs>
        <w:ind w:start="1440" w:end="0"/>
        <w:rPr/>
      </w:pPr>
      <w:r>
        <w:rPr>
          <w:b/>
          <w:u w:val="single"/>
        </w:rPr>
        <w:t>Elektro v. Federal Treasury Department (Federal</w:t>
      </w:r>
      <w:r>
        <w:rPr>
          <w:b/>
        </w:rPr>
        <w:tab/>
        <w:t>(Not Updated)</w:t>
      </w:r>
    </w:p>
    <w:p>
      <w:pPr>
        <w:pStyle w:val="BodyText"/>
        <w:tabs>
          <w:tab w:val="clear" w:pos="720"/>
          <w:tab w:val="left" w:pos="1170" w:leader="none"/>
          <w:tab w:val="left" w:pos="7740" w:leader="none"/>
          <w:tab w:val="left" w:pos="8370" w:leader="none"/>
        </w:tabs>
        <w:ind w:start="1440" w:end="0"/>
        <w:rPr>
          <w:b/>
        </w:rPr>
      </w:pPr>
      <w:r>
        <w:rPr>
          <w:b/>
          <w:u w:val="single"/>
        </w:rPr>
        <w:t>Tax Case)</w:t>
      </w:r>
    </w:p>
    <w:p>
      <w:pPr>
        <w:pStyle w:val="BodyText"/>
        <w:tabs>
          <w:tab w:val="clear" w:pos="720"/>
          <w:tab w:val="left" w:pos="1170" w:leader="none"/>
          <w:tab w:val="left" w:pos="7740" w:leader="none"/>
          <w:tab w:val="left" w:pos="8370" w:leader="none"/>
        </w:tabs>
        <w:ind w:start="1440" w:end="0"/>
        <w:rPr/>
      </w:pPr>
      <w:r>
        <w:rPr/>
        <w:t>(13th Federal Court of São Paulo) (Fernando Serec/Tozzini, Freire, Teixeira &amp; Silva) (request for mandamus in tax suit which could result in as yet undetermined additional tax liability)</w:t>
      </w:r>
    </w:p>
    <w:p>
      <w:pPr>
        <w:pStyle w:val="BodyText"/>
        <w:tabs>
          <w:tab w:val="clear" w:pos="720"/>
          <w:tab w:val="left" w:pos="1170" w:leader="none"/>
          <w:tab w:val="left" w:pos="7740" w:leader="none"/>
          <w:tab w:val="left" w:pos="8370" w:leader="none"/>
        </w:tabs>
        <w:ind w:start="720" w:end="0"/>
        <w:rPr/>
      </w:pPr>
      <w:r>
        <w:rPr/>
      </w:r>
    </w:p>
    <w:p>
      <w:pPr>
        <w:pStyle w:val="BodyText"/>
        <w:numPr>
          <w:ilvl w:val="0"/>
          <w:numId w:val="154"/>
        </w:numPr>
        <w:tabs>
          <w:tab w:val="clear" w:pos="720"/>
          <w:tab w:val="left" w:pos="1170" w:leader="none"/>
          <w:tab w:val="left" w:pos="1800" w:leader="none"/>
          <w:tab w:val="left" w:pos="7740" w:leader="none"/>
          <w:tab w:val="left" w:pos="8370" w:leader="none"/>
        </w:tabs>
        <w:ind w:hanging="360" w:start="1800" w:end="0"/>
        <w:rPr/>
      </w:pPr>
      <w:r>
        <w:rPr/>
        <w:t>This tax suit was filed to guarantee Elektro’s right to pay contribution to the Social Integration Program without the increase imposed by new legislation.</w:t>
      </w:r>
    </w:p>
    <w:p>
      <w:pPr>
        <w:pStyle w:val="BodyText"/>
        <w:numPr>
          <w:ilvl w:val="0"/>
          <w:numId w:val="154"/>
        </w:numPr>
        <w:tabs>
          <w:tab w:val="clear" w:pos="720"/>
          <w:tab w:val="left" w:pos="1170" w:leader="none"/>
          <w:tab w:val="left" w:pos="1800" w:leader="none"/>
          <w:tab w:val="left" w:pos="7740" w:leader="none"/>
          <w:tab w:val="left" w:pos="8370" w:leader="none"/>
        </w:tabs>
        <w:ind w:hanging="360" w:start="1800" w:end="0"/>
        <w:rPr/>
      </w:pPr>
      <w:r>
        <w:rPr/>
        <w:t>Elektro received a favorable decision in the lower court and the Federal Treasury Department appealed to the federal court of appeals.</w:t>
      </w:r>
    </w:p>
    <w:p>
      <w:pPr>
        <w:pStyle w:val="BodyText"/>
        <w:numPr>
          <w:ilvl w:val="0"/>
          <w:numId w:val="154"/>
        </w:numPr>
        <w:tabs>
          <w:tab w:val="clear" w:pos="720"/>
          <w:tab w:val="left" w:pos="1170" w:leader="none"/>
          <w:tab w:val="left" w:pos="1800" w:leader="none"/>
          <w:tab w:val="left" w:pos="7740" w:leader="none"/>
          <w:tab w:val="left" w:pos="8370" w:leader="none"/>
        </w:tabs>
        <w:ind w:hanging="360" w:start="1800" w:end="0"/>
        <w:rPr/>
      </w:pPr>
      <w:r>
        <w:rPr/>
        <w:t>On September 5, 2000, the records were sent to the Public Prosecutor.</w:t>
      </w:r>
    </w:p>
    <w:p>
      <w:pPr>
        <w:pStyle w:val="BodyText"/>
        <w:tabs>
          <w:tab w:val="clear" w:pos="720"/>
          <w:tab w:val="left" w:pos="1170" w:leader="none"/>
          <w:tab w:val="left" w:pos="7740" w:leader="none"/>
          <w:tab w:val="left" w:pos="8370" w:leader="none"/>
        </w:tabs>
        <w:ind w:start="720" w:end="0"/>
        <w:rPr/>
      </w:pPr>
      <w:r>
        <w:rPr/>
      </w:r>
    </w:p>
    <w:p>
      <w:pPr>
        <w:pStyle w:val="BodyText"/>
        <w:tabs>
          <w:tab w:val="clear" w:pos="720"/>
          <w:tab w:val="left" w:pos="1170" w:leader="none"/>
          <w:tab w:val="left" w:pos="7740" w:leader="none"/>
          <w:tab w:val="left" w:pos="8370" w:leader="none"/>
        </w:tabs>
        <w:ind w:start="1440" w:end="0"/>
        <w:rPr/>
      </w:pPr>
      <w:r>
        <w:rPr>
          <w:b/>
          <w:u w:val="single"/>
        </w:rPr>
        <w:t xml:space="preserve">Public Prosecutor of São Paulo v. Elektro and </w:t>
      </w:r>
      <w:r>
        <w:rPr>
          <w:b/>
        </w:rPr>
        <w:tab/>
        <w:t>(Updated)</w:t>
      </w:r>
    </w:p>
    <w:p>
      <w:pPr>
        <w:pStyle w:val="BodyText"/>
        <w:tabs>
          <w:tab w:val="clear" w:pos="720"/>
          <w:tab w:val="left" w:pos="1170" w:leader="none"/>
          <w:tab w:val="left" w:pos="7740" w:leader="none"/>
          <w:tab w:val="left" w:pos="8370" w:leader="none"/>
        </w:tabs>
        <w:ind w:start="1440" w:end="0"/>
        <w:rPr/>
      </w:pPr>
      <w:r>
        <w:rPr>
          <w:b/>
          <w:u w:val="single"/>
        </w:rPr>
        <w:t>the State Treasury of São Paulo</w:t>
      </w:r>
      <w:r>
        <w:rPr>
          <w:b/>
        </w:rPr>
        <w:tab/>
      </w:r>
    </w:p>
    <w:p>
      <w:pPr>
        <w:pStyle w:val="BodyText"/>
        <w:tabs>
          <w:tab w:val="clear" w:pos="720"/>
          <w:tab w:val="left" w:pos="1170" w:leader="none"/>
          <w:tab w:val="left" w:pos="7740" w:leader="none"/>
          <w:tab w:val="left" w:pos="8370" w:leader="none"/>
        </w:tabs>
        <w:ind w:start="1440" w:end="0"/>
        <w:rPr/>
      </w:pPr>
      <w:r>
        <w:rPr/>
        <w:t>(State Court Fartura) (Fernando Serec/Tozzini, Freire, Teixeira &amp; Silva) (Demand for public civil action)</w:t>
      </w:r>
    </w:p>
    <w:p>
      <w:pPr>
        <w:pStyle w:val="BodyText"/>
        <w:tabs>
          <w:tab w:val="clear" w:pos="720"/>
          <w:tab w:val="left" w:pos="1170" w:leader="none"/>
          <w:tab w:val="left" w:pos="7740" w:leader="none"/>
          <w:tab w:val="left" w:pos="8370" w:leader="none"/>
        </w:tabs>
        <w:ind w:start="720" w:end="0"/>
        <w:rPr/>
      </w:pPr>
      <w:r>
        <w:rPr/>
      </w:r>
    </w:p>
    <w:p>
      <w:pPr>
        <w:pStyle w:val="BodyText"/>
        <w:numPr>
          <w:ilvl w:val="0"/>
          <w:numId w:val="10"/>
        </w:numPr>
        <w:tabs>
          <w:tab w:val="clear" w:pos="720"/>
          <w:tab w:val="left" w:pos="1170" w:leader="none"/>
          <w:tab w:val="left" w:pos="1800" w:leader="none"/>
          <w:tab w:val="left" w:pos="7740" w:leader="none"/>
          <w:tab w:val="left" w:pos="8370" w:leader="none"/>
        </w:tabs>
        <w:ind w:hanging="360" w:start="1800" w:end="0"/>
        <w:rPr/>
      </w:pPr>
      <w:r>
        <w:rPr/>
        <w:t>This action was filed by the state to determine the proper calculation of taxes and to obtain restitution of alleged underpayment of taxes.</w:t>
      </w:r>
    </w:p>
    <w:p>
      <w:pPr>
        <w:pStyle w:val="BodyText"/>
        <w:numPr>
          <w:ilvl w:val="0"/>
          <w:numId w:val="10"/>
        </w:numPr>
        <w:tabs>
          <w:tab w:val="clear" w:pos="720"/>
          <w:tab w:val="left" w:pos="1170" w:leader="none"/>
          <w:tab w:val="left" w:pos="1800" w:leader="none"/>
          <w:tab w:val="left" w:pos="7740" w:leader="none"/>
          <w:tab w:val="left" w:pos="8370" w:leader="none"/>
        </w:tabs>
        <w:ind w:hanging="360" w:start="1800" w:end="0"/>
        <w:rPr/>
      </w:pPr>
      <w:r>
        <w:rPr/>
        <w:t>Elektro filed its defense on July 27, 2000.  On October 3, Elektro filed a petition informing the court that there was no proof to present.</w:t>
      </w:r>
    </w:p>
    <w:p>
      <w:pPr>
        <w:pStyle w:val="BodyText"/>
        <w:numPr>
          <w:ilvl w:val="0"/>
          <w:numId w:val="10"/>
        </w:numPr>
        <w:tabs>
          <w:tab w:val="clear" w:pos="720"/>
          <w:tab w:val="left" w:pos="1170" w:leader="none"/>
          <w:tab w:val="left" w:pos="1800" w:leader="none"/>
          <w:tab w:val="left" w:pos="7740" w:leader="none"/>
          <w:tab w:val="left" w:pos="8370" w:leader="none"/>
        </w:tabs>
        <w:ind w:hanging="360" w:start="1800" w:end="0"/>
        <w:rPr/>
      </w:pPr>
      <w:r>
        <w:rPr/>
        <w:t xml:space="preserve">On December 1, 2000, the court decided to consider the constitutionality of the Value Added Tax.  On December 4, 2000 the public prosecutor filed an appeal.  On December 20, Elektro filed its defense.  </w:t>
      </w:r>
      <w:r>
        <w:rPr>
          <w:b/>
          <w:bCs/>
        </w:rPr>
        <w:t>During March, the records were sent to the State Court of Appeals.</w:t>
      </w:r>
    </w:p>
    <w:p>
      <w:pPr>
        <w:pStyle w:val="BodyText"/>
        <w:numPr>
          <w:ilvl w:val="0"/>
          <w:numId w:val="10"/>
        </w:numPr>
        <w:tabs>
          <w:tab w:val="clear" w:pos="720"/>
          <w:tab w:val="left" w:pos="1170" w:leader="none"/>
          <w:tab w:val="left" w:pos="1800" w:leader="none"/>
          <w:tab w:val="left" w:pos="7740" w:leader="none"/>
          <w:tab w:val="left" w:pos="8370" w:leader="none"/>
        </w:tabs>
        <w:ind w:hanging="360" w:start="1800" w:end="0"/>
        <w:rPr/>
      </w:pPr>
      <w:r>
        <w:rPr/>
        <w:t>According to outside counsel, this case does not have a cash impact on Elektro since any increase would be charged directly to consumers.</w:t>
      </w:r>
    </w:p>
    <w:p>
      <w:pPr>
        <w:pStyle w:val="BodyText"/>
        <w:tabs>
          <w:tab w:val="clear" w:pos="720"/>
          <w:tab w:val="left" w:pos="1170" w:leader="none"/>
          <w:tab w:val="left" w:pos="7740" w:leader="none"/>
          <w:tab w:val="left" w:pos="8370" w:leader="none"/>
        </w:tabs>
        <w:ind w:start="720" w:end="0"/>
        <w:rPr/>
      </w:pPr>
      <w:r>
        <w:rPr/>
      </w:r>
    </w:p>
    <w:p>
      <w:pPr>
        <w:pStyle w:val="BodyText"/>
        <w:tabs>
          <w:tab w:val="clear" w:pos="720"/>
          <w:tab w:val="left" w:pos="1170" w:leader="none"/>
          <w:tab w:val="left" w:pos="7740" w:leader="none"/>
          <w:tab w:val="left" w:pos="8370" w:leader="none"/>
        </w:tabs>
        <w:ind w:start="1440" w:end="0"/>
        <w:rPr/>
      </w:pPr>
      <w:r>
        <w:rPr>
          <w:b/>
          <w:u w:val="single"/>
        </w:rPr>
        <w:t xml:space="preserve">Public Prosecutor of São Paulo v. Elektro and </w:t>
      </w:r>
      <w:r>
        <w:rPr>
          <w:b/>
        </w:rPr>
        <w:tab/>
        <w:t>(Not Updated)</w:t>
      </w:r>
    </w:p>
    <w:p>
      <w:pPr>
        <w:pStyle w:val="BodyText"/>
        <w:tabs>
          <w:tab w:val="clear" w:pos="720"/>
          <w:tab w:val="left" w:pos="1170" w:leader="none"/>
          <w:tab w:val="left" w:pos="7740" w:leader="none"/>
          <w:tab w:val="left" w:pos="8370" w:leader="none"/>
        </w:tabs>
        <w:ind w:start="1440" w:end="0"/>
        <w:rPr/>
      </w:pPr>
      <w:r>
        <w:rPr>
          <w:b/>
          <w:u w:val="single"/>
        </w:rPr>
        <w:t>the State Treasury of São Paulo</w:t>
      </w:r>
      <w:r>
        <w:rPr>
          <w:b/>
        </w:rPr>
        <w:tab/>
      </w:r>
    </w:p>
    <w:p>
      <w:pPr>
        <w:pStyle w:val="BodyText"/>
        <w:tabs>
          <w:tab w:val="clear" w:pos="720"/>
          <w:tab w:val="left" w:pos="1170" w:leader="none"/>
          <w:tab w:val="left" w:pos="7740" w:leader="none"/>
          <w:tab w:val="left" w:pos="8370" w:leader="none"/>
        </w:tabs>
        <w:ind w:start="1440" w:end="0"/>
        <w:rPr/>
      </w:pPr>
      <w:r>
        <w:rPr/>
        <w:t>(State Court Leme) (Fernando Serec/Tozzini, Freire, Teixeira &amp; Silva) (Demand for public civil action)</w:t>
      </w:r>
    </w:p>
    <w:p>
      <w:pPr>
        <w:pStyle w:val="BodyText"/>
        <w:tabs>
          <w:tab w:val="clear" w:pos="720"/>
          <w:tab w:val="left" w:pos="1170" w:leader="none"/>
          <w:tab w:val="left" w:pos="7740" w:leader="none"/>
          <w:tab w:val="left" w:pos="8370" w:leader="none"/>
        </w:tabs>
        <w:ind w:start="1440" w:end="0"/>
        <w:rPr/>
      </w:pPr>
      <w:r>
        <w:rPr/>
      </w:r>
    </w:p>
    <w:p>
      <w:pPr>
        <w:pStyle w:val="BodyText"/>
        <w:numPr>
          <w:ilvl w:val="0"/>
          <w:numId w:val="10"/>
        </w:numPr>
        <w:tabs>
          <w:tab w:val="clear" w:pos="720"/>
          <w:tab w:val="left" w:pos="1170" w:leader="none"/>
          <w:tab w:val="left" w:pos="1800" w:leader="none"/>
          <w:tab w:val="left" w:pos="7740" w:leader="none"/>
          <w:tab w:val="left" w:pos="8370" w:leader="none"/>
        </w:tabs>
        <w:ind w:hanging="360" w:start="1800" w:end="0"/>
        <w:rPr/>
      </w:pPr>
      <w:r>
        <w:rPr/>
        <w:t>This action was filed by the state to determine the proper calculation of taxes</w:t>
      </w:r>
      <w:r>
        <w:rPr>
          <w:b/>
          <w:bCs/>
        </w:rPr>
        <w:t xml:space="preserve"> </w:t>
      </w:r>
      <w:r>
        <w:rPr/>
        <w:t>and to obtain restitution of alleged tax underpayment of taxes.</w:t>
      </w:r>
    </w:p>
    <w:p>
      <w:pPr>
        <w:pStyle w:val="BodyText"/>
        <w:numPr>
          <w:ilvl w:val="0"/>
          <w:numId w:val="10"/>
        </w:numPr>
        <w:tabs>
          <w:tab w:val="clear" w:pos="720"/>
          <w:tab w:val="left" w:pos="1170" w:leader="none"/>
          <w:tab w:val="left" w:pos="1800" w:leader="none"/>
          <w:tab w:val="left" w:pos="7740" w:leader="none"/>
          <w:tab w:val="left" w:pos="8370" w:leader="none"/>
        </w:tabs>
        <w:ind w:hanging="360" w:start="1800" w:end="0"/>
        <w:rPr/>
      </w:pPr>
      <w:r>
        <w:rPr/>
        <w:t>On September 25, 2000, a preliminary injunction was granted and Elektro was notified of this on October 25, 2000.</w:t>
      </w:r>
    </w:p>
    <w:p>
      <w:pPr>
        <w:pStyle w:val="BodyText"/>
        <w:numPr>
          <w:ilvl w:val="0"/>
          <w:numId w:val="10"/>
        </w:numPr>
        <w:tabs>
          <w:tab w:val="clear" w:pos="720"/>
          <w:tab w:val="left" w:pos="1170" w:leader="none"/>
          <w:tab w:val="left" w:pos="1800" w:leader="none"/>
          <w:tab w:val="left" w:pos="7740" w:leader="none"/>
          <w:tab w:val="left" w:pos="8370" w:leader="none"/>
        </w:tabs>
        <w:ind w:hanging="360" w:start="1800" w:end="0"/>
        <w:rPr/>
      </w:pPr>
      <w:r>
        <w:rPr/>
        <w:t>Elektro filed its defense on November 7, 2000 and an interlocutory appeal in the court of appeals in S</w:t>
      </w:r>
      <w:r>
        <w:rPr>
          <w:rFonts w:cs="Lucida Console" w:ascii="Lucida Console" w:hAnsi="Lucida Console"/>
        </w:rPr>
        <w:t>ã</w:t>
      </w:r>
      <w:r>
        <w:rPr/>
        <w:t xml:space="preserve">o Paulo on November 8, 2000. </w:t>
      </w:r>
    </w:p>
    <w:p>
      <w:pPr>
        <w:pStyle w:val="BodyText"/>
        <w:numPr>
          <w:ilvl w:val="0"/>
          <w:numId w:val="10"/>
        </w:numPr>
        <w:tabs>
          <w:tab w:val="clear" w:pos="720"/>
          <w:tab w:val="left" w:pos="1170" w:leader="none"/>
          <w:tab w:val="left" w:pos="1800" w:leader="none"/>
          <w:tab w:val="left" w:pos="7740" w:leader="none"/>
          <w:tab w:val="left" w:pos="8370" w:leader="none"/>
        </w:tabs>
        <w:ind w:hanging="360" w:start="1800" w:end="0"/>
        <w:rPr/>
      </w:pPr>
      <w:r>
        <w:rPr/>
        <w:t xml:space="preserve">On November 22, 2000, a suspensive effect was granted in the interlocutory appeal.  </w:t>
      </w:r>
    </w:p>
    <w:p>
      <w:pPr>
        <w:pStyle w:val="BodyText"/>
        <w:tabs>
          <w:tab w:val="clear" w:pos="720"/>
          <w:tab w:val="left" w:pos="1170" w:leader="none"/>
          <w:tab w:val="left" w:pos="7740" w:leader="none"/>
          <w:tab w:val="left" w:pos="8370" w:leader="none"/>
        </w:tabs>
        <w:rPr/>
      </w:pPr>
      <w:r>
        <w:rPr/>
      </w:r>
    </w:p>
    <w:p>
      <w:pPr>
        <w:pStyle w:val="BodyText"/>
        <w:tabs>
          <w:tab w:val="clear" w:pos="720"/>
          <w:tab w:val="left" w:pos="1170" w:leader="none"/>
          <w:tab w:val="left" w:pos="7740" w:leader="none"/>
          <w:tab w:val="left" w:pos="8370" w:leader="none"/>
        </w:tabs>
        <w:ind w:start="1440" w:end="0"/>
        <w:rPr/>
      </w:pPr>
      <w:r>
        <w:rPr>
          <w:b/>
          <w:u w:val="single"/>
        </w:rPr>
        <w:t>Public Prosecutor of the State of São Paulo</w:t>
      </w:r>
      <w:r>
        <w:rPr>
          <w:b/>
        </w:rPr>
        <w:tab/>
        <w:t>(Updated)</w:t>
      </w:r>
    </w:p>
    <w:p>
      <w:pPr>
        <w:pStyle w:val="BodyText"/>
        <w:tabs>
          <w:tab w:val="clear" w:pos="720"/>
          <w:tab w:val="left" w:pos="1170" w:leader="none"/>
          <w:tab w:val="left" w:pos="7740" w:leader="none"/>
          <w:tab w:val="left" w:pos="8370" w:leader="none"/>
        </w:tabs>
        <w:ind w:start="1440" w:end="0"/>
        <w:rPr/>
      </w:pPr>
      <w:r>
        <w:rPr>
          <w:b/>
          <w:u w:val="single"/>
        </w:rPr>
        <w:t>v. Elektro and the State Treasury of São Paulo</w:t>
      </w:r>
      <w:r>
        <w:rPr>
          <w:b/>
        </w:rPr>
        <w:tab/>
      </w:r>
    </w:p>
    <w:p>
      <w:pPr>
        <w:pStyle w:val="BodyText"/>
        <w:tabs>
          <w:tab w:val="clear" w:pos="720"/>
          <w:tab w:val="left" w:pos="1170" w:leader="none"/>
          <w:tab w:val="left" w:pos="7740" w:leader="none"/>
          <w:tab w:val="left" w:pos="8370" w:leader="none"/>
        </w:tabs>
        <w:ind w:start="1440" w:end="0"/>
        <w:rPr/>
      </w:pPr>
      <w:r>
        <w:rPr/>
        <w:t>(State Court Guarujã) (Fernando Serec/Tozzini, Freire, Teixeira &amp; Silva) (Demand for public civil action)</w:t>
      </w:r>
    </w:p>
    <w:p>
      <w:pPr>
        <w:pStyle w:val="BodyText"/>
        <w:tabs>
          <w:tab w:val="clear" w:pos="720"/>
          <w:tab w:val="left" w:pos="1170" w:leader="none"/>
          <w:tab w:val="left" w:pos="7740" w:leader="none"/>
          <w:tab w:val="left" w:pos="8370" w:leader="none"/>
        </w:tabs>
        <w:ind w:start="720" w:end="0"/>
        <w:rPr/>
      </w:pPr>
      <w:r>
        <w:rPr/>
      </w:r>
    </w:p>
    <w:p>
      <w:pPr>
        <w:pStyle w:val="BodyText"/>
        <w:numPr>
          <w:ilvl w:val="0"/>
          <w:numId w:val="61"/>
        </w:numPr>
        <w:tabs>
          <w:tab w:val="clear" w:pos="720"/>
          <w:tab w:val="left" w:pos="1170" w:leader="none"/>
          <w:tab w:val="left" w:pos="1800" w:leader="none"/>
          <w:tab w:val="left" w:pos="7740" w:leader="none"/>
          <w:tab w:val="left" w:pos="8370" w:leader="none"/>
        </w:tabs>
        <w:ind w:hanging="360" w:start="1800" w:end="0"/>
        <w:rPr/>
      </w:pPr>
      <w:r>
        <w:rPr/>
        <w:t>This public action was filed to find the calculation of the Value Added Tax unconstitutional and to obtain restitution.</w:t>
      </w:r>
    </w:p>
    <w:p>
      <w:pPr>
        <w:pStyle w:val="BodyText"/>
        <w:numPr>
          <w:ilvl w:val="0"/>
          <w:numId w:val="61"/>
        </w:numPr>
        <w:tabs>
          <w:tab w:val="clear" w:pos="720"/>
          <w:tab w:val="left" w:pos="1170" w:leader="none"/>
          <w:tab w:val="left" w:pos="1800" w:leader="none"/>
          <w:tab w:val="left" w:pos="7740" w:leader="none"/>
          <w:tab w:val="left" w:pos="8370" w:leader="none"/>
        </w:tabs>
        <w:ind w:hanging="360" w:start="1800" w:end="0"/>
        <w:rPr/>
      </w:pPr>
      <w:r>
        <w:rPr/>
        <w:t>On August 17, 2000, a preliminary injunction was granted and on October 5, 2000, Elektro filed an interlocutory appeal in the São Paulo Court of Appeals.</w:t>
      </w:r>
    </w:p>
    <w:p>
      <w:pPr>
        <w:pStyle w:val="BodyText"/>
        <w:numPr>
          <w:ilvl w:val="0"/>
          <w:numId w:val="61"/>
        </w:numPr>
        <w:tabs>
          <w:tab w:val="clear" w:pos="720"/>
          <w:tab w:val="left" w:pos="1170" w:leader="none"/>
          <w:tab w:val="left" w:pos="1800" w:leader="none"/>
          <w:tab w:val="left" w:pos="7740" w:leader="none"/>
          <w:tab w:val="left" w:pos="8370" w:leader="none"/>
        </w:tabs>
        <w:ind w:hanging="360" w:start="1800" w:end="0"/>
        <w:rPr/>
      </w:pPr>
      <w:r>
        <w:rPr/>
        <w:t xml:space="preserve">On October 10, 2000, Elektro presented its defense.  On October 24, 2000 the interlocutory appeal suspended the injunction </w:t>
      </w:r>
      <w:r>
        <w:rPr>
          <w:b/>
          <w:bCs/>
        </w:rPr>
        <w:t>and in March, the record of the case was sent to the judge.</w:t>
      </w:r>
    </w:p>
    <w:p>
      <w:pPr>
        <w:pStyle w:val="BodyText"/>
        <w:tabs>
          <w:tab w:val="clear" w:pos="720"/>
          <w:tab w:val="left" w:pos="1170" w:leader="none"/>
          <w:tab w:val="left" w:pos="7740" w:leader="none"/>
          <w:tab w:val="left" w:pos="8370" w:leader="none"/>
        </w:tabs>
        <w:ind w:start="720" w:end="0"/>
        <w:rPr/>
      </w:pPr>
      <w:r>
        <w:rPr/>
      </w:r>
    </w:p>
    <w:p>
      <w:pPr>
        <w:pStyle w:val="BodyText"/>
        <w:tabs>
          <w:tab w:val="clear" w:pos="720"/>
          <w:tab w:val="left" w:pos="1170" w:leader="none"/>
          <w:tab w:val="left" w:pos="7740" w:leader="none"/>
          <w:tab w:val="left" w:pos="8370" w:leader="none"/>
        </w:tabs>
        <w:ind w:start="720" w:end="0"/>
        <w:rPr/>
      </w:pPr>
      <w:r>
        <w:rPr/>
      </w:r>
    </w:p>
    <w:p>
      <w:pPr>
        <w:pStyle w:val="Heading5"/>
        <w:numPr>
          <w:ilvl w:val="0"/>
          <w:numId w:val="57"/>
        </w:numPr>
        <w:rPr/>
      </w:pPr>
      <w:r>
        <w:rPr/>
        <w:t>CLAIMS/DISPUTES</w:t>
      </w:r>
    </w:p>
    <w:p>
      <w:pPr>
        <w:pStyle w:val="Heading5"/>
        <w:keepLines/>
        <w:tabs>
          <w:tab w:val="clear" w:pos="720"/>
          <w:tab w:val="left" w:pos="7740" w:leader="none"/>
        </w:tabs>
        <w:ind w:hanging="0" w:start="1440" w:end="0"/>
        <w:rPr>
          <w:b w:val="false"/>
        </w:rPr>
      </w:pPr>
      <w:r>
        <w:rPr>
          <w:b w:val="false"/>
        </w:rPr>
      </w:r>
    </w:p>
    <w:p>
      <w:pPr>
        <w:pStyle w:val="Heading5"/>
        <w:keepNext w:val="false"/>
        <w:keepLines/>
        <w:tabs>
          <w:tab w:val="clear" w:pos="720"/>
          <w:tab w:val="left" w:pos="7740" w:leader="none"/>
        </w:tabs>
        <w:ind w:hanging="0" w:start="1440" w:end="0"/>
        <w:rPr>
          <w:u w:val="single"/>
        </w:rPr>
      </w:pPr>
      <w:r>
        <w:rPr/>
        <w:t>ANEEL Passthrough Disputes</w:t>
        <w:tab/>
        <w:t>(New)</w:t>
      </w:r>
    </w:p>
    <w:p>
      <w:pPr>
        <w:pStyle w:val="Heading9"/>
        <w:keepNext w:val="false"/>
        <w:keepLines/>
        <w:tabs>
          <w:tab w:val="clear" w:pos="720"/>
          <w:tab w:val="left" w:pos="7740" w:leader="none"/>
          <w:tab w:val="left" w:pos="8370" w:leader="none"/>
        </w:tabs>
        <w:ind w:hanging="0" w:start="1440" w:end="0"/>
        <w:jc w:val="start"/>
        <w:rPr/>
      </w:pPr>
      <w:r>
        <w:rPr/>
        <w:t>(Sergio Bermudes)</w:t>
      </w:r>
    </w:p>
    <w:p>
      <w:pPr>
        <w:pStyle w:val="Heading9"/>
        <w:keepLines/>
        <w:tabs>
          <w:tab w:val="clear" w:pos="720"/>
          <w:tab w:val="left" w:pos="7740" w:leader="none"/>
          <w:tab w:val="left" w:pos="8370" w:leader="none"/>
        </w:tabs>
        <w:ind w:hanging="0" w:start="1440" w:end="0"/>
        <w:jc w:val="start"/>
        <w:rPr/>
      </w:pPr>
      <w:r>
        <w:rPr/>
      </w:r>
    </w:p>
    <w:p>
      <w:pPr>
        <w:pStyle w:val="Heading9"/>
        <w:keepNext w:val="false"/>
        <w:keepLines/>
        <w:numPr>
          <w:ilvl w:val="0"/>
          <w:numId w:val="77"/>
        </w:numPr>
        <w:tabs>
          <w:tab w:val="clear" w:pos="720"/>
          <w:tab w:val="left" w:pos="7740" w:leader="none"/>
          <w:tab w:val="left" w:pos="8370" w:leader="none"/>
        </w:tabs>
        <w:jc w:val="start"/>
        <w:rPr/>
      </w:pPr>
      <w:r>
        <w:rPr/>
        <w:t xml:space="preserve">Elektro intends to bring two suits in Rio de Janeiro against ANEEL (the Brazilian regulatory agency) and Furnas (a federal company acting as agent for power sales from Itaipu).  </w:t>
      </w:r>
    </w:p>
    <w:p>
      <w:pPr>
        <w:pStyle w:val="Heading9"/>
        <w:keepNext w:val="false"/>
        <w:keepLines/>
        <w:numPr>
          <w:ilvl w:val="0"/>
          <w:numId w:val="77"/>
        </w:numPr>
        <w:tabs>
          <w:tab w:val="clear" w:pos="720"/>
          <w:tab w:val="left" w:pos="7740" w:leader="none"/>
          <w:tab w:val="left" w:pos="8370" w:leader="none"/>
        </w:tabs>
        <w:jc w:val="start"/>
        <w:rPr/>
      </w:pPr>
      <w:r>
        <w:rPr/>
        <w:t xml:space="preserve">ANEEL has authorized Furnas to increase the cost of Itaipu’s electricity by approximately 8%.  Elektro believes that, pursuant to its concession contract, it should be able to </w:t>
      </w:r>
      <w:r>
        <w:rPr>
          <w:i/>
          <w:iCs/>
        </w:rPr>
        <w:t>immediately</w:t>
      </w:r>
      <w:r>
        <w:rPr/>
        <w:t xml:space="preserve"> pass this extraordinary increase along to its customers.  Instead of allowing this pass-through, ANEEL has required Elektro to wait for the date of its annual rate adjustment to receive the increase.  In the meantime, Elektro is required to absorb the 8% increase with no retroactive adjustment available allowing it to recoup the increase.</w:t>
      </w:r>
    </w:p>
    <w:p>
      <w:pPr>
        <w:pStyle w:val="Normal"/>
        <w:numPr>
          <w:ilvl w:val="0"/>
          <w:numId w:val="77"/>
        </w:numPr>
        <w:rPr>
          <w:rFonts w:ascii="Arial" w:hAnsi="Arial" w:cs="Arial"/>
          <w:sz w:val="24"/>
        </w:rPr>
      </w:pPr>
      <w:r>
        <w:rPr>
          <w:rFonts w:cs="Arial" w:ascii="Arial" w:hAnsi="Arial"/>
          <w:sz w:val="24"/>
        </w:rPr>
        <w:t>The amount in dispute in this matter would be approximately $80,000 per month.</w:t>
      </w:r>
    </w:p>
    <w:p>
      <w:pPr>
        <w:pStyle w:val="Normal"/>
        <w:numPr>
          <w:ilvl w:val="0"/>
          <w:numId w:val="77"/>
        </w:numPr>
        <w:rPr>
          <w:rFonts w:ascii="Arial" w:hAnsi="Arial" w:cs="Arial"/>
          <w:sz w:val="24"/>
        </w:rPr>
      </w:pPr>
      <w:r>
        <w:rPr>
          <w:rFonts w:cs="Arial" w:ascii="Arial" w:hAnsi="Arial"/>
          <w:sz w:val="24"/>
        </w:rPr>
        <w:t xml:space="preserve">The second suit contemplated by Elektro would involve not just the 8% increase mentioned above but also would involve other increases that Elektro has had to bear without the benefit of an immediate pass-through to its customers.  </w:t>
      </w:r>
    </w:p>
    <w:p>
      <w:pPr>
        <w:pStyle w:val="Normal"/>
        <w:numPr>
          <w:ilvl w:val="0"/>
          <w:numId w:val="77"/>
        </w:numPr>
        <w:rPr>
          <w:rFonts w:ascii="Arial" w:hAnsi="Arial" w:cs="Arial"/>
          <w:sz w:val="24"/>
        </w:rPr>
      </w:pPr>
      <w:r>
        <w:rPr>
          <w:rFonts w:cs="Arial" w:ascii="Arial" w:hAnsi="Arial"/>
          <w:sz w:val="24"/>
        </w:rPr>
        <w:t>Since 1999, in disregard to both the parties’ agreement and the law, Elektro has been denied immediate pass-throughs for a number of increases in the cost of electricity, related taxes and other legal encumbrances.  According to Elektro’s calculations, the amount in dispute in this “bigger picture” litigation is approximately $42 million.</w:t>
      </w:r>
    </w:p>
    <w:p>
      <w:pPr>
        <w:pStyle w:val="BodyText"/>
        <w:ind w:start="720" w:end="0"/>
        <w:jc w:val="start"/>
        <w:rPr>
          <w:rFonts w:ascii="Arial" w:hAnsi="Arial" w:cs="Arial"/>
          <w:sz w:val="24"/>
        </w:rPr>
      </w:pPr>
      <w:r>
        <w:rPr>
          <w:rFonts w:cs="Arial"/>
          <w:sz w:val="24"/>
        </w:rPr>
      </w:r>
    </w:p>
    <w:p>
      <w:pPr>
        <w:pStyle w:val="BodyText"/>
        <w:ind w:start="720" w:end="0"/>
        <w:jc w:val="start"/>
        <w:rPr/>
      </w:pPr>
      <w:r>
        <w:rPr/>
      </w:r>
    </w:p>
    <w:p>
      <w:pPr>
        <w:pStyle w:val="BodyText"/>
        <w:numPr>
          <w:ilvl w:val="0"/>
          <w:numId w:val="89"/>
        </w:numPr>
        <w:tabs>
          <w:tab w:val="clear" w:pos="720"/>
          <w:tab w:val="left" w:pos="1080" w:leader="none"/>
          <w:tab w:val="left" w:pos="1170" w:leader="none"/>
          <w:tab w:val="left" w:pos="7740" w:leader="none"/>
          <w:tab w:val="left" w:pos="8370" w:leader="none"/>
        </w:tabs>
        <w:jc w:val="start"/>
        <w:rPr>
          <w:b/>
          <w:sz w:val="28"/>
          <w:u w:val="single"/>
        </w:rPr>
      </w:pPr>
      <w:r>
        <w:rPr>
          <w:b/>
          <w:sz w:val="28"/>
          <w:u w:val="single"/>
        </w:rPr>
        <w:t>Gas Participacoes S.A. (“Gaspart”)</w:t>
      </w:r>
    </w:p>
    <w:p>
      <w:pPr>
        <w:pStyle w:val="BodyText"/>
        <w:tabs>
          <w:tab w:val="clear" w:pos="720"/>
          <w:tab w:val="left" w:pos="1080" w:leader="none"/>
          <w:tab w:val="left" w:pos="1170" w:leader="none"/>
          <w:tab w:val="left" w:pos="7740" w:leader="none"/>
          <w:tab w:val="left" w:pos="8370" w:leader="none"/>
        </w:tabs>
        <w:rPr>
          <w:b/>
          <w:sz w:val="28"/>
          <w:u w:val="single"/>
        </w:rPr>
      </w:pPr>
      <w:r>
        <w:rPr>
          <w:b/>
          <w:sz w:val="28"/>
          <w:u w:val="single"/>
        </w:rPr>
      </w:r>
    </w:p>
    <w:p>
      <w:pPr>
        <w:pStyle w:val="BodyText"/>
        <w:numPr>
          <w:ilvl w:val="0"/>
          <w:numId w:val="18"/>
        </w:numPr>
        <w:tabs>
          <w:tab w:val="clear" w:pos="720"/>
          <w:tab w:val="left" w:pos="1440" w:leader="none"/>
        </w:tabs>
        <w:ind w:hanging="720" w:start="1440" w:end="0"/>
        <w:rPr>
          <w:b/>
        </w:rPr>
      </w:pPr>
      <w:r>
        <w:rPr>
          <w:b/>
        </w:rPr>
        <w:t>LITIGATION/ARBITRATION</w:t>
      </w:r>
    </w:p>
    <w:p>
      <w:pPr>
        <w:pStyle w:val="BodyText"/>
        <w:ind w:start="720" w:end="0"/>
        <w:rPr>
          <w:b/>
        </w:rPr>
      </w:pPr>
      <w:r>
        <w:rPr>
          <w:b/>
        </w:rPr>
      </w:r>
    </w:p>
    <w:p>
      <w:pPr>
        <w:pStyle w:val="BodyText"/>
        <w:tabs>
          <w:tab w:val="clear" w:pos="720"/>
          <w:tab w:val="left" w:pos="7740" w:leader="none"/>
        </w:tabs>
        <w:ind w:start="1440" w:end="0"/>
        <w:rPr/>
      </w:pPr>
      <w:r>
        <w:rPr>
          <w:b/>
          <w:u w:val="single"/>
        </w:rPr>
        <w:t>State of Pernambucco v. Gaspart-Gas</w:t>
      </w:r>
      <w:r>
        <w:rPr>
          <w:b/>
        </w:rPr>
        <w:tab/>
        <w:t xml:space="preserve">(Not Updated) </w:t>
      </w:r>
      <w:r>
        <w:rPr>
          <w:b/>
          <w:u w:val="single"/>
        </w:rPr>
        <w:t>Participacoes S.A. and Companhia de Gas Copergas</w:t>
      </w:r>
    </w:p>
    <w:p>
      <w:pPr>
        <w:pStyle w:val="BodyText"/>
        <w:ind w:start="1440" w:end="0"/>
        <w:rPr/>
      </w:pPr>
      <w:r>
        <w:rPr/>
        <w:t xml:space="preserve">(Supreme Court of Brazil) (Monteiro Piauylino) (Machado Meyer) (Appeal) </w:t>
      </w:r>
    </w:p>
    <w:p>
      <w:pPr>
        <w:pStyle w:val="BodyText"/>
        <w:tabs>
          <w:tab w:val="clear" w:pos="720"/>
          <w:tab w:val="left" w:pos="1080" w:leader="none"/>
          <w:tab w:val="left" w:pos="1170" w:leader="none"/>
          <w:tab w:val="left" w:pos="7740" w:leader="none"/>
          <w:tab w:val="left" w:pos="8370" w:leader="none"/>
        </w:tabs>
        <w:ind w:start="1440" w:end="0"/>
        <w:rPr/>
      </w:pPr>
      <w:r>
        <w:rPr/>
      </w:r>
    </w:p>
    <w:p>
      <w:pPr>
        <w:pStyle w:val="BodyText"/>
        <w:numPr>
          <w:ilvl w:val="0"/>
          <w:numId w:val="79"/>
        </w:numPr>
        <w:tabs>
          <w:tab w:val="clear" w:pos="720"/>
        </w:tabs>
        <w:ind w:hanging="360" w:start="1800" w:end="0"/>
        <w:rPr/>
      </w:pPr>
      <w:r>
        <w:rPr/>
        <w:t>The attorney general of the State of Pernambucco sued to invalidate the supermajority rights of the minority shareholders set forth in the shareholders’ agreement and by-laws between Gaspart, Petrobras, and the State.</w:t>
      </w:r>
    </w:p>
    <w:p>
      <w:pPr>
        <w:pStyle w:val="BodyText"/>
        <w:numPr>
          <w:ilvl w:val="0"/>
          <w:numId w:val="79"/>
        </w:numPr>
        <w:tabs>
          <w:tab w:val="clear" w:pos="720"/>
        </w:tabs>
        <w:ind w:hanging="360" w:start="1800" w:end="0"/>
        <w:rPr/>
      </w:pPr>
      <w:r>
        <w:rPr/>
        <w:t>The defendants argued that it would be inappropriate for the court to rewrite the parties’ agreements and that such action would evidence the instability of government decisions and would generate uncertainty amongst investors.</w:t>
      </w:r>
    </w:p>
    <w:p>
      <w:pPr>
        <w:pStyle w:val="BodyText"/>
        <w:numPr>
          <w:ilvl w:val="0"/>
          <w:numId w:val="79"/>
        </w:numPr>
        <w:tabs>
          <w:tab w:val="clear" w:pos="720"/>
        </w:tabs>
        <w:ind w:hanging="360" w:start="1800" w:end="0"/>
        <w:rPr/>
      </w:pPr>
      <w:r>
        <w:rPr/>
        <w:t>The court of first instance granted an injunction in favor of the State that was upheld on appeal.</w:t>
      </w:r>
    </w:p>
    <w:p>
      <w:pPr>
        <w:pStyle w:val="BodyText"/>
        <w:numPr>
          <w:ilvl w:val="0"/>
          <w:numId w:val="79"/>
        </w:numPr>
        <w:tabs>
          <w:tab w:val="clear" w:pos="720"/>
        </w:tabs>
        <w:ind w:hanging="360" w:start="1800" w:end="0"/>
        <w:rPr/>
      </w:pPr>
      <w:r>
        <w:rPr/>
        <w:t>Gaspart is prosecuting an appeal to the Supreme Court of Brazil.</w:t>
      </w:r>
    </w:p>
    <w:p>
      <w:pPr>
        <w:pStyle w:val="BodyText"/>
        <w:tabs>
          <w:tab w:val="clear" w:pos="720"/>
          <w:tab w:val="left" w:pos="1080" w:leader="none"/>
          <w:tab w:val="left" w:pos="1170" w:leader="none"/>
          <w:tab w:val="left" w:pos="7740" w:leader="none"/>
          <w:tab w:val="left" w:pos="8370" w:leader="none"/>
        </w:tabs>
        <w:ind w:start="720" w:end="0"/>
        <w:rPr/>
      </w:pPr>
      <w:r>
        <w:rPr/>
      </w:r>
    </w:p>
    <w:p>
      <w:pPr>
        <w:pStyle w:val="Normal"/>
        <w:keepLines/>
        <w:tabs>
          <w:tab w:val="clear" w:pos="720"/>
          <w:tab w:val="left" w:pos="7740" w:leader="none"/>
        </w:tabs>
        <w:ind w:start="1440" w:end="0"/>
        <w:rPr>
          <w:rFonts w:ascii="Arial" w:hAnsi="Arial" w:cs="Arial"/>
          <w:b/>
          <w:sz w:val="24"/>
          <w:u w:val="single"/>
        </w:rPr>
      </w:pPr>
      <w:r>
        <w:rPr>
          <w:rFonts w:cs="Arial" w:ascii="Arial" w:hAnsi="Arial"/>
          <w:b/>
          <w:sz w:val="24"/>
          <w:u w:val="single"/>
        </w:rPr>
        <w:t>Dutopar v. Compagas, Copel and Petrobras</w:t>
      </w:r>
      <w:r>
        <w:rPr>
          <w:rFonts w:cs="Arial" w:ascii="Arial" w:hAnsi="Arial"/>
          <w:b/>
          <w:sz w:val="24"/>
        </w:rPr>
        <w:tab/>
        <w:t>(Updated)</w:t>
      </w:r>
    </w:p>
    <w:p>
      <w:pPr>
        <w:pStyle w:val="Normal"/>
        <w:keepLines/>
        <w:ind w:start="1440" w:end="0"/>
        <w:rPr>
          <w:rFonts w:ascii="Arial" w:hAnsi="Arial" w:cs="Arial"/>
          <w:sz w:val="24"/>
        </w:rPr>
      </w:pPr>
      <w:r>
        <w:rPr>
          <w:rFonts w:cs="Arial" w:ascii="Arial" w:hAnsi="Arial"/>
          <w:sz w:val="24"/>
        </w:rPr>
        <w:t xml:space="preserve">(Parana State Court) (Fernando Serec/Tozzini, Freire, Teixeira &amp; Silva) </w:t>
      </w:r>
    </w:p>
    <w:p>
      <w:pPr>
        <w:pStyle w:val="Normal"/>
        <w:keepLines/>
        <w:ind w:start="720" w:end="0"/>
        <w:jc w:val="both"/>
        <w:rPr>
          <w:rFonts w:ascii="Arial" w:hAnsi="Arial" w:cs="Arial"/>
          <w:sz w:val="24"/>
        </w:rPr>
      </w:pPr>
      <w:r>
        <w:rPr>
          <w:rFonts w:cs="Arial" w:ascii="Arial" w:hAnsi="Arial"/>
          <w:sz w:val="24"/>
        </w:rPr>
      </w:r>
    </w:p>
    <w:p>
      <w:pPr>
        <w:pStyle w:val="Normal"/>
        <w:keepLines/>
        <w:numPr>
          <w:ilvl w:val="0"/>
          <w:numId w:val="38"/>
        </w:numPr>
        <w:jc w:val="both"/>
        <w:rPr>
          <w:rFonts w:ascii="Arial" w:hAnsi="Arial" w:cs="Arial"/>
          <w:sz w:val="24"/>
        </w:rPr>
      </w:pPr>
      <w:r>
        <w:rPr>
          <w:rFonts w:cs="Arial" w:ascii="Arial" w:hAnsi="Arial"/>
          <w:sz w:val="24"/>
        </w:rPr>
        <w:t xml:space="preserve">Dutopar has sued to enjoin Compagas (a Gaspart LDC in Parana state) from consummating a 20-year gas supply contract with Petrobras.  </w:t>
      </w:r>
    </w:p>
    <w:p>
      <w:pPr>
        <w:pStyle w:val="Normal"/>
        <w:keepLines/>
        <w:numPr>
          <w:ilvl w:val="0"/>
          <w:numId w:val="38"/>
        </w:numPr>
        <w:jc w:val="both"/>
        <w:rPr>
          <w:rFonts w:ascii="Arial" w:hAnsi="Arial" w:cs="Arial"/>
          <w:sz w:val="24"/>
        </w:rPr>
      </w:pPr>
      <w:r>
        <w:rPr>
          <w:rFonts w:cs="Arial" w:ascii="Arial" w:hAnsi="Arial"/>
          <w:sz w:val="24"/>
        </w:rPr>
        <w:t xml:space="preserve">The basis for Dutopar’s suit is that Compagas did not conduct an open bid process as required by statute and its bylaws before awarding the contract to Petrobras.  Petrobras, Copel, and Dutopar are the three shareholders of Compagas.  </w:t>
      </w:r>
    </w:p>
    <w:p>
      <w:pPr>
        <w:pStyle w:val="Normal"/>
        <w:keepLines/>
        <w:numPr>
          <w:ilvl w:val="0"/>
          <w:numId w:val="38"/>
        </w:numPr>
        <w:jc w:val="both"/>
        <w:rPr>
          <w:rFonts w:ascii="Arial" w:hAnsi="Arial" w:cs="Arial"/>
          <w:sz w:val="24"/>
        </w:rPr>
      </w:pPr>
      <w:r>
        <w:rPr>
          <w:rFonts w:cs="Arial" w:ascii="Arial" w:hAnsi="Arial"/>
          <w:sz w:val="24"/>
        </w:rPr>
        <w:t>The judge initially granted Dutopar’s request for an injunction, but on Compagas’ motion (presented ex parte) reversed herself.</w:t>
      </w:r>
    </w:p>
    <w:p>
      <w:pPr>
        <w:pStyle w:val="BodyText"/>
        <w:numPr>
          <w:ilvl w:val="0"/>
          <w:numId w:val="38"/>
        </w:numPr>
        <w:tabs>
          <w:tab w:val="clear" w:pos="720"/>
          <w:tab w:val="left" w:pos="1170" w:leader="none"/>
          <w:tab w:val="left" w:pos="7740" w:leader="none"/>
          <w:tab w:val="left" w:pos="8370" w:leader="none"/>
        </w:tabs>
        <w:rPr>
          <w:b/>
          <w:bCs/>
        </w:rPr>
      </w:pPr>
      <w:r>
        <w:rPr>
          <w:b/>
          <w:bCs/>
        </w:rPr>
        <w:t>The presiding judge has reversed the trial judge and enjoined Compagas and Petrobras from executing the contract.</w:t>
      </w:r>
    </w:p>
    <w:p>
      <w:pPr>
        <w:pStyle w:val="BodyText"/>
        <w:numPr>
          <w:ilvl w:val="0"/>
          <w:numId w:val="38"/>
        </w:numPr>
        <w:tabs>
          <w:tab w:val="clear" w:pos="720"/>
          <w:tab w:val="left" w:pos="1170" w:leader="none"/>
          <w:tab w:val="left" w:pos="7740" w:leader="none"/>
          <w:tab w:val="left" w:pos="8370" w:leader="none"/>
        </w:tabs>
        <w:rPr>
          <w:b/>
          <w:bCs/>
        </w:rPr>
      </w:pPr>
      <w:r>
        <w:rPr>
          <w:b/>
          <w:bCs/>
        </w:rPr>
        <w:t>Compagas and Petrobras have appealed.</w:t>
      </w:r>
    </w:p>
    <w:p>
      <w:pPr>
        <w:pStyle w:val="BodyText"/>
        <w:tabs>
          <w:tab w:val="clear" w:pos="720"/>
          <w:tab w:val="left" w:pos="1170" w:leader="none"/>
          <w:tab w:val="left" w:pos="7740" w:leader="none"/>
          <w:tab w:val="left" w:pos="8370" w:leader="none"/>
        </w:tabs>
        <w:rPr>
          <w:b/>
          <w:bCs/>
        </w:rPr>
      </w:pPr>
      <w:r>
        <w:rPr>
          <w:b/>
          <w:bCs/>
        </w:rPr>
      </w:r>
    </w:p>
    <w:p>
      <w:pPr>
        <w:pStyle w:val="BodyText"/>
        <w:tabs>
          <w:tab w:val="clear" w:pos="720"/>
          <w:tab w:val="left" w:pos="1080" w:leader="none"/>
          <w:tab w:val="left" w:pos="1170" w:leader="none"/>
          <w:tab w:val="left" w:pos="7740" w:leader="none"/>
          <w:tab w:val="left" w:pos="8370" w:leader="none"/>
        </w:tabs>
        <w:ind w:start="720" w:end="0"/>
        <w:rPr/>
      </w:pPr>
      <w:r>
        <w:rPr/>
      </w:r>
    </w:p>
    <w:p>
      <w:pPr>
        <w:pStyle w:val="BodyText"/>
        <w:keepNext w:val="true"/>
        <w:keepLines/>
        <w:numPr>
          <w:ilvl w:val="0"/>
          <w:numId w:val="89"/>
        </w:numPr>
        <w:tabs>
          <w:tab w:val="clear" w:pos="720"/>
          <w:tab w:val="left" w:pos="1080" w:leader="none"/>
          <w:tab w:val="left" w:pos="1170" w:leader="none"/>
          <w:tab w:val="left" w:pos="7740" w:leader="none"/>
          <w:tab w:val="left" w:pos="8370" w:leader="none"/>
        </w:tabs>
        <w:jc w:val="start"/>
        <w:rPr>
          <w:b/>
          <w:sz w:val="28"/>
          <w:u w:val="single"/>
        </w:rPr>
      </w:pPr>
      <w:r>
        <w:rPr>
          <w:b/>
          <w:sz w:val="28"/>
          <w:u w:val="single"/>
        </w:rPr>
        <w:t>EPE – Empressa Produtora de Energia, Ltda.</w:t>
      </w:r>
    </w:p>
    <w:p>
      <w:pPr>
        <w:pStyle w:val="BodyText"/>
        <w:keepNext w:val="true"/>
        <w:keepLines/>
        <w:tabs>
          <w:tab w:val="clear" w:pos="720"/>
          <w:tab w:val="left" w:pos="1080" w:leader="none"/>
          <w:tab w:val="left" w:pos="1170" w:leader="none"/>
          <w:tab w:val="left" w:pos="7740" w:leader="none"/>
          <w:tab w:val="left" w:pos="8370" w:leader="none"/>
        </w:tabs>
        <w:ind w:start="720" w:end="0"/>
        <w:rPr>
          <w:b/>
          <w:sz w:val="28"/>
          <w:u w:val="single"/>
        </w:rPr>
      </w:pPr>
      <w:r>
        <w:rPr>
          <w:b/>
          <w:sz w:val="28"/>
          <w:u w:val="single"/>
        </w:rPr>
      </w:r>
    </w:p>
    <w:p>
      <w:pPr>
        <w:pStyle w:val="BodyText"/>
        <w:keepNext w:val="true"/>
        <w:keepLines/>
        <w:ind w:start="720" w:end="0"/>
        <w:rPr>
          <w:b/>
        </w:rPr>
      </w:pPr>
      <w:r>
        <w:rPr>
          <w:b/>
        </w:rPr>
        <w:t>I.</w:t>
        <w:tab/>
        <w:t>LITIGATION/ARBITRATION</w:t>
      </w:r>
    </w:p>
    <w:p>
      <w:pPr>
        <w:pStyle w:val="BodyText"/>
        <w:keepNext w:val="true"/>
        <w:keepLines/>
        <w:ind w:start="720" w:end="0"/>
        <w:rPr>
          <w:b/>
        </w:rPr>
      </w:pPr>
      <w:r>
        <w:rPr>
          <w:b/>
        </w:rPr>
      </w:r>
    </w:p>
    <w:p>
      <w:pPr>
        <w:pStyle w:val="Heading5"/>
        <w:keepLines/>
        <w:tabs>
          <w:tab w:val="clear" w:pos="720"/>
          <w:tab w:val="left" w:pos="7740" w:leader="none"/>
        </w:tabs>
        <w:ind w:hanging="0" w:start="1440" w:end="0"/>
        <w:jc w:val="both"/>
        <w:rPr/>
      </w:pPr>
      <w:r>
        <w:rPr>
          <w:u w:val="single"/>
        </w:rPr>
        <w:t xml:space="preserve">ConsorcioEnron Energia Energia Mercosul v. </w:t>
      </w:r>
      <w:r>
        <w:rPr>
          <w:i/>
        </w:rPr>
        <w:tab/>
      </w:r>
      <w:r>
        <w:rPr/>
        <w:t>(Not Updated)</w:t>
      </w:r>
    </w:p>
    <w:p>
      <w:pPr>
        <w:pStyle w:val="Normal"/>
        <w:keepNext w:val="true"/>
        <w:keepLines/>
        <w:ind w:start="720" w:end="0"/>
        <w:rPr/>
      </w:pPr>
      <w:r>
        <w:rPr>
          <w:rFonts w:cs="Arial" w:ascii="Arial" w:hAnsi="Arial"/>
          <w:b/>
          <w:sz w:val="24"/>
        </w:rPr>
        <w:tab/>
      </w:r>
      <w:r>
        <w:rPr>
          <w:rFonts w:cs="Arial" w:ascii="Arial" w:hAnsi="Arial"/>
          <w:b/>
          <w:sz w:val="24"/>
          <w:u w:val="single"/>
        </w:rPr>
        <w:t>Centrais Electicas do Sul do Brasil S.A., Eletrosul</w:t>
      </w:r>
    </w:p>
    <w:p>
      <w:pPr>
        <w:pStyle w:val="Normal"/>
        <w:keepNext w:val="true"/>
        <w:keepLines/>
        <w:ind w:start="720" w:end="0"/>
        <w:rPr>
          <w:b/>
          <w:u w:val="single"/>
        </w:rPr>
      </w:pPr>
      <w:r>
        <w:rPr>
          <w:rFonts w:cs="Arial" w:ascii="Arial" w:hAnsi="Arial"/>
          <w:b/>
          <w:sz w:val="24"/>
        </w:rPr>
        <w:tab/>
      </w:r>
      <w:r>
        <w:rPr>
          <w:rFonts w:cs="Arial" w:ascii="Arial" w:hAnsi="Arial"/>
          <w:b/>
          <w:sz w:val="24"/>
          <w:u w:val="single"/>
        </w:rPr>
        <w:t>and Furnas Centrais Electricas S.A.</w:t>
      </w:r>
    </w:p>
    <w:p>
      <w:pPr>
        <w:pStyle w:val="Normal"/>
        <w:keepNext w:val="true"/>
        <w:keepLines/>
        <w:tabs>
          <w:tab w:val="clear" w:pos="720"/>
          <w:tab w:val="left" w:pos="1080" w:leader="none"/>
          <w:tab w:val="left" w:pos="1170" w:leader="none"/>
          <w:tab w:val="left" w:pos="7740" w:leader="none"/>
          <w:tab w:val="left" w:pos="8370" w:leader="none"/>
        </w:tabs>
        <w:ind w:start="1440" w:end="0"/>
        <w:jc w:val="both"/>
        <w:rPr/>
      </w:pPr>
      <w:r>
        <w:rPr>
          <w:rFonts w:cs="Arial" w:ascii="Arial" w:hAnsi="Arial"/>
          <w:sz w:val="24"/>
        </w:rPr>
        <w:t>(3</w:t>
      </w:r>
      <w:r>
        <w:rPr>
          <w:rFonts w:cs="Arial" w:ascii="Arial" w:hAnsi="Arial"/>
          <w:sz w:val="24"/>
          <w:vertAlign w:val="superscript"/>
        </w:rPr>
        <w:t>rd</w:t>
      </w:r>
      <w:r>
        <w:rPr>
          <w:rFonts w:cs="Arial" w:ascii="Arial" w:hAnsi="Arial"/>
          <w:sz w:val="24"/>
        </w:rPr>
        <w:t xml:space="preserve"> Lower Civil Court, Florianopolis) (Machado Meyer)</w:t>
      </w:r>
    </w:p>
    <w:p>
      <w:pPr>
        <w:pStyle w:val="BodyText"/>
        <w:keepNext w:val="true"/>
        <w:keepLines/>
        <w:tabs>
          <w:tab w:val="clear" w:pos="720"/>
          <w:tab w:val="left" w:pos="1080" w:leader="none"/>
          <w:tab w:val="left" w:pos="1170" w:leader="none"/>
          <w:tab w:val="left" w:pos="7740" w:leader="none"/>
          <w:tab w:val="left" w:pos="8370" w:leader="none"/>
        </w:tabs>
        <w:ind w:start="1440" w:end="0"/>
        <w:rPr/>
      </w:pPr>
      <w:r>
        <w:rPr/>
        <w:t>(Pericles Prade) (R$8 million/US$4.5 million)</w:t>
      </w:r>
    </w:p>
    <w:p>
      <w:pPr>
        <w:pStyle w:val="Normal"/>
        <w:keepNext w:val="true"/>
        <w:keepLines/>
        <w:tabs>
          <w:tab w:val="clear" w:pos="720"/>
          <w:tab w:val="left" w:pos="1080" w:leader="none"/>
          <w:tab w:val="left" w:pos="1170" w:leader="none"/>
          <w:tab w:val="left" w:pos="7740" w:leader="none"/>
          <w:tab w:val="left" w:pos="8370" w:leader="none"/>
        </w:tabs>
        <w:ind w:start="720" w:end="0"/>
        <w:jc w:val="both"/>
        <w:rPr>
          <w:rFonts w:ascii="Arial" w:hAnsi="Arial" w:cs="Arial"/>
          <w:sz w:val="24"/>
        </w:rPr>
      </w:pPr>
      <w:r>
        <w:rPr>
          <w:rFonts w:cs="Arial" w:ascii="Arial" w:hAnsi="Arial"/>
          <w:sz w:val="24"/>
        </w:rPr>
      </w:r>
    </w:p>
    <w:p>
      <w:pPr>
        <w:pStyle w:val="BodyText"/>
        <w:keepNext w:val="true"/>
        <w:keepLines/>
        <w:numPr>
          <w:ilvl w:val="0"/>
          <w:numId w:val="16"/>
        </w:numPr>
        <w:tabs>
          <w:tab w:val="clear" w:pos="720"/>
        </w:tabs>
        <w:ind w:hanging="360" w:start="1800" w:end="0"/>
        <w:rPr/>
      </w:pPr>
      <w:r>
        <w:rPr/>
        <w:t>This lawsuit was filed on March 3, 1998, to enjoin Electrobras and Furnas from calling a R$8 million bid bond we posted in connection with the sale of Electrobras’ assets.</w:t>
      </w:r>
    </w:p>
    <w:p>
      <w:pPr>
        <w:pStyle w:val="BodyText"/>
        <w:numPr>
          <w:ilvl w:val="0"/>
          <w:numId w:val="16"/>
        </w:numPr>
        <w:tabs>
          <w:tab w:val="clear" w:pos="720"/>
        </w:tabs>
        <w:ind w:hanging="360" w:start="1800" w:end="0"/>
        <w:rPr/>
      </w:pPr>
      <w:r>
        <w:rPr/>
        <w:t>On March 4, 1998, the judge issued an interlocutory decision enjoining Eletrosul/Furnas’ attempt to call the bid bond.</w:t>
      </w:r>
    </w:p>
    <w:p>
      <w:pPr>
        <w:pStyle w:val="BodyText"/>
        <w:numPr>
          <w:ilvl w:val="0"/>
          <w:numId w:val="16"/>
        </w:numPr>
        <w:tabs>
          <w:tab w:val="clear" w:pos="720"/>
        </w:tabs>
        <w:ind w:hanging="360" w:start="1800" w:end="0"/>
        <w:rPr/>
      </w:pPr>
      <w:r>
        <w:rPr/>
        <w:t>Eletrosul and Furnas appealed the interlocutory decision.</w:t>
      </w:r>
    </w:p>
    <w:p>
      <w:pPr>
        <w:pStyle w:val="BodyText"/>
        <w:numPr>
          <w:ilvl w:val="0"/>
          <w:numId w:val="16"/>
        </w:numPr>
        <w:tabs>
          <w:tab w:val="clear" w:pos="720"/>
        </w:tabs>
        <w:ind w:hanging="360" w:start="1800" w:end="0"/>
        <w:rPr/>
      </w:pPr>
      <w:r>
        <w:rPr/>
        <w:t>The Appellate Court denied both appeals.</w:t>
      </w:r>
    </w:p>
    <w:p>
      <w:pPr>
        <w:pStyle w:val="BodyText"/>
        <w:numPr>
          <w:ilvl w:val="0"/>
          <w:numId w:val="16"/>
        </w:numPr>
        <w:tabs>
          <w:tab w:val="clear" w:pos="720"/>
        </w:tabs>
        <w:ind w:hanging="360" w:start="1800" w:end="0"/>
        <w:rPr/>
      </w:pPr>
      <w:r>
        <w:rPr/>
        <w:t>On April 28, 1998, Eletrosul and Furnas filed their answers to the suit.</w:t>
      </w:r>
    </w:p>
    <w:p>
      <w:pPr>
        <w:pStyle w:val="BodyText"/>
        <w:numPr>
          <w:ilvl w:val="0"/>
          <w:numId w:val="16"/>
        </w:numPr>
        <w:tabs>
          <w:tab w:val="clear" w:pos="720"/>
          <w:tab w:val="left" w:pos="1350" w:leader="none"/>
        </w:tabs>
        <w:ind w:hanging="360" w:start="1800" w:end="0"/>
        <w:rPr/>
      </w:pPr>
      <w:r>
        <w:rPr/>
        <w:t xml:space="preserve">We are awaiting the court's decision on the merits. </w:t>
      </w:r>
    </w:p>
    <w:p>
      <w:pPr>
        <w:pStyle w:val="Normal"/>
        <w:tabs>
          <w:tab w:val="clear" w:pos="720"/>
          <w:tab w:val="left" w:pos="1080" w:leader="none"/>
          <w:tab w:val="left" w:pos="1170" w:leader="none"/>
          <w:tab w:val="left" w:pos="7740" w:leader="none"/>
          <w:tab w:val="left" w:pos="8370" w:leader="none"/>
        </w:tabs>
        <w:ind w:start="720" w:end="0"/>
        <w:jc w:val="both"/>
        <w:rPr>
          <w:rFonts w:ascii="Arial" w:hAnsi="Arial" w:cs="Arial"/>
          <w:sz w:val="24"/>
        </w:rPr>
      </w:pPr>
      <w:r>
        <w:rPr>
          <w:rFonts w:cs="Arial" w:ascii="Arial" w:hAnsi="Arial"/>
          <w:sz w:val="24"/>
        </w:rPr>
      </w:r>
    </w:p>
    <w:p>
      <w:pPr>
        <w:pStyle w:val="Normal"/>
        <w:keepNext w:val="true"/>
        <w:keepLines/>
        <w:tabs>
          <w:tab w:val="clear" w:pos="720"/>
          <w:tab w:val="left" w:pos="7740" w:leader="none"/>
        </w:tabs>
        <w:ind w:start="1440" w:end="0"/>
        <w:jc w:val="both"/>
        <w:rPr>
          <w:rFonts w:ascii="Arial" w:hAnsi="Arial" w:cs="Arial"/>
          <w:b/>
          <w:i/>
          <w:i/>
          <w:sz w:val="24"/>
        </w:rPr>
      </w:pPr>
      <w:r>
        <w:rPr>
          <w:rFonts w:cs="Arial" w:ascii="Arial" w:hAnsi="Arial"/>
          <w:b/>
          <w:sz w:val="24"/>
          <w:u w:val="single"/>
        </w:rPr>
        <w:t>CPMF Lawsuit</w:t>
      </w:r>
      <w:r>
        <w:rPr>
          <w:rFonts w:cs="Arial" w:ascii="Arial" w:hAnsi="Arial"/>
          <w:b/>
          <w:i/>
          <w:sz w:val="24"/>
        </w:rPr>
        <w:tab/>
      </w:r>
      <w:r>
        <w:rPr>
          <w:rFonts w:cs="Arial" w:ascii="Arial" w:hAnsi="Arial"/>
          <w:b/>
          <w:sz w:val="24"/>
        </w:rPr>
        <w:t>(Not Updated)</w:t>
      </w:r>
    </w:p>
    <w:p>
      <w:pPr>
        <w:pStyle w:val="Normal"/>
        <w:keepNext w:val="true"/>
        <w:keepLines/>
        <w:tabs>
          <w:tab w:val="clear" w:pos="720"/>
          <w:tab w:val="left" w:pos="1080" w:leader="none"/>
          <w:tab w:val="left" w:pos="1170" w:leader="none"/>
          <w:tab w:val="left" w:pos="7740" w:leader="none"/>
          <w:tab w:val="left" w:pos="8370" w:leader="none"/>
        </w:tabs>
        <w:ind w:start="1440" w:end="0"/>
        <w:jc w:val="both"/>
        <w:rPr/>
      </w:pPr>
      <w:r>
        <w:rPr>
          <w:rFonts w:cs="Arial" w:ascii="Arial" w:hAnsi="Arial"/>
          <w:sz w:val="24"/>
        </w:rPr>
        <w:t>(Federal Courts, São Paulo and Rio de Janeiro) (</w:t>
      </w:r>
      <w:r>
        <w:rPr>
          <w:rFonts w:cs="Arial" w:ascii="Arial" w:hAnsi="Arial"/>
          <w:color w:val="000000"/>
          <w:sz w:val="24"/>
        </w:rPr>
        <w:t>Veirano Advogados)</w:t>
      </w:r>
    </w:p>
    <w:p>
      <w:pPr>
        <w:pStyle w:val="Normal"/>
        <w:keepNext w:val="true"/>
        <w:keepLines/>
        <w:tabs>
          <w:tab w:val="clear" w:pos="720"/>
          <w:tab w:val="left" w:pos="1080" w:leader="none"/>
          <w:tab w:val="left" w:pos="1170" w:leader="none"/>
          <w:tab w:val="left" w:pos="7740" w:leader="none"/>
          <w:tab w:val="left" w:pos="8370" w:leader="none"/>
        </w:tabs>
        <w:ind w:start="720" w:end="0"/>
        <w:jc w:val="both"/>
        <w:rPr>
          <w:rFonts w:ascii="Arial" w:hAnsi="Arial" w:cs="Arial"/>
          <w:color w:val="000000"/>
          <w:sz w:val="24"/>
        </w:rPr>
      </w:pPr>
      <w:r>
        <w:rPr>
          <w:rFonts w:cs="Arial" w:ascii="Arial" w:hAnsi="Arial"/>
          <w:color w:val="000000"/>
          <w:sz w:val="24"/>
        </w:rPr>
      </w:r>
    </w:p>
    <w:p>
      <w:pPr>
        <w:pStyle w:val="Normal"/>
        <w:keepNext w:val="true"/>
        <w:keepLines/>
        <w:numPr>
          <w:ilvl w:val="0"/>
          <w:numId w:val="80"/>
        </w:numPr>
        <w:tabs>
          <w:tab w:val="clear" w:pos="720"/>
          <w:tab w:val="left" w:pos="1800" w:leader="none"/>
        </w:tabs>
        <w:ind w:hanging="360" w:start="1800" w:end="0"/>
        <w:rPr>
          <w:rFonts w:ascii="Arial" w:hAnsi="Arial" w:cs="Arial"/>
          <w:sz w:val="24"/>
        </w:rPr>
      </w:pPr>
      <w:r>
        <w:rPr>
          <w:rFonts w:cs="Arial" w:ascii="Arial" w:hAnsi="Arial"/>
          <w:color w:val="000000"/>
          <w:sz w:val="24"/>
        </w:rPr>
        <w:t>Enron sought a preliminary injunction against the CPMF tax of .38%</w:t>
      </w:r>
      <w:r>
        <w:rPr>
          <w:rFonts w:cs="Arial" w:ascii="Arial" w:hAnsi="Arial"/>
          <w:b/>
          <w:color w:val="000000"/>
          <w:sz w:val="24"/>
        </w:rPr>
        <w:t xml:space="preserve"> </w:t>
      </w:r>
      <w:r>
        <w:rPr>
          <w:rFonts w:cs="Arial" w:ascii="Arial" w:hAnsi="Arial"/>
          <w:color w:val="000000"/>
          <w:sz w:val="24"/>
        </w:rPr>
        <w:t>levied on financial transactions such as withdrawals, checks and wire transfers.</w:t>
      </w:r>
    </w:p>
    <w:p>
      <w:pPr>
        <w:pStyle w:val="Normal"/>
        <w:numPr>
          <w:ilvl w:val="0"/>
          <w:numId w:val="80"/>
        </w:numPr>
        <w:tabs>
          <w:tab w:val="clear" w:pos="720"/>
          <w:tab w:val="left" w:pos="1800" w:leader="none"/>
        </w:tabs>
        <w:ind w:hanging="360" w:start="1800" w:end="0"/>
        <w:rPr>
          <w:rFonts w:ascii="Arial" w:hAnsi="Arial" w:cs="Arial"/>
          <w:sz w:val="24"/>
        </w:rPr>
      </w:pPr>
      <w:r>
        <w:rPr>
          <w:rFonts w:cs="Arial" w:ascii="Arial" w:hAnsi="Arial"/>
          <w:color w:val="000000"/>
          <w:sz w:val="24"/>
        </w:rPr>
        <w:t>Enron’s suits allege, among other things, that this tax is unconstitutional, both because of the procedure by which it was passed and because it violates the constitutional right to confidentiality of banking information.</w:t>
      </w:r>
    </w:p>
    <w:p>
      <w:pPr>
        <w:pStyle w:val="Normal"/>
        <w:numPr>
          <w:ilvl w:val="0"/>
          <w:numId w:val="80"/>
        </w:numPr>
        <w:tabs>
          <w:tab w:val="clear" w:pos="720"/>
          <w:tab w:val="left" w:pos="1800" w:leader="none"/>
        </w:tabs>
        <w:ind w:hanging="360" w:start="1800" w:end="0"/>
        <w:rPr>
          <w:rFonts w:ascii="Arial" w:hAnsi="Arial" w:cs="Arial"/>
          <w:sz w:val="24"/>
        </w:rPr>
      </w:pPr>
      <w:r>
        <w:rPr>
          <w:rFonts w:cs="Arial" w:ascii="Arial" w:hAnsi="Arial"/>
          <w:color w:val="000000"/>
          <w:sz w:val="24"/>
        </w:rPr>
        <w:t>In August 1999, the courts in S</w:t>
      </w:r>
      <w:r>
        <w:rPr>
          <w:rFonts w:cs="Arial" w:ascii="Arial" w:hAnsi="Arial"/>
          <w:sz w:val="24"/>
        </w:rPr>
        <w:t>ã</w:t>
      </w:r>
      <w:r>
        <w:rPr>
          <w:rFonts w:cs="Arial" w:ascii="Arial" w:hAnsi="Arial"/>
          <w:color w:val="000000"/>
          <w:sz w:val="24"/>
        </w:rPr>
        <w:t>o Paulo and Rio de Janeiro denied Enron’s requests for a preliminary injunction.</w:t>
      </w:r>
    </w:p>
    <w:p>
      <w:pPr>
        <w:pStyle w:val="Normal"/>
        <w:numPr>
          <w:ilvl w:val="0"/>
          <w:numId w:val="21"/>
        </w:numPr>
        <w:tabs>
          <w:tab w:val="clear" w:pos="720"/>
          <w:tab w:val="left" w:pos="1170" w:leader="none"/>
          <w:tab w:val="left" w:pos="1800" w:leader="none"/>
          <w:tab w:val="left" w:pos="7740" w:leader="none"/>
          <w:tab w:val="left" w:pos="8370" w:leader="none"/>
        </w:tabs>
        <w:ind w:hanging="360" w:start="1800" w:end="0"/>
        <w:jc w:val="both"/>
        <w:rPr>
          <w:rFonts w:ascii="Arial" w:hAnsi="Arial" w:cs="Arial"/>
          <w:sz w:val="24"/>
        </w:rPr>
      </w:pPr>
      <w:r>
        <w:rPr>
          <w:rFonts w:cs="Arial" w:ascii="Arial" w:hAnsi="Arial"/>
          <w:sz w:val="24"/>
        </w:rPr>
        <w:t>Enron appealed both decisions.</w:t>
      </w:r>
    </w:p>
    <w:p>
      <w:pPr>
        <w:pStyle w:val="Normal"/>
        <w:numPr>
          <w:ilvl w:val="0"/>
          <w:numId w:val="80"/>
        </w:numPr>
        <w:tabs>
          <w:tab w:val="clear" w:pos="720"/>
          <w:tab w:val="left" w:pos="1800" w:leader="none"/>
        </w:tabs>
        <w:ind w:hanging="360" w:start="1800" w:end="0"/>
        <w:rPr>
          <w:rFonts w:ascii="Arial" w:hAnsi="Arial" w:cs="Arial"/>
          <w:sz w:val="24"/>
        </w:rPr>
      </w:pPr>
      <w:r>
        <w:rPr>
          <w:rFonts w:cs="Arial" w:ascii="Arial" w:hAnsi="Arial"/>
          <w:color w:val="000000"/>
          <w:sz w:val="24"/>
        </w:rPr>
        <w:t>The president of the appeals court in S</w:t>
      </w:r>
      <w:r>
        <w:rPr>
          <w:rFonts w:cs="Arial" w:ascii="Arial" w:hAnsi="Arial"/>
          <w:sz w:val="24"/>
        </w:rPr>
        <w:t xml:space="preserve">ão Paulo </w:t>
      </w:r>
      <w:r>
        <w:rPr>
          <w:rFonts w:cs="Arial" w:ascii="Arial" w:hAnsi="Arial"/>
          <w:color w:val="000000"/>
          <w:sz w:val="24"/>
        </w:rPr>
        <w:t>reversed the decision of the lower court on October 5, 1999 and granted Enron’s request for a preliminary injunction relieving the Enron entities in the province of S</w:t>
      </w:r>
      <w:r>
        <w:rPr>
          <w:rFonts w:cs="Arial" w:ascii="Arial" w:hAnsi="Arial"/>
          <w:sz w:val="24"/>
        </w:rPr>
        <w:t>ã</w:t>
      </w:r>
      <w:r>
        <w:rPr>
          <w:rFonts w:cs="Arial" w:ascii="Arial" w:hAnsi="Arial"/>
          <w:color w:val="000000"/>
          <w:sz w:val="24"/>
        </w:rPr>
        <w:t>o Paulo from paying the tax.  On October 3, 2000 the court denied the interlocutory appeal for injunction against payment in Rio de Janeiro.  In a separate but identical suit brought by other Enron companies in the Province of S</w:t>
      </w:r>
      <w:r>
        <w:rPr>
          <w:rFonts w:cs="Arial" w:ascii="Arial" w:hAnsi="Arial"/>
          <w:sz w:val="24"/>
        </w:rPr>
        <w:t>ã</w:t>
      </w:r>
      <w:r>
        <w:rPr>
          <w:rFonts w:cs="Arial" w:ascii="Arial" w:hAnsi="Arial"/>
          <w:color w:val="000000"/>
          <w:sz w:val="24"/>
        </w:rPr>
        <w:t>o Paulo, the court denied a preliminary injunction and the Enron companies appealed.</w:t>
      </w:r>
    </w:p>
    <w:p>
      <w:pPr>
        <w:pStyle w:val="Normal"/>
        <w:numPr>
          <w:ilvl w:val="0"/>
          <w:numId w:val="80"/>
        </w:numPr>
        <w:tabs>
          <w:tab w:val="clear" w:pos="720"/>
          <w:tab w:val="left" w:pos="1800" w:leader="none"/>
        </w:tabs>
        <w:ind w:hanging="360" w:start="1800" w:end="0"/>
        <w:rPr>
          <w:rFonts w:ascii="Arial" w:hAnsi="Arial" w:cs="Arial"/>
          <w:sz w:val="24"/>
        </w:rPr>
      </w:pPr>
      <w:r>
        <w:rPr>
          <w:rFonts w:cs="Arial" w:ascii="Arial" w:hAnsi="Arial"/>
          <w:color w:val="000000"/>
          <w:sz w:val="24"/>
        </w:rPr>
        <w:t>The taxes have not been paid pending the outcome of the litigation.  The liability accrues at approximately R$250,000/month for Elektro alone and in approximately the same amount each month for all of the other Enron companies combined.  Elektro has booked R$1 million for a “contingent liability.”</w:t>
      </w:r>
    </w:p>
    <w:p>
      <w:pPr>
        <w:pStyle w:val="Normal"/>
        <w:ind w:start="720" w:end="0"/>
        <w:rPr>
          <w:rFonts w:ascii="Arial" w:hAnsi="Arial" w:cs="Arial"/>
          <w:color w:val="000000"/>
          <w:sz w:val="24"/>
        </w:rPr>
      </w:pPr>
      <w:r>
        <w:rPr>
          <w:rFonts w:cs="Arial" w:ascii="Arial" w:hAnsi="Arial"/>
          <w:color w:val="000000"/>
          <w:sz w:val="24"/>
        </w:rPr>
      </w:r>
    </w:p>
    <w:p>
      <w:pPr>
        <w:pStyle w:val="Normal"/>
        <w:keepNext w:val="true"/>
        <w:keepLines/>
        <w:tabs>
          <w:tab w:val="clear" w:pos="720"/>
          <w:tab w:val="left" w:pos="7740" w:leader="none"/>
        </w:tabs>
        <w:ind w:start="1440" w:end="0"/>
        <w:rPr/>
      </w:pPr>
      <w:r>
        <w:rPr>
          <w:rFonts w:cs="Arial" w:ascii="Arial" w:hAnsi="Arial"/>
          <w:b/>
          <w:color w:val="000000"/>
          <w:sz w:val="24"/>
          <w:u w:val="single"/>
        </w:rPr>
        <w:t>Egmond Almeida v. EPE</w:t>
      </w:r>
      <w:r>
        <w:rPr>
          <w:rFonts w:cs="Arial" w:ascii="Arial" w:hAnsi="Arial"/>
          <w:b/>
          <w:color w:val="000000"/>
          <w:sz w:val="24"/>
        </w:rPr>
        <w:tab/>
        <w:t>(Not Updated)</w:t>
      </w:r>
    </w:p>
    <w:p>
      <w:pPr>
        <w:pStyle w:val="BodyText"/>
        <w:keepNext w:val="true"/>
        <w:keepLines/>
        <w:tabs>
          <w:tab w:val="clear" w:pos="720"/>
          <w:tab w:val="left" w:pos="1170" w:leader="none"/>
          <w:tab w:val="left" w:pos="7740" w:leader="none"/>
          <w:tab w:val="left" w:pos="8370" w:leader="none"/>
        </w:tabs>
        <w:ind w:start="1440" w:end="0"/>
        <w:rPr/>
      </w:pPr>
      <w:r>
        <w:rPr/>
        <w:t xml:space="preserve">(Labor Court of Cuiaba) (Fernando Serec/Tozzini, Freire, Teixeira &amp; Silva) (R$250,000/US$139,978) (Enron’s Interest: 52%) </w:t>
      </w:r>
    </w:p>
    <w:p>
      <w:pPr>
        <w:pStyle w:val="Normal"/>
        <w:keepNext w:val="true"/>
        <w:keepLines/>
        <w:tabs>
          <w:tab w:val="clear" w:pos="720"/>
          <w:tab w:val="left" w:pos="7740" w:leader="none"/>
        </w:tabs>
        <w:ind w:start="1440" w:end="0"/>
        <w:rPr>
          <w:rFonts w:ascii="Arial" w:hAnsi="Arial" w:cs="Arial"/>
          <w:color w:val="000000"/>
          <w:sz w:val="24"/>
        </w:rPr>
      </w:pPr>
      <w:r>
        <w:rPr>
          <w:rFonts w:cs="Arial" w:ascii="Arial" w:hAnsi="Arial"/>
          <w:color w:val="000000"/>
          <w:sz w:val="24"/>
        </w:rPr>
      </w:r>
    </w:p>
    <w:p>
      <w:pPr>
        <w:pStyle w:val="Normal"/>
        <w:keepNext w:val="true"/>
        <w:keepLines/>
        <w:numPr>
          <w:ilvl w:val="0"/>
          <w:numId w:val="20"/>
        </w:numPr>
        <w:tabs>
          <w:tab w:val="clear" w:pos="720"/>
          <w:tab w:val="left" w:pos="1800" w:leader="none"/>
          <w:tab w:val="left" w:pos="7740" w:leader="none"/>
        </w:tabs>
        <w:ind w:hanging="360" w:start="1800" w:end="0"/>
        <w:rPr>
          <w:rFonts w:ascii="Arial" w:hAnsi="Arial" w:cs="Arial"/>
          <w:color w:val="000000"/>
          <w:sz w:val="24"/>
        </w:rPr>
      </w:pPr>
      <w:r>
        <w:rPr>
          <w:rFonts w:cs="Arial" w:ascii="Arial" w:hAnsi="Arial"/>
          <w:color w:val="000000"/>
          <w:sz w:val="24"/>
        </w:rPr>
        <w:t>This suit was filed on January 24, 2000, for wrongful termination.</w:t>
      </w:r>
    </w:p>
    <w:p>
      <w:pPr>
        <w:pStyle w:val="Normal"/>
        <w:numPr>
          <w:ilvl w:val="0"/>
          <w:numId w:val="20"/>
        </w:numPr>
        <w:tabs>
          <w:tab w:val="clear" w:pos="720"/>
          <w:tab w:val="left" w:pos="1800" w:leader="none"/>
          <w:tab w:val="left" w:pos="7740" w:leader="none"/>
        </w:tabs>
        <w:ind w:hanging="360" w:start="1800" w:end="0"/>
        <w:rPr>
          <w:rFonts w:ascii="Arial" w:hAnsi="Arial" w:cs="Arial"/>
          <w:sz w:val="24"/>
        </w:rPr>
      </w:pPr>
      <w:r>
        <w:rPr>
          <w:rFonts w:cs="Arial" w:ascii="Arial" w:hAnsi="Arial"/>
          <w:color w:val="000000"/>
          <w:sz w:val="24"/>
        </w:rPr>
        <w:t>If plaintiff prevails, he could be awarded up to R$136,000 for two years salary, notice, vacations, attorney's fees, court costs, and danger pay (30% of his salary).  In addition he could be awarded "danos morais" (moral damage), which in Brazilian courts does not generally exceed 100 minimum salaries (R$136,000).</w:t>
      </w:r>
    </w:p>
    <w:p>
      <w:pPr>
        <w:pStyle w:val="Normal"/>
        <w:numPr>
          <w:ilvl w:val="0"/>
          <w:numId w:val="20"/>
        </w:numPr>
        <w:tabs>
          <w:tab w:val="clear" w:pos="720"/>
          <w:tab w:val="left" w:pos="1800" w:leader="none"/>
          <w:tab w:val="left" w:pos="7740" w:leader="none"/>
        </w:tabs>
        <w:ind w:hanging="360" w:start="1800" w:end="0"/>
        <w:rPr>
          <w:rFonts w:ascii="Arial" w:hAnsi="Arial" w:cs="Arial"/>
          <w:sz w:val="24"/>
        </w:rPr>
      </w:pPr>
      <w:r>
        <w:rPr>
          <w:rFonts w:cs="Arial" w:ascii="Arial" w:hAnsi="Arial"/>
          <w:sz w:val="24"/>
        </w:rPr>
        <w:t>On August 18, 2000, the court ruled in favor of the claimant after having heard the witnesses' testimony on July 7, 2000.  EPE has filed a motion for clarification.</w:t>
      </w:r>
    </w:p>
    <w:p>
      <w:pPr>
        <w:pStyle w:val="Normal"/>
        <w:ind w:start="720" w:end="0"/>
        <w:jc w:val="both"/>
        <w:rPr>
          <w:rFonts w:ascii="Arial" w:hAnsi="Arial" w:cs="Arial"/>
          <w:sz w:val="24"/>
        </w:rPr>
      </w:pPr>
      <w:r>
        <w:rPr>
          <w:rFonts w:cs="Arial" w:ascii="Arial" w:hAnsi="Arial"/>
          <w:sz w:val="24"/>
        </w:rPr>
      </w:r>
    </w:p>
    <w:p>
      <w:pPr>
        <w:pStyle w:val="Normal"/>
        <w:ind w:start="720" w:end="0"/>
        <w:jc w:val="both"/>
        <w:rPr>
          <w:rFonts w:ascii="Arial" w:hAnsi="Arial" w:cs="Arial"/>
          <w:sz w:val="24"/>
        </w:rPr>
      </w:pPr>
      <w:r>
        <w:rPr>
          <w:rFonts w:cs="Arial" w:ascii="Arial" w:hAnsi="Arial"/>
          <w:sz w:val="24"/>
        </w:rPr>
      </w:r>
    </w:p>
    <w:p>
      <w:pPr>
        <w:pStyle w:val="Heading5"/>
        <w:numPr>
          <w:ilvl w:val="0"/>
          <w:numId w:val="43"/>
        </w:numPr>
        <w:rPr/>
      </w:pPr>
      <w:r>
        <w:rPr/>
        <w:t>CLAIMS/DISPUTES</w:t>
      </w:r>
    </w:p>
    <w:p>
      <w:pPr>
        <w:pStyle w:val="Normal"/>
        <w:ind w:start="720" w:end="0"/>
        <w:jc w:val="both"/>
        <w:rPr>
          <w:rFonts w:ascii="Arial" w:hAnsi="Arial" w:cs="Arial"/>
          <w:sz w:val="24"/>
        </w:rPr>
      </w:pPr>
      <w:r>
        <w:rPr>
          <w:rFonts w:cs="Arial" w:ascii="Arial" w:hAnsi="Arial"/>
          <w:sz w:val="24"/>
        </w:rPr>
      </w:r>
    </w:p>
    <w:p>
      <w:pPr>
        <w:pStyle w:val="Heading2"/>
        <w:keepLines/>
        <w:tabs>
          <w:tab w:val="clear" w:pos="720"/>
          <w:tab w:val="left" w:pos="7740" w:leader="none"/>
        </w:tabs>
        <w:spacing w:lineRule="atLeast" w:line="240"/>
        <w:ind w:hanging="0" w:start="1440" w:end="0"/>
        <w:rPr>
          <w:b/>
          <w:u w:val="none"/>
        </w:rPr>
      </w:pPr>
      <w:r>
        <w:rPr>
          <w:b/>
          <w:u w:val="none"/>
        </w:rPr>
        <w:t>EPE Dispute with Furnas</w:t>
        <w:tab/>
        <w:t>(Updated)</w:t>
      </w:r>
    </w:p>
    <w:p>
      <w:pPr>
        <w:pStyle w:val="Normal"/>
        <w:keepNext w:val="true"/>
        <w:keepLines/>
        <w:ind w:start="1440" w:end="0"/>
        <w:jc w:val="both"/>
        <w:rPr/>
      </w:pPr>
      <w:r>
        <w:rPr>
          <w:rFonts w:cs="Arial" w:ascii="Arial" w:hAnsi="Arial"/>
          <w:color w:val="000000"/>
          <w:sz w:val="24"/>
        </w:rPr>
        <w:t>(John Gardiner/Skadden Arps, Fernando Serec/</w:t>
      </w:r>
      <w:r>
        <w:rPr>
          <w:rFonts w:cs="Arial" w:ascii="Arial" w:hAnsi="Arial"/>
          <w:sz w:val="24"/>
        </w:rPr>
        <w:t>Tozzini, Freire, Teixeira &amp; Silva)</w:t>
      </w:r>
    </w:p>
    <w:p>
      <w:pPr>
        <w:pStyle w:val="Normal"/>
        <w:tabs>
          <w:tab w:val="clear" w:pos="720"/>
          <w:tab w:val="left" w:pos="1080" w:leader="none"/>
          <w:tab w:val="left" w:pos="1170" w:leader="none"/>
          <w:tab w:val="left" w:pos="7740" w:leader="none"/>
          <w:tab w:val="left" w:pos="8370" w:leader="none"/>
        </w:tabs>
        <w:ind w:start="720" w:end="0"/>
        <w:jc w:val="both"/>
        <w:rPr>
          <w:rFonts w:ascii="Arial" w:hAnsi="Arial" w:cs="Arial"/>
          <w:sz w:val="24"/>
        </w:rPr>
      </w:pPr>
      <w:r>
        <w:rPr>
          <w:rFonts w:cs="Arial" w:ascii="Arial" w:hAnsi="Arial"/>
          <w:sz w:val="24"/>
        </w:rPr>
      </w:r>
    </w:p>
    <w:p>
      <w:pPr>
        <w:pStyle w:val="Normal"/>
        <w:numPr>
          <w:ilvl w:val="0"/>
          <w:numId w:val="114"/>
        </w:numPr>
        <w:tabs>
          <w:tab w:val="clear" w:pos="720"/>
          <w:tab w:val="left" w:pos="1080" w:leader="none"/>
          <w:tab w:val="left" w:pos="1170" w:leader="none"/>
          <w:tab w:val="left" w:pos="7740" w:leader="none"/>
          <w:tab w:val="left" w:pos="8370" w:leader="none"/>
        </w:tabs>
        <w:jc w:val="both"/>
        <w:rPr>
          <w:rFonts w:ascii="Arial" w:hAnsi="Arial" w:cs="Arial"/>
          <w:sz w:val="24"/>
        </w:rPr>
      </w:pPr>
      <w:r>
        <w:rPr>
          <w:rFonts w:cs="Arial" w:ascii="Arial" w:hAnsi="Arial"/>
          <w:sz w:val="24"/>
        </w:rPr>
        <w:t>EPE entered into a PPA with Furnas, the government entity buying power to sell to distributors.  Furnas is wrongfully withholding its consent to assignment required by the lenders (OPIC and KfW) for financing this project.  Furnas is acting in bad faith and has no contractual right to withhold its consent.</w:t>
      </w:r>
    </w:p>
    <w:p>
      <w:pPr>
        <w:pStyle w:val="Normal"/>
        <w:numPr>
          <w:ilvl w:val="0"/>
          <w:numId w:val="114"/>
        </w:numPr>
        <w:tabs>
          <w:tab w:val="clear" w:pos="720"/>
          <w:tab w:val="left" w:pos="1080" w:leader="none"/>
          <w:tab w:val="left" w:pos="1170" w:leader="none"/>
          <w:tab w:val="left" w:pos="7740" w:leader="none"/>
          <w:tab w:val="left" w:pos="8370" w:leader="none"/>
        </w:tabs>
        <w:jc w:val="both"/>
        <w:rPr>
          <w:rFonts w:ascii="Arial" w:hAnsi="Arial" w:cs="Arial"/>
          <w:sz w:val="24"/>
        </w:rPr>
      </w:pPr>
      <w:r>
        <w:rPr>
          <w:rFonts w:cs="Arial" w:ascii="Arial" w:hAnsi="Arial"/>
          <w:sz w:val="24"/>
        </w:rPr>
        <w:t>EPE issued a default notice to Furnas and Electrobras (the guarantor of Furnas’ obligations under the PPA) in September of 2000.  The grace period to cure the default has expired and EPE is analyzing whether to proceed with termination of the PPA (which would force Furnas to purchase the plant), to initiate arbitration over the dispute, or to follow some other course of action.  EPE is negotiating with the lenders to waive the Furnas consent.</w:t>
      </w:r>
    </w:p>
    <w:p>
      <w:pPr>
        <w:pStyle w:val="Normal"/>
        <w:numPr>
          <w:ilvl w:val="0"/>
          <w:numId w:val="114"/>
        </w:numPr>
        <w:tabs>
          <w:tab w:val="clear" w:pos="720"/>
          <w:tab w:val="left" w:pos="1080" w:leader="none"/>
          <w:tab w:val="left" w:pos="1170" w:leader="none"/>
          <w:tab w:val="left" w:pos="7740" w:leader="none"/>
          <w:tab w:val="left" w:pos="8370" w:leader="none"/>
        </w:tabs>
        <w:jc w:val="both"/>
        <w:rPr>
          <w:rFonts w:ascii="Arial" w:hAnsi="Arial" w:cs="Arial"/>
          <w:sz w:val="24"/>
        </w:rPr>
      </w:pPr>
      <w:r>
        <w:rPr>
          <w:rFonts w:cs="Arial" w:ascii="Arial" w:hAnsi="Arial"/>
          <w:sz w:val="24"/>
        </w:rPr>
        <w:t>Furnas is using the assignment consent as leverage to force EPE to renegotiate the PPA because of commercial risk and loss it has incurred resulting from delay of Phase II of the project.  EPE issued a force majeure notice under the contract last year as a result of the Mato Grosso Attorney General’s investigation and imposition of tedious environmental measures that have caused significant delay in building the gas pipeline to the plant over the ridges region of Caceres.  (See Gas Mat Claims/Disputes below.)  EPE claims it has no contractual obligation to remedy Furnas’ losses resulting from a valid force majeure delay and has no obligation to renegotiate the contract.</w:t>
      </w:r>
    </w:p>
    <w:p>
      <w:pPr>
        <w:pStyle w:val="Normal"/>
        <w:numPr>
          <w:ilvl w:val="0"/>
          <w:numId w:val="114"/>
        </w:numPr>
        <w:tabs>
          <w:tab w:val="clear" w:pos="720"/>
          <w:tab w:val="left" w:pos="1080" w:leader="none"/>
          <w:tab w:val="left" w:pos="1170" w:leader="none"/>
          <w:tab w:val="left" w:pos="7740" w:leader="none"/>
          <w:tab w:val="left" w:pos="8370" w:leader="none"/>
        </w:tabs>
        <w:jc w:val="both"/>
        <w:rPr>
          <w:rFonts w:ascii="Arial" w:hAnsi="Arial" w:cs="Arial"/>
          <w:sz w:val="24"/>
        </w:rPr>
      </w:pPr>
      <w:r>
        <w:rPr>
          <w:rFonts w:cs="Arial" w:ascii="Arial" w:hAnsi="Arial"/>
          <w:b/>
          <w:bCs/>
          <w:sz w:val="24"/>
        </w:rPr>
        <w:t xml:space="preserve">Lenders have refused to waive the Furnas consent.  </w:t>
      </w:r>
    </w:p>
    <w:p>
      <w:pPr>
        <w:pStyle w:val="Normal"/>
        <w:numPr>
          <w:ilvl w:val="0"/>
          <w:numId w:val="114"/>
        </w:numPr>
        <w:tabs>
          <w:tab w:val="clear" w:pos="720"/>
          <w:tab w:val="left" w:pos="1080" w:leader="none"/>
          <w:tab w:val="left" w:pos="1170" w:leader="none"/>
          <w:tab w:val="left" w:pos="7740" w:leader="none"/>
          <w:tab w:val="left" w:pos="8370" w:leader="none"/>
        </w:tabs>
        <w:jc w:val="both"/>
        <w:rPr>
          <w:rFonts w:ascii="Arial" w:hAnsi="Arial" w:cs="Arial"/>
          <w:sz w:val="24"/>
        </w:rPr>
      </w:pPr>
      <w:r>
        <w:rPr>
          <w:rFonts w:cs="Arial" w:ascii="Arial" w:hAnsi="Arial"/>
          <w:b/>
          <w:bCs/>
          <w:sz w:val="24"/>
        </w:rPr>
        <w:t>ANEEL has issued new regulations incompatible with the PPA which gives rise to an event of default under the contract.</w:t>
      </w:r>
    </w:p>
    <w:p>
      <w:pPr>
        <w:pStyle w:val="Normal"/>
        <w:numPr>
          <w:ilvl w:val="0"/>
          <w:numId w:val="114"/>
        </w:numPr>
        <w:tabs>
          <w:tab w:val="clear" w:pos="720"/>
          <w:tab w:val="left" w:pos="1080" w:leader="none"/>
          <w:tab w:val="left" w:pos="1170" w:leader="none"/>
          <w:tab w:val="left" w:pos="7740" w:leader="none"/>
          <w:tab w:val="left" w:pos="8370" w:leader="none"/>
        </w:tabs>
        <w:jc w:val="both"/>
        <w:rPr>
          <w:rFonts w:ascii="Arial" w:hAnsi="Arial" w:cs="Arial"/>
          <w:sz w:val="24"/>
        </w:rPr>
      </w:pPr>
      <w:r>
        <w:rPr>
          <w:rFonts w:cs="Arial" w:ascii="Arial" w:hAnsi="Arial"/>
          <w:b/>
          <w:bCs/>
          <w:sz w:val="24"/>
        </w:rPr>
        <w:t>EPE is considering various measures to negotiate with Furnas before resorting to arbitration.  Various scenarios could give EPE the right to terminate the contract and put the plant to Furnas.  EPE will also seek to recover losses resulting from govermental actions in Mato Grosso under the Brazilian doctrine of economic equilibrium, and damages for Furnas’ failure to sign the consent.</w:t>
      </w:r>
    </w:p>
    <w:p>
      <w:pPr>
        <w:pStyle w:val="Normal"/>
        <w:ind w:start="720" w:end="0"/>
        <w:jc w:val="both"/>
        <w:rPr>
          <w:rFonts w:ascii="Arial" w:hAnsi="Arial" w:cs="Arial"/>
          <w:sz w:val="24"/>
        </w:rPr>
      </w:pPr>
      <w:r>
        <w:rPr>
          <w:rFonts w:cs="Arial" w:ascii="Arial" w:hAnsi="Arial"/>
          <w:sz w:val="24"/>
        </w:rPr>
      </w:r>
    </w:p>
    <w:p>
      <w:pPr>
        <w:pStyle w:val="Normal"/>
        <w:ind w:start="720" w:end="0"/>
        <w:jc w:val="both"/>
        <w:rPr>
          <w:rFonts w:ascii="Arial" w:hAnsi="Arial" w:cs="Arial"/>
          <w:sz w:val="24"/>
        </w:rPr>
      </w:pPr>
      <w:r>
        <w:rPr>
          <w:rFonts w:cs="Arial" w:ascii="Arial" w:hAnsi="Arial"/>
          <w:sz w:val="24"/>
        </w:rPr>
      </w:r>
    </w:p>
    <w:p>
      <w:pPr>
        <w:pStyle w:val="Normal"/>
        <w:numPr>
          <w:ilvl w:val="0"/>
          <w:numId w:val="89"/>
        </w:numPr>
        <w:rPr>
          <w:rFonts w:ascii="Arial" w:hAnsi="Arial" w:cs="Arial"/>
          <w:b/>
          <w:sz w:val="28"/>
          <w:u w:val="single"/>
        </w:rPr>
      </w:pPr>
      <w:r>
        <w:rPr>
          <w:rFonts w:cs="Arial" w:ascii="Arial" w:hAnsi="Arial"/>
          <w:b/>
          <w:sz w:val="28"/>
          <w:u w:val="single"/>
        </w:rPr>
        <w:t>Gasocidente do Mato Grosso Ltda. (Gas Mat)</w:t>
      </w:r>
    </w:p>
    <w:p>
      <w:pPr>
        <w:pStyle w:val="Heading4"/>
        <w:keepNext w:val="false"/>
        <w:ind w:hanging="0" w:start="720" w:end="0"/>
        <w:jc w:val="center"/>
        <w:rPr>
          <w:rFonts w:ascii="Arial" w:hAnsi="Arial" w:cs="Arial"/>
          <w:b/>
          <w:sz w:val="28"/>
          <w:u w:val="single"/>
        </w:rPr>
      </w:pPr>
      <w:r>
        <w:rPr>
          <w:rFonts w:cs="Arial"/>
          <w:b/>
          <w:sz w:val="28"/>
          <w:u w:val="single"/>
        </w:rPr>
      </w:r>
    </w:p>
    <w:p>
      <w:pPr>
        <w:pStyle w:val="Heading5"/>
        <w:numPr>
          <w:ilvl w:val="0"/>
          <w:numId w:val="123"/>
        </w:numPr>
        <w:tabs>
          <w:tab w:val="clear" w:pos="720"/>
          <w:tab w:val="left" w:pos="1440" w:leader="none"/>
        </w:tabs>
        <w:ind w:hanging="720" w:start="1440" w:end="0"/>
        <w:rPr/>
      </w:pPr>
      <w:r>
        <w:rPr/>
        <w:t>LITIGATION/ARBITRATION</w:t>
      </w:r>
    </w:p>
    <w:p>
      <w:pPr>
        <w:pStyle w:val="Normal"/>
        <w:ind w:start="720" w:end="0"/>
        <w:rPr>
          <w:rFonts w:ascii="Arial" w:hAnsi="Arial" w:cs="Arial"/>
          <w:b/>
          <w:sz w:val="24"/>
        </w:rPr>
      </w:pPr>
      <w:r>
        <w:rPr>
          <w:rFonts w:cs="Arial" w:ascii="Arial" w:hAnsi="Arial"/>
          <w:b/>
          <w:sz w:val="24"/>
        </w:rPr>
      </w:r>
    </w:p>
    <w:p>
      <w:pPr>
        <w:pStyle w:val="Heading5"/>
        <w:keepLines/>
        <w:tabs>
          <w:tab w:val="clear" w:pos="720"/>
          <w:tab w:val="left" w:pos="7740" w:leader="none"/>
        </w:tabs>
        <w:ind w:hanging="0" w:start="1440" w:end="0"/>
        <w:jc w:val="both"/>
        <w:rPr/>
      </w:pPr>
      <w:r>
        <w:rPr>
          <w:u w:val="single"/>
        </w:rPr>
        <w:t>Copyright Litigation</w:t>
      </w:r>
      <w:r>
        <w:rPr/>
        <w:tab/>
        <w:t>(Not Updated)</w:t>
      </w:r>
    </w:p>
    <w:p>
      <w:pPr>
        <w:pStyle w:val="Normal"/>
        <w:keepNext w:val="true"/>
        <w:keepLines/>
        <w:ind w:start="720" w:end="0"/>
        <w:rPr/>
      </w:pPr>
      <w:r>
        <w:rPr>
          <w:rFonts w:cs="Arial" w:ascii="Arial" w:hAnsi="Arial"/>
          <w:b/>
          <w:sz w:val="24"/>
        </w:rPr>
        <w:tab/>
      </w:r>
      <w:r>
        <w:rPr>
          <w:rFonts w:cs="Arial" w:ascii="Arial" w:hAnsi="Arial"/>
          <w:sz w:val="24"/>
        </w:rPr>
        <w:t>(Danneman, Siemsen, Bigler &amp; Ipanema Moreira)</w:t>
      </w:r>
    </w:p>
    <w:p>
      <w:pPr>
        <w:pStyle w:val="Normal"/>
        <w:ind w:start="1440" w:end="0"/>
        <w:rPr>
          <w:rFonts w:ascii="Arial" w:hAnsi="Arial" w:cs="Arial"/>
          <w:sz w:val="24"/>
        </w:rPr>
      </w:pPr>
      <w:r>
        <w:rPr>
          <w:rFonts w:cs="Arial" w:ascii="Arial" w:hAnsi="Arial"/>
          <w:sz w:val="24"/>
        </w:rPr>
      </w:r>
    </w:p>
    <w:p>
      <w:pPr>
        <w:pStyle w:val="Normal"/>
        <w:numPr>
          <w:ilvl w:val="0"/>
          <w:numId w:val="136"/>
        </w:numPr>
        <w:tabs>
          <w:tab w:val="clear" w:pos="720"/>
          <w:tab w:val="left" w:pos="1800" w:leader="none"/>
        </w:tabs>
        <w:ind w:hanging="360" w:start="1800" w:end="0"/>
        <w:rPr>
          <w:rFonts w:ascii="Arial" w:hAnsi="Arial" w:cs="Arial"/>
          <w:sz w:val="24"/>
        </w:rPr>
      </w:pPr>
      <w:r>
        <w:rPr>
          <w:rFonts w:cs="Arial" w:ascii="Arial" w:hAnsi="Arial"/>
          <w:sz w:val="24"/>
        </w:rPr>
        <w:t xml:space="preserve">Gas Mat has been named as a defendant in a copyright suit over its logo caricature of “Joao Buru” the Tuiuiu (state bird of Mato Grosso).  The plaintiff alleges he is the creator of the caricature.  Gas Mat filed a response in late October 2000.  </w:t>
      </w:r>
    </w:p>
    <w:p>
      <w:pPr>
        <w:pStyle w:val="Normal"/>
        <w:ind w:start="720" w:end="0"/>
        <w:rPr>
          <w:rFonts w:ascii="Arial" w:hAnsi="Arial" w:cs="Arial"/>
          <w:sz w:val="24"/>
        </w:rPr>
      </w:pPr>
      <w:r>
        <w:rPr>
          <w:rFonts w:cs="Arial" w:ascii="Arial" w:hAnsi="Arial"/>
          <w:sz w:val="24"/>
        </w:rPr>
      </w:r>
    </w:p>
    <w:p>
      <w:pPr>
        <w:pStyle w:val="Normal"/>
        <w:ind w:start="720" w:end="0"/>
        <w:rPr>
          <w:rFonts w:ascii="Arial" w:hAnsi="Arial" w:cs="Arial"/>
          <w:sz w:val="24"/>
        </w:rPr>
      </w:pPr>
      <w:r>
        <w:rPr>
          <w:rFonts w:cs="Arial" w:ascii="Arial" w:hAnsi="Arial"/>
          <w:sz w:val="24"/>
        </w:rPr>
      </w:r>
    </w:p>
    <w:p>
      <w:pPr>
        <w:pStyle w:val="Heading5"/>
        <w:keepLines/>
        <w:numPr>
          <w:ilvl w:val="0"/>
          <w:numId w:val="123"/>
        </w:numPr>
        <w:tabs>
          <w:tab w:val="clear" w:pos="720"/>
          <w:tab w:val="left" w:pos="1440" w:leader="none"/>
        </w:tabs>
        <w:ind w:hanging="720" w:start="1440" w:end="0"/>
        <w:rPr/>
      </w:pPr>
      <w:r>
        <w:rPr/>
        <w:t>CLAIMS/DISPUTES</w:t>
      </w:r>
    </w:p>
    <w:p>
      <w:pPr>
        <w:pStyle w:val="Normal"/>
        <w:keepNext w:val="true"/>
        <w:keepLines/>
        <w:ind w:start="720" w:end="0"/>
        <w:rPr>
          <w:rFonts w:ascii="Arial" w:hAnsi="Arial" w:cs="Arial"/>
          <w:b/>
          <w:sz w:val="24"/>
        </w:rPr>
      </w:pPr>
      <w:r>
        <w:rPr>
          <w:rFonts w:cs="Arial" w:ascii="Arial" w:hAnsi="Arial"/>
          <w:b/>
          <w:sz w:val="24"/>
        </w:rPr>
      </w:r>
    </w:p>
    <w:p>
      <w:pPr>
        <w:pStyle w:val="BodyText2"/>
        <w:tabs>
          <w:tab w:val="clear" w:pos="7920"/>
          <w:tab w:val="clear" w:pos="8370"/>
          <w:tab w:val="left" w:pos="1080" w:leader="none"/>
          <w:tab w:val="left" w:pos="7740" w:leader="none"/>
        </w:tabs>
        <w:ind w:start="1440" w:end="0"/>
        <w:rPr/>
      </w:pPr>
      <w:r>
        <w:rPr/>
        <w:t>Ridges Region Caceres:  Environmental</w:t>
        <w:tab/>
        <w:t xml:space="preserve">(Not Updated) </w:t>
      </w:r>
    </w:p>
    <w:p>
      <w:pPr>
        <w:pStyle w:val="BodyText2"/>
        <w:ind w:start="1440" w:end="0"/>
        <w:rPr>
          <w:b w:val="false"/>
          <w:u w:val="single"/>
        </w:rPr>
      </w:pPr>
      <w:r>
        <w:rPr/>
        <w:t>Investigation of the Bolivia to Mato Grosso Pipeline</w:t>
      </w:r>
    </w:p>
    <w:p>
      <w:pPr>
        <w:pStyle w:val="BodyText2"/>
        <w:ind w:start="1440" w:end="0"/>
        <w:rPr>
          <w:b w:val="false"/>
        </w:rPr>
      </w:pPr>
      <w:r>
        <w:rPr>
          <w:b w:val="false"/>
        </w:rPr>
        <w:t>(Administrative procedure) (Enron's Interest: 50%)</w:t>
      </w:r>
    </w:p>
    <w:p>
      <w:pPr>
        <w:pStyle w:val="BodyText2"/>
        <w:ind w:start="1440" w:end="0"/>
        <w:rPr>
          <w:b w:val="false"/>
        </w:rPr>
      </w:pPr>
      <w:r>
        <w:rPr>
          <w:b w:val="false"/>
        </w:rPr>
      </w:r>
    </w:p>
    <w:p>
      <w:pPr>
        <w:pStyle w:val="BodyText2"/>
        <w:numPr>
          <w:ilvl w:val="0"/>
          <w:numId w:val="161"/>
        </w:numPr>
        <w:tabs>
          <w:tab w:val="clear" w:pos="1080"/>
          <w:tab w:val="left" w:pos="1800" w:leader="none"/>
          <w:tab w:val="left" w:pos="7920" w:leader="none"/>
          <w:tab w:val="left" w:pos="8370" w:leader="none"/>
        </w:tabs>
        <w:ind w:hanging="360" w:start="1800" w:end="0"/>
        <w:rPr>
          <w:b w:val="false"/>
        </w:rPr>
      </w:pPr>
      <w:r>
        <w:rPr>
          <w:b w:val="false"/>
        </w:rPr>
        <w:t>On February 21, 2000, the Attorney General of Mato Grosso conducted an environmental investigation of the Bolivia to Mato Grosso pipeline being constructed through the mountainous region of Caceres to bring gas to the EPE plant in Cuiaba.  The region is environmentally sensitive containing protected caves, sinkholes, rock, flora, and fauna.  Prior to construction, IBAMA, the federal environmental agency, had issued to Gas Mat a license to build the pipeline.</w:t>
      </w:r>
    </w:p>
    <w:p>
      <w:pPr>
        <w:pStyle w:val="BodyText2"/>
        <w:keepNext w:val="false"/>
        <w:keepLines w:val="false"/>
        <w:numPr>
          <w:ilvl w:val="0"/>
          <w:numId w:val="151"/>
        </w:numPr>
        <w:tabs>
          <w:tab w:val="clear" w:pos="1080"/>
          <w:tab w:val="left" w:pos="1800" w:leader="none"/>
          <w:tab w:val="left" w:pos="7920" w:leader="none"/>
          <w:tab w:val="left" w:pos="8370" w:leader="none"/>
        </w:tabs>
        <w:ind w:hanging="360" w:start="1800" w:end="0"/>
        <w:rPr>
          <w:b w:val="false"/>
        </w:rPr>
      </w:pPr>
      <w:r>
        <w:rPr>
          <w:b w:val="false"/>
        </w:rPr>
        <w:t>Although construction was temporarily suspended, IBAMA issued a new construction license to Gas Mat to reroute the pipeline and construction was reinstated.</w:t>
      </w:r>
    </w:p>
    <w:p>
      <w:pPr>
        <w:pStyle w:val="BodyText2"/>
        <w:keepNext w:val="false"/>
        <w:keepLines w:val="false"/>
        <w:numPr>
          <w:ilvl w:val="0"/>
          <w:numId w:val="151"/>
        </w:numPr>
        <w:tabs>
          <w:tab w:val="clear" w:pos="1080"/>
          <w:tab w:val="left" w:pos="1800" w:leader="none"/>
          <w:tab w:val="left" w:pos="7920" w:leader="none"/>
          <w:tab w:val="left" w:pos="8370" w:leader="none"/>
        </w:tabs>
        <w:ind w:hanging="360" w:start="1800" w:end="0"/>
        <w:rPr>
          <w:b w:val="false"/>
        </w:rPr>
      </w:pPr>
      <w:r>
        <w:rPr>
          <w:b w:val="false"/>
        </w:rPr>
        <w:t xml:space="preserve">Gas Mat </w:t>
      </w:r>
      <w:r>
        <w:rPr>
          <w:b w:val="false"/>
          <w:bCs/>
        </w:rPr>
        <w:t>has entered into an agreement (Termo do Adjustamento)</w:t>
      </w:r>
      <w:r>
        <w:rPr>
          <w:b w:val="false"/>
        </w:rPr>
        <w:t xml:space="preserve"> with the Attorney General regarding compensatory measures it will adopt </w:t>
      </w:r>
      <w:r>
        <w:rPr>
          <w:b w:val="false"/>
          <w:bCs/>
        </w:rPr>
        <w:t xml:space="preserve">to minimize </w:t>
      </w:r>
      <w:r>
        <w:rPr>
          <w:b w:val="false"/>
        </w:rPr>
        <w:t xml:space="preserve">the impact caused in this sensitive region.  A state-appointed expert </w:t>
      </w:r>
      <w:r>
        <w:rPr>
          <w:b w:val="false"/>
          <w:bCs/>
        </w:rPr>
        <w:t>continues to monitor</w:t>
      </w:r>
      <w:r>
        <w:rPr>
          <w:b w:val="false"/>
        </w:rPr>
        <w:t xml:space="preserve"> the construction.  </w:t>
      </w:r>
    </w:p>
    <w:p>
      <w:pPr>
        <w:pStyle w:val="BodyText2"/>
        <w:keepNext w:val="false"/>
        <w:keepLines w:val="false"/>
        <w:numPr>
          <w:ilvl w:val="0"/>
          <w:numId w:val="151"/>
        </w:numPr>
        <w:tabs>
          <w:tab w:val="clear" w:pos="1080"/>
          <w:tab w:val="left" w:pos="1800" w:leader="none"/>
          <w:tab w:val="left" w:pos="7920" w:leader="none"/>
          <w:tab w:val="left" w:pos="8370" w:leader="none"/>
        </w:tabs>
        <w:ind w:hanging="360" w:start="1800" w:end="0"/>
        <w:rPr>
          <w:b w:val="false"/>
        </w:rPr>
      </w:pPr>
      <w:r>
        <w:rPr>
          <w:b w:val="false"/>
        </w:rPr>
        <w:t>The delay caused by this unanticipated governmental action constitutes a force majeure event under the PPA between Furnas and EPE which Furnas disputes.  (See EPE dispute of Furnas above.)</w:t>
      </w:r>
    </w:p>
    <w:p>
      <w:pPr>
        <w:pStyle w:val="Header"/>
        <w:tabs>
          <w:tab w:val="clear" w:pos="4320"/>
          <w:tab w:val="clear" w:pos="8640"/>
        </w:tabs>
        <w:spacing w:lineRule="atLeast" w:line="240"/>
        <w:ind w:start="1440" w:end="0"/>
        <w:rPr>
          <w:rFonts w:ascii="Arial" w:hAnsi="Arial" w:cs="Arial"/>
          <w:b/>
          <w:sz w:val="24"/>
        </w:rPr>
      </w:pPr>
      <w:r>
        <w:rPr>
          <w:rFonts w:cs="Arial" w:ascii="Arial" w:hAnsi="Arial"/>
          <w:b/>
          <w:sz w:val="24"/>
        </w:rPr>
      </w:r>
    </w:p>
    <w:p>
      <w:pPr>
        <w:pStyle w:val="Header"/>
        <w:tabs>
          <w:tab w:val="clear" w:pos="4320"/>
          <w:tab w:val="clear" w:pos="8640"/>
        </w:tabs>
        <w:spacing w:lineRule="atLeast" w:line="240"/>
        <w:ind w:start="1440" w:end="0"/>
        <w:rPr>
          <w:rFonts w:ascii="Arial" w:hAnsi="Arial" w:cs="Arial"/>
          <w:sz w:val="24"/>
        </w:rPr>
      </w:pPr>
      <w:r>
        <w:rPr>
          <w:rFonts w:cs="Arial" w:ascii="Arial" w:hAnsi="Arial"/>
          <w:sz w:val="24"/>
        </w:rPr>
      </w:r>
    </w:p>
    <w:p>
      <w:pPr>
        <w:pStyle w:val="BodyText"/>
        <w:keepNext w:val="true"/>
        <w:keepLines/>
        <w:numPr>
          <w:ilvl w:val="0"/>
          <w:numId w:val="89"/>
        </w:numPr>
        <w:tabs>
          <w:tab w:val="clear" w:pos="720"/>
          <w:tab w:val="left" w:pos="1080" w:leader="none"/>
          <w:tab w:val="left" w:pos="1170" w:leader="none"/>
          <w:tab w:val="left" w:pos="7740" w:leader="none"/>
          <w:tab w:val="left" w:pos="8370" w:leader="none"/>
        </w:tabs>
        <w:jc w:val="start"/>
        <w:rPr>
          <w:b/>
          <w:sz w:val="28"/>
          <w:u w:val="single"/>
        </w:rPr>
      </w:pPr>
      <w:r>
        <w:rPr>
          <w:b/>
          <w:sz w:val="28"/>
          <w:u w:val="single"/>
        </w:rPr>
        <w:t>Companhia Estadual de Gas do Rio de Janeiro - CEG</w:t>
      </w:r>
    </w:p>
    <w:p>
      <w:pPr>
        <w:pStyle w:val="Normal"/>
        <w:keepNext w:val="true"/>
        <w:keepLines/>
        <w:tabs>
          <w:tab w:val="clear" w:pos="720"/>
          <w:tab w:val="left" w:pos="1080" w:leader="none"/>
          <w:tab w:val="left" w:pos="1170" w:leader="none"/>
          <w:tab w:val="left" w:pos="7740" w:leader="none"/>
          <w:tab w:val="left" w:pos="8370" w:leader="none"/>
        </w:tabs>
        <w:ind w:start="720" w:end="0"/>
        <w:jc w:val="both"/>
        <w:rPr>
          <w:rFonts w:ascii="Arial" w:hAnsi="Arial" w:cs="Arial"/>
          <w:b/>
          <w:sz w:val="24"/>
          <w:u w:val="single"/>
        </w:rPr>
      </w:pPr>
      <w:r>
        <w:rPr>
          <w:rFonts w:cs="Arial" w:ascii="Arial" w:hAnsi="Arial"/>
          <w:b/>
          <w:sz w:val="24"/>
          <w:u w:val="single"/>
        </w:rPr>
      </w:r>
    </w:p>
    <w:p>
      <w:pPr>
        <w:pStyle w:val="BodyText"/>
        <w:keepNext w:val="true"/>
        <w:keepLines/>
        <w:ind w:start="720" w:end="0"/>
        <w:rPr>
          <w:b/>
        </w:rPr>
      </w:pPr>
      <w:r>
        <w:rPr>
          <w:b/>
        </w:rPr>
        <w:t>I.</w:t>
        <w:tab/>
        <w:t>LITIGATION/ARBITRATION</w:t>
      </w:r>
    </w:p>
    <w:p>
      <w:pPr>
        <w:pStyle w:val="Normal"/>
        <w:keepNext w:val="true"/>
        <w:keepLines/>
        <w:tabs>
          <w:tab w:val="clear" w:pos="720"/>
          <w:tab w:val="left" w:pos="1080" w:leader="none"/>
          <w:tab w:val="left" w:pos="1170" w:leader="none"/>
          <w:tab w:val="left" w:pos="7740" w:leader="none"/>
          <w:tab w:val="left" w:pos="8370" w:leader="none"/>
        </w:tabs>
        <w:ind w:start="720" w:end="0"/>
        <w:jc w:val="both"/>
        <w:rPr>
          <w:rFonts w:ascii="Arial" w:hAnsi="Arial" w:cs="Arial"/>
          <w:b/>
          <w:sz w:val="24"/>
        </w:rPr>
      </w:pPr>
      <w:r>
        <w:rPr>
          <w:rFonts w:cs="Arial" w:ascii="Arial" w:hAnsi="Arial"/>
          <w:b/>
          <w:sz w:val="24"/>
        </w:rPr>
      </w:r>
    </w:p>
    <w:p>
      <w:pPr>
        <w:pStyle w:val="Heading9"/>
        <w:keepLines/>
        <w:tabs>
          <w:tab w:val="clear" w:pos="720"/>
          <w:tab w:val="left" w:pos="1080" w:leader="none"/>
          <w:tab w:val="left" w:pos="1170" w:leader="none"/>
          <w:tab w:val="left" w:pos="1440" w:leader="none"/>
          <w:tab w:val="left" w:pos="7740" w:leader="none"/>
          <w:tab w:val="left" w:pos="8370" w:leader="none"/>
        </w:tabs>
        <w:ind w:hanging="0" w:start="1440" w:end="0"/>
        <w:rPr/>
      </w:pPr>
      <w:r>
        <w:rPr/>
        <w:t>None</w:t>
      </w:r>
    </w:p>
    <w:p>
      <w:pPr>
        <w:pStyle w:val="Normal"/>
        <w:tabs>
          <w:tab w:val="left" w:pos="720" w:leader="none"/>
          <w:tab w:val="left" w:pos="1080" w:leader="none"/>
          <w:tab w:val="left" w:pos="1170" w:leader="none"/>
          <w:tab w:val="left" w:pos="7740" w:leader="none"/>
          <w:tab w:val="left" w:pos="8370" w:leader="none"/>
        </w:tabs>
        <w:ind w:start="720" w:end="0"/>
        <w:jc w:val="both"/>
        <w:rPr>
          <w:rFonts w:ascii="Arial" w:hAnsi="Arial" w:cs="Arial"/>
          <w:sz w:val="24"/>
        </w:rPr>
      </w:pPr>
      <w:r>
        <w:rPr>
          <w:rFonts w:cs="Arial" w:ascii="Arial" w:hAnsi="Arial"/>
          <w:sz w:val="24"/>
        </w:rPr>
      </w:r>
    </w:p>
    <w:p>
      <w:pPr>
        <w:pStyle w:val="Normal"/>
        <w:tabs>
          <w:tab w:val="left" w:pos="720" w:leader="none"/>
          <w:tab w:val="left" w:pos="1080" w:leader="none"/>
          <w:tab w:val="left" w:pos="1170" w:leader="none"/>
          <w:tab w:val="left" w:pos="7740" w:leader="none"/>
          <w:tab w:val="left" w:pos="8370" w:leader="none"/>
        </w:tabs>
        <w:ind w:start="720" w:end="0"/>
        <w:jc w:val="both"/>
        <w:rPr>
          <w:rFonts w:ascii="Arial" w:hAnsi="Arial" w:cs="Arial"/>
          <w:sz w:val="24"/>
        </w:rPr>
      </w:pPr>
      <w:r>
        <w:rPr>
          <w:rFonts w:cs="Arial" w:ascii="Arial" w:hAnsi="Arial"/>
          <w:sz w:val="24"/>
        </w:rPr>
      </w:r>
    </w:p>
    <w:p>
      <w:pPr>
        <w:pStyle w:val="Heading6"/>
        <w:keepNext w:val="false"/>
        <w:ind w:hanging="0" w:start="720" w:end="0"/>
        <w:rPr/>
      </w:pPr>
      <w:r>
        <w:rPr/>
        <w:t>II.</w:t>
        <w:tab/>
        <w:t>CLAIMS/DISPUTES</w:t>
      </w:r>
    </w:p>
    <w:p>
      <w:pPr>
        <w:pStyle w:val="Normal"/>
        <w:tabs>
          <w:tab w:val="clear" w:pos="720"/>
          <w:tab w:val="left" w:pos="1080" w:leader="none"/>
          <w:tab w:val="left" w:pos="1170" w:leader="none"/>
          <w:tab w:val="left" w:pos="7740" w:leader="none"/>
          <w:tab w:val="left" w:pos="8370" w:leader="none"/>
        </w:tabs>
        <w:ind w:start="720" w:end="0"/>
        <w:jc w:val="both"/>
        <w:rPr>
          <w:rFonts w:ascii="Arial" w:hAnsi="Arial" w:cs="Arial"/>
          <w:sz w:val="24"/>
        </w:rPr>
      </w:pPr>
      <w:r>
        <w:rPr>
          <w:rFonts w:cs="Arial" w:ascii="Arial" w:hAnsi="Arial"/>
          <w:sz w:val="24"/>
        </w:rPr>
      </w:r>
    </w:p>
    <w:p>
      <w:pPr>
        <w:pStyle w:val="Normal"/>
        <w:tabs>
          <w:tab w:val="clear" w:pos="720"/>
          <w:tab w:val="left" w:pos="7740" w:leader="none"/>
        </w:tabs>
        <w:ind w:start="1440" w:end="0"/>
        <w:jc w:val="both"/>
        <w:rPr>
          <w:rFonts w:ascii="Arial" w:hAnsi="Arial" w:cs="Arial"/>
          <w:b/>
          <w:color w:val="000000"/>
          <w:sz w:val="24"/>
        </w:rPr>
      </w:pPr>
      <w:r>
        <w:rPr>
          <w:rFonts w:cs="Arial" w:ascii="Arial" w:hAnsi="Arial"/>
          <w:b/>
          <w:color w:val="000000"/>
          <w:sz w:val="24"/>
        </w:rPr>
        <w:t xml:space="preserve">Conselho Administrativo de Defesa Econômia </w:t>
      </w:r>
      <w:r>
        <w:rPr>
          <w:rFonts w:cs="Arial" w:ascii="Arial" w:hAnsi="Arial"/>
          <w:b/>
          <w:sz w:val="24"/>
        </w:rPr>
        <w:tab/>
        <w:t>(Not Updated)</w:t>
      </w:r>
    </w:p>
    <w:p>
      <w:pPr>
        <w:pStyle w:val="Normal"/>
        <w:tabs>
          <w:tab w:val="clear" w:pos="720"/>
          <w:tab w:val="left" w:pos="7740" w:leader="none"/>
        </w:tabs>
        <w:ind w:start="1440" w:end="0"/>
        <w:jc w:val="both"/>
        <w:rPr>
          <w:rFonts w:ascii="Arial" w:hAnsi="Arial" w:cs="Arial"/>
          <w:b/>
          <w:sz w:val="24"/>
        </w:rPr>
      </w:pPr>
      <w:r>
        <w:rPr>
          <w:rFonts w:cs="Arial" w:ascii="Arial" w:hAnsi="Arial"/>
          <w:b/>
          <w:color w:val="000000"/>
          <w:sz w:val="24"/>
        </w:rPr>
        <w:t>(Administrative Counsel for Economic Defense)</w:t>
      </w:r>
    </w:p>
    <w:p>
      <w:pPr>
        <w:pStyle w:val="Normal"/>
        <w:ind w:start="1440" w:end="0"/>
        <w:jc w:val="both"/>
        <w:rPr/>
      </w:pPr>
      <w:r>
        <w:rPr>
          <w:rFonts w:cs="Arial" w:ascii="Arial" w:hAnsi="Arial"/>
          <w:color w:val="000000"/>
          <w:sz w:val="24"/>
        </w:rPr>
        <w:t>(Caleira Palma Advogados)</w:t>
      </w:r>
      <w:r>
        <w:rPr>
          <w:rFonts w:cs="Arial" w:ascii="Arial" w:hAnsi="Arial"/>
          <w:sz w:val="24"/>
        </w:rPr>
        <w:t xml:space="preserve"> (Enron’s Interest: 33.75%)</w:t>
      </w:r>
    </w:p>
    <w:p>
      <w:pPr>
        <w:pStyle w:val="Normal"/>
        <w:tabs>
          <w:tab w:val="clear" w:pos="720"/>
          <w:tab w:val="left" w:pos="1080" w:leader="none"/>
          <w:tab w:val="left" w:pos="1170" w:leader="none"/>
          <w:tab w:val="left" w:pos="7740" w:leader="none"/>
          <w:tab w:val="left" w:pos="8370" w:leader="none"/>
        </w:tabs>
        <w:ind w:start="1440" w:end="0"/>
        <w:jc w:val="both"/>
        <w:rPr>
          <w:rFonts w:ascii="Arial" w:hAnsi="Arial" w:cs="Arial"/>
          <w:sz w:val="24"/>
        </w:rPr>
      </w:pPr>
      <w:r>
        <w:rPr>
          <w:rFonts w:cs="Arial" w:ascii="Arial" w:hAnsi="Arial"/>
          <w:sz w:val="24"/>
        </w:rPr>
      </w:r>
    </w:p>
    <w:p>
      <w:pPr>
        <w:pStyle w:val="Normal"/>
        <w:numPr>
          <w:ilvl w:val="0"/>
          <w:numId w:val="102"/>
        </w:numPr>
        <w:tabs>
          <w:tab w:val="clear" w:pos="720"/>
          <w:tab w:val="left" w:pos="1800" w:leader="none"/>
        </w:tabs>
        <w:ind w:hanging="360" w:start="1800" w:end="0"/>
        <w:jc w:val="both"/>
        <w:rPr>
          <w:rFonts w:ascii="Arial" w:hAnsi="Arial" w:cs="Arial"/>
          <w:sz w:val="24"/>
        </w:rPr>
      </w:pPr>
      <w:r>
        <w:rPr>
          <w:rFonts w:cs="Arial" w:ascii="Arial" w:hAnsi="Arial"/>
          <w:sz w:val="24"/>
        </w:rPr>
        <w:t xml:space="preserve">This matter involves an administrative complaint of abusive pricing filed by four of CEG/Rio's large industrial customers.  CEG/Rio's pricing was approved by the energy regulators.  This is a challenge to the anticompetition regulatory body.  </w:t>
      </w:r>
    </w:p>
    <w:p>
      <w:pPr>
        <w:pStyle w:val="Normal"/>
        <w:numPr>
          <w:ilvl w:val="0"/>
          <w:numId w:val="102"/>
        </w:numPr>
        <w:tabs>
          <w:tab w:val="clear" w:pos="720"/>
          <w:tab w:val="left" w:pos="1800" w:leader="none"/>
        </w:tabs>
        <w:ind w:hanging="360" w:start="1800" w:end="0"/>
        <w:jc w:val="both"/>
        <w:rPr>
          <w:rFonts w:ascii="Arial" w:hAnsi="Arial" w:cs="Arial"/>
          <w:sz w:val="24"/>
        </w:rPr>
      </w:pPr>
      <w:r>
        <w:rPr>
          <w:rFonts w:cs="Arial" w:ascii="Arial" w:hAnsi="Arial"/>
          <w:sz w:val="24"/>
        </w:rPr>
        <w:t xml:space="preserve">CADE has issued a temporary order preventing CEG/Rio from collecting its distribution margin.  No decision on the merits has yet been made.  Counsel opines that CEG/Rio should prevail in the case.  </w:t>
      </w:r>
    </w:p>
    <w:p>
      <w:pPr>
        <w:pStyle w:val="Normal"/>
        <w:numPr>
          <w:ilvl w:val="0"/>
          <w:numId w:val="102"/>
        </w:numPr>
        <w:tabs>
          <w:tab w:val="clear" w:pos="720"/>
          <w:tab w:val="left" w:pos="1800" w:leader="none"/>
        </w:tabs>
        <w:ind w:hanging="360" w:start="1800" w:end="0"/>
        <w:jc w:val="both"/>
        <w:rPr>
          <w:rFonts w:ascii="Arial" w:hAnsi="Arial" w:cs="Arial"/>
          <w:sz w:val="24"/>
        </w:rPr>
      </w:pPr>
      <w:r>
        <w:rPr>
          <w:rFonts w:cs="Arial" w:ascii="Arial" w:hAnsi="Arial"/>
          <w:sz w:val="24"/>
        </w:rPr>
        <w:t>CEG/Rio is presently submitting additional information to CADE.  If CEG/Rio ultimately is found to have violated the anticompetition law, it will not be able to recoup its lost revenues (roughly US$9 million 8/8ths for the past two years), but there should be no additional penalty.</w:t>
      </w:r>
    </w:p>
    <w:p>
      <w:pPr>
        <w:pStyle w:val="Normal"/>
        <w:tabs>
          <w:tab w:val="clear" w:pos="720"/>
          <w:tab w:val="left" w:pos="1080" w:leader="none"/>
          <w:tab w:val="left" w:pos="1170" w:leader="none"/>
          <w:tab w:val="left" w:pos="7740" w:leader="none"/>
          <w:tab w:val="left" w:pos="8370" w:leader="none"/>
        </w:tabs>
        <w:ind w:start="720" w:end="0"/>
        <w:jc w:val="both"/>
        <w:rPr>
          <w:rFonts w:ascii="Arial" w:hAnsi="Arial" w:cs="Arial"/>
          <w:sz w:val="24"/>
        </w:rPr>
      </w:pPr>
      <w:r>
        <w:rPr>
          <w:rFonts w:cs="Arial" w:ascii="Arial" w:hAnsi="Arial"/>
          <w:sz w:val="24"/>
        </w:rPr>
      </w:r>
    </w:p>
    <w:p>
      <w:pPr>
        <w:pStyle w:val="Normal"/>
        <w:tabs>
          <w:tab w:val="left" w:pos="720" w:leader="none"/>
          <w:tab w:val="left" w:pos="7740" w:leader="none"/>
          <w:tab w:val="left" w:pos="8370" w:leader="none"/>
        </w:tabs>
        <w:ind w:start="1440" w:end="0"/>
        <w:jc w:val="both"/>
        <w:rPr>
          <w:rFonts w:ascii="Arial" w:hAnsi="Arial" w:cs="Arial"/>
          <w:b/>
          <w:sz w:val="24"/>
        </w:rPr>
      </w:pPr>
      <w:r>
        <w:rPr>
          <w:rFonts w:cs="Arial" w:ascii="Arial" w:hAnsi="Arial"/>
          <w:b/>
          <w:sz w:val="24"/>
        </w:rPr>
        <w:t>CEG/Rio Acquisition Approval</w:t>
        <w:tab/>
        <w:t>(Not Updated)</w:t>
      </w:r>
    </w:p>
    <w:p>
      <w:pPr>
        <w:pStyle w:val="Normal"/>
        <w:tabs>
          <w:tab w:val="left" w:pos="720" w:leader="none"/>
          <w:tab w:val="left" w:pos="7740" w:leader="none"/>
          <w:tab w:val="left" w:pos="8370" w:leader="none"/>
        </w:tabs>
        <w:ind w:start="720" w:end="0"/>
        <w:jc w:val="both"/>
        <w:rPr>
          <w:rFonts w:ascii="Arial" w:hAnsi="Arial" w:cs="Arial"/>
          <w:b/>
          <w:sz w:val="24"/>
        </w:rPr>
      </w:pPr>
      <w:r>
        <w:rPr>
          <w:rFonts w:cs="Arial" w:ascii="Arial" w:hAnsi="Arial"/>
          <w:b/>
          <w:sz w:val="24"/>
        </w:rPr>
      </w:r>
    </w:p>
    <w:p>
      <w:pPr>
        <w:pStyle w:val="Normal"/>
        <w:numPr>
          <w:ilvl w:val="0"/>
          <w:numId w:val="84"/>
        </w:numPr>
        <w:tabs>
          <w:tab w:val="clear" w:pos="720"/>
          <w:tab w:val="left" w:pos="1170" w:leader="none"/>
          <w:tab w:val="left" w:pos="1800" w:leader="none"/>
          <w:tab w:val="left" w:pos="7740" w:leader="none"/>
          <w:tab w:val="left" w:pos="8370" w:leader="none"/>
        </w:tabs>
        <w:ind w:hanging="360" w:start="1800" w:end="0"/>
        <w:jc w:val="both"/>
        <w:rPr>
          <w:rFonts w:ascii="Arial" w:hAnsi="Arial" w:cs="Arial"/>
          <w:sz w:val="24"/>
        </w:rPr>
      </w:pPr>
      <w:r>
        <w:rPr>
          <w:rFonts w:cs="Arial" w:ascii="Arial" w:hAnsi="Arial"/>
          <w:sz w:val="24"/>
        </w:rPr>
        <w:t>The Secretary of Economic Law of the Ministry of Justice (“SDE”) recommended that CADE approve Enron’s and others’ acquisitions of CEG and CEG/Rio.</w:t>
      </w:r>
    </w:p>
    <w:p>
      <w:pPr>
        <w:pStyle w:val="Normal"/>
        <w:numPr>
          <w:ilvl w:val="0"/>
          <w:numId w:val="37"/>
        </w:numPr>
        <w:tabs>
          <w:tab w:val="clear" w:pos="720"/>
          <w:tab w:val="left" w:pos="1170" w:leader="none"/>
          <w:tab w:val="left" w:pos="1800" w:leader="none"/>
          <w:tab w:val="left" w:pos="7740" w:leader="none"/>
          <w:tab w:val="left" w:pos="8370" w:leader="none"/>
        </w:tabs>
        <w:ind w:hanging="360" w:start="1800" w:end="0"/>
        <w:jc w:val="both"/>
        <w:rPr>
          <w:rFonts w:ascii="Arial" w:hAnsi="Arial" w:cs="Arial"/>
          <w:sz w:val="24"/>
        </w:rPr>
      </w:pPr>
      <w:r>
        <w:rPr>
          <w:rFonts w:cs="Arial" w:ascii="Arial" w:hAnsi="Arial"/>
          <w:sz w:val="24"/>
        </w:rPr>
        <w:t>Enron objects to some of the recommendations and seeks additional information concerning implementation and the compensation to Enron.</w:t>
      </w:r>
    </w:p>
    <w:p>
      <w:pPr>
        <w:pStyle w:val="Normal"/>
        <w:numPr>
          <w:ilvl w:val="0"/>
          <w:numId w:val="37"/>
        </w:numPr>
        <w:tabs>
          <w:tab w:val="clear" w:pos="720"/>
          <w:tab w:val="left" w:pos="1170" w:leader="none"/>
          <w:tab w:val="left" w:pos="1800" w:leader="none"/>
          <w:tab w:val="left" w:pos="7740" w:leader="none"/>
          <w:tab w:val="left" w:pos="8370" w:leader="none"/>
        </w:tabs>
        <w:ind w:hanging="360" w:start="1800" w:end="0"/>
        <w:jc w:val="both"/>
        <w:rPr>
          <w:rFonts w:ascii="Arial" w:hAnsi="Arial" w:cs="Arial"/>
          <w:sz w:val="24"/>
        </w:rPr>
      </w:pPr>
      <w:r>
        <w:rPr>
          <w:rFonts w:cs="Arial" w:ascii="Arial" w:hAnsi="Arial"/>
          <w:sz w:val="24"/>
        </w:rPr>
        <w:t>A CADE representative has indicated that CADE does not intend to adopt SDE's recommendations.</w:t>
      </w:r>
    </w:p>
    <w:p>
      <w:pPr>
        <w:pStyle w:val="Normal"/>
        <w:tabs>
          <w:tab w:val="clear" w:pos="720"/>
          <w:tab w:val="left" w:pos="1170" w:leader="none"/>
          <w:tab w:val="left" w:pos="7740" w:leader="none"/>
          <w:tab w:val="left" w:pos="8370" w:leader="none"/>
        </w:tabs>
        <w:ind w:start="720" w:end="0"/>
        <w:jc w:val="both"/>
        <w:rPr>
          <w:rFonts w:ascii="Arial" w:hAnsi="Arial" w:cs="Arial"/>
          <w:sz w:val="24"/>
        </w:rPr>
      </w:pPr>
      <w:r>
        <w:rPr>
          <w:rFonts w:cs="Arial" w:ascii="Arial" w:hAnsi="Arial"/>
          <w:sz w:val="24"/>
        </w:rPr>
      </w:r>
    </w:p>
    <w:p>
      <w:pPr>
        <w:pStyle w:val="Normal"/>
        <w:tabs>
          <w:tab w:val="clear" w:pos="720"/>
          <w:tab w:val="left" w:pos="1170" w:leader="none"/>
          <w:tab w:val="left" w:pos="7740" w:leader="none"/>
          <w:tab w:val="left" w:pos="8370" w:leader="none"/>
        </w:tabs>
        <w:ind w:start="720" w:end="0"/>
        <w:jc w:val="both"/>
        <w:rPr>
          <w:rFonts w:ascii="Arial" w:hAnsi="Arial" w:cs="Arial"/>
          <w:sz w:val="24"/>
        </w:rPr>
      </w:pPr>
      <w:r>
        <w:rPr>
          <w:rFonts w:cs="Arial" w:ascii="Arial" w:hAnsi="Arial"/>
          <w:sz w:val="24"/>
        </w:rPr>
      </w:r>
    </w:p>
    <w:p>
      <w:pPr>
        <w:pStyle w:val="Normal"/>
        <w:tabs>
          <w:tab w:val="clear" w:pos="720"/>
          <w:tab w:val="left" w:pos="1170" w:leader="none"/>
          <w:tab w:val="left" w:pos="6930" w:leader="none"/>
          <w:tab w:val="left" w:pos="7740" w:leader="none"/>
          <w:tab w:val="left" w:pos="8370" w:leader="none"/>
        </w:tabs>
        <w:jc w:val="both"/>
        <w:rPr>
          <w:rFonts w:ascii="Arial" w:hAnsi="Arial" w:cs="Arial"/>
          <w:b/>
          <w:sz w:val="28"/>
          <w:u w:val="single"/>
        </w:rPr>
      </w:pPr>
      <w:r>
        <w:rPr>
          <w:rFonts w:cs="Arial" w:ascii="Arial" w:hAnsi="Arial"/>
          <w:b/>
          <w:sz w:val="28"/>
          <w:u w:val="single"/>
        </w:rPr>
        <w:t>COLOMBIA</w:t>
      </w:r>
    </w:p>
    <w:p>
      <w:pPr>
        <w:pStyle w:val="Normal"/>
        <w:keepNext w:val="true"/>
        <w:keepLines/>
        <w:ind w:start="720" w:end="0"/>
        <w:jc w:val="center"/>
        <w:rPr>
          <w:rFonts w:ascii="Arial" w:hAnsi="Arial" w:cs="Arial"/>
          <w:b/>
          <w:sz w:val="28"/>
          <w:u w:val="single"/>
        </w:rPr>
      </w:pPr>
      <w:r>
        <w:rPr>
          <w:rFonts w:cs="Arial" w:ascii="Arial" w:hAnsi="Arial"/>
          <w:b/>
          <w:sz w:val="28"/>
          <w:u w:val="single"/>
        </w:rPr>
      </w:r>
    </w:p>
    <w:p>
      <w:pPr>
        <w:pStyle w:val="Normal"/>
        <w:keepNext w:val="true"/>
        <w:keepLines/>
        <w:numPr>
          <w:ilvl w:val="0"/>
          <w:numId w:val="140"/>
        </w:numPr>
        <w:rPr>
          <w:rFonts w:ascii="Arial" w:hAnsi="Arial" w:cs="Arial"/>
          <w:b/>
          <w:sz w:val="28"/>
          <w:u w:val="single"/>
        </w:rPr>
      </w:pPr>
      <w:r>
        <w:rPr>
          <w:rFonts w:cs="Arial" w:ascii="Arial" w:hAnsi="Arial"/>
          <w:b/>
          <w:sz w:val="28"/>
          <w:u w:val="single"/>
        </w:rPr>
        <w:t>Centragas</w:t>
      </w:r>
    </w:p>
    <w:p>
      <w:pPr>
        <w:pStyle w:val="Normal"/>
        <w:keepNext w:val="true"/>
        <w:keepLines/>
        <w:ind w:start="720" w:end="0"/>
        <w:jc w:val="center"/>
        <w:rPr>
          <w:rFonts w:ascii="Arial" w:hAnsi="Arial" w:cs="Arial"/>
          <w:b/>
          <w:sz w:val="24"/>
          <w:u w:val="single"/>
        </w:rPr>
      </w:pPr>
      <w:r>
        <w:rPr>
          <w:rFonts w:cs="Arial" w:ascii="Arial" w:hAnsi="Arial"/>
          <w:b/>
          <w:sz w:val="24"/>
          <w:u w:val="single"/>
        </w:rPr>
      </w:r>
    </w:p>
    <w:p>
      <w:pPr>
        <w:pStyle w:val="Heading5"/>
        <w:keepLines/>
        <w:ind w:hanging="0" w:start="720" w:end="0"/>
        <w:rPr/>
      </w:pPr>
      <w:r>
        <w:rPr/>
        <w:t>I.</w:t>
        <w:tab/>
        <w:t>LITIGATION/ARBITRATION</w:t>
      </w:r>
    </w:p>
    <w:p>
      <w:pPr>
        <w:pStyle w:val="Normal"/>
        <w:keepNext w:val="true"/>
        <w:keepLines/>
        <w:tabs>
          <w:tab w:val="clear" w:pos="720"/>
          <w:tab w:val="left" w:pos="1080" w:leader="none"/>
        </w:tabs>
        <w:ind w:hanging="360" w:start="1800" w:end="0"/>
        <w:rPr>
          <w:rFonts w:ascii="Arial" w:hAnsi="Arial" w:cs="Arial"/>
          <w:b/>
          <w:sz w:val="24"/>
        </w:rPr>
      </w:pPr>
      <w:r>
        <w:rPr>
          <w:rFonts w:cs="Arial" w:ascii="Arial" w:hAnsi="Arial"/>
          <w:b/>
          <w:sz w:val="24"/>
        </w:rPr>
      </w:r>
    </w:p>
    <w:p>
      <w:pPr>
        <w:pStyle w:val="Heading5"/>
        <w:keepLines/>
        <w:tabs>
          <w:tab w:val="clear" w:pos="720"/>
          <w:tab w:val="left" w:pos="7740" w:leader="none"/>
        </w:tabs>
        <w:ind w:hanging="0" w:start="1440" w:end="0"/>
        <w:rPr>
          <w:u w:val="single"/>
        </w:rPr>
      </w:pPr>
      <w:r>
        <w:rPr>
          <w:u w:val="single"/>
        </w:rPr>
        <w:t>Centragas v. Techint</w:t>
      </w:r>
      <w:r>
        <w:rPr/>
        <w:tab/>
        <w:t>(Updated)</w:t>
      </w:r>
    </w:p>
    <w:p>
      <w:pPr>
        <w:pStyle w:val="BodyText"/>
        <w:keepNext w:val="true"/>
        <w:keepLines/>
        <w:tabs>
          <w:tab w:val="clear" w:pos="720"/>
          <w:tab w:val="left" w:pos="7740" w:leader="none"/>
          <w:tab w:val="left" w:pos="8370" w:leader="none"/>
        </w:tabs>
        <w:ind w:start="1440" w:end="0"/>
        <w:jc w:val="start"/>
        <w:rPr/>
      </w:pPr>
      <w:r>
        <w:rPr/>
        <w:t>(ICC Arbitration) (John Gardiner/Skadden Arps, Augusto Figueroa/Figueroa Sierra Guarin y Asociados) ($2.8 million plus interest) (Enron’s Interest: 75%)</w:t>
      </w:r>
    </w:p>
    <w:p>
      <w:pPr>
        <w:pStyle w:val="BodyText"/>
        <w:keepNext w:val="true"/>
        <w:keepLines/>
        <w:tabs>
          <w:tab w:val="clear" w:pos="720"/>
          <w:tab w:val="left" w:pos="1080" w:leader="none"/>
          <w:tab w:val="left" w:pos="7740" w:leader="none"/>
          <w:tab w:val="left" w:pos="8370" w:leader="none"/>
        </w:tabs>
        <w:ind w:hanging="360" w:start="1800" w:end="0"/>
        <w:jc w:val="start"/>
        <w:rPr/>
      </w:pPr>
      <w:r>
        <w:rPr/>
      </w:r>
    </w:p>
    <w:p>
      <w:pPr>
        <w:pStyle w:val="Normal"/>
        <w:keepNext w:val="true"/>
        <w:keepLines/>
        <w:numPr>
          <w:ilvl w:val="0"/>
          <w:numId w:val="66"/>
        </w:numPr>
        <w:tabs>
          <w:tab w:val="clear" w:pos="720"/>
          <w:tab w:val="left" w:pos="1800" w:leader="none"/>
          <w:tab w:val="left" w:pos="7740" w:leader="none"/>
          <w:tab w:val="left" w:pos="8370" w:leader="none"/>
        </w:tabs>
        <w:ind w:hanging="360" w:start="1800" w:end="0"/>
        <w:rPr>
          <w:rFonts w:ascii="Arial" w:hAnsi="Arial" w:cs="Arial"/>
          <w:sz w:val="24"/>
        </w:rPr>
      </w:pPr>
      <w:r>
        <w:rPr>
          <w:rFonts w:cs="Arial" w:ascii="Arial" w:hAnsi="Arial"/>
          <w:sz w:val="24"/>
        </w:rPr>
        <w:t xml:space="preserve">On October 5, 1999, Centragas served its notice of arbitration based on a dispute between Cent ragas and one of its contractors, TechNet, arising from the construction of a pipeline in Colombia to transport gas for Coppertop.  </w:t>
      </w:r>
    </w:p>
    <w:p>
      <w:pPr>
        <w:pStyle w:val="Normal"/>
        <w:numPr>
          <w:ilvl w:val="0"/>
          <w:numId w:val="91"/>
        </w:numPr>
        <w:tabs>
          <w:tab w:val="clear" w:pos="720"/>
          <w:tab w:val="left" w:pos="1800" w:leader="none"/>
          <w:tab w:val="left" w:pos="7740" w:leader="none"/>
          <w:tab w:val="left" w:pos="8370" w:leader="none"/>
        </w:tabs>
        <w:ind w:hanging="360" w:start="1800" w:end="0"/>
        <w:rPr>
          <w:rFonts w:ascii="Arial" w:hAnsi="Arial" w:cs="Arial"/>
          <w:sz w:val="24"/>
        </w:rPr>
      </w:pPr>
      <w:r>
        <w:rPr>
          <w:rFonts w:cs="Arial" w:ascii="Arial" w:hAnsi="Arial"/>
          <w:sz w:val="24"/>
        </w:rPr>
        <w:t>Centragas previously overpaid Techint $2.1 million.  Centragas now seeks to recover that payment and an additional $700,000 incurred by</w:t>
      </w:r>
      <w:r>
        <w:rPr>
          <w:rFonts w:cs="Arial" w:ascii="Arial" w:hAnsi="Arial"/>
          <w:b/>
          <w:sz w:val="24"/>
        </w:rPr>
        <w:t xml:space="preserve"> </w:t>
      </w:r>
      <w:r>
        <w:rPr>
          <w:rFonts w:cs="Arial" w:ascii="Arial" w:hAnsi="Arial"/>
          <w:sz w:val="24"/>
        </w:rPr>
        <w:t xml:space="preserve">Centragas in a dispute with Ecopetrol because of problems with the pipeline.  </w:t>
      </w:r>
    </w:p>
    <w:p>
      <w:pPr>
        <w:pStyle w:val="Normal"/>
        <w:numPr>
          <w:ilvl w:val="0"/>
          <w:numId w:val="91"/>
        </w:numPr>
        <w:tabs>
          <w:tab w:val="clear" w:pos="720"/>
          <w:tab w:val="left" w:pos="1800" w:leader="none"/>
          <w:tab w:val="left" w:pos="7740" w:leader="none"/>
          <w:tab w:val="left" w:pos="8370" w:leader="none"/>
        </w:tabs>
        <w:ind w:hanging="360" w:start="1800" w:end="0"/>
        <w:rPr>
          <w:rFonts w:ascii="Arial" w:hAnsi="Arial" w:cs="Arial"/>
          <w:sz w:val="24"/>
        </w:rPr>
      </w:pPr>
      <w:r>
        <w:rPr>
          <w:rFonts w:cs="Arial" w:ascii="Arial" w:hAnsi="Arial"/>
          <w:sz w:val="24"/>
        </w:rPr>
        <w:t>Techint retained White &amp; Case.</w:t>
      </w:r>
    </w:p>
    <w:p>
      <w:pPr>
        <w:pStyle w:val="Normal"/>
        <w:numPr>
          <w:ilvl w:val="0"/>
          <w:numId w:val="91"/>
        </w:numPr>
        <w:tabs>
          <w:tab w:val="clear" w:pos="720"/>
          <w:tab w:val="left" w:pos="1800" w:leader="none"/>
          <w:tab w:val="left" w:pos="7740" w:leader="none"/>
          <w:tab w:val="left" w:pos="8370" w:leader="none"/>
        </w:tabs>
        <w:ind w:hanging="360" w:start="1800" w:end="0"/>
        <w:rPr>
          <w:rFonts w:ascii="Arial" w:hAnsi="Arial" w:cs="Arial"/>
          <w:sz w:val="24"/>
        </w:rPr>
      </w:pPr>
      <w:r>
        <w:rPr>
          <w:rFonts w:cs="Arial" w:ascii="Arial" w:hAnsi="Arial"/>
          <w:sz w:val="24"/>
        </w:rPr>
        <w:t xml:space="preserve">Centragas designated Gerald Asken of Ried &amp; Priest as its arbitrator; Techint designated Don Donovan.  </w:t>
      </w:r>
    </w:p>
    <w:p>
      <w:pPr>
        <w:pStyle w:val="Normal"/>
        <w:numPr>
          <w:ilvl w:val="0"/>
          <w:numId w:val="91"/>
        </w:numPr>
        <w:tabs>
          <w:tab w:val="clear" w:pos="720"/>
          <w:tab w:val="left" w:pos="1800" w:leader="none"/>
          <w:tab w:val="left" w:pos="7740" w:leader="none"/>
          <w:tab w:val="left" w:pos="8370" w:leader="none"/>
        </w:tabs>
        <w:ind w:hanging="360" w:start="1800" w:end="0"/>
        <w:rPr>
          <w:rFonts w:ascii="Arial" w:hAnsi="Arial" w:cs="Arial"/>
          <w:sz w:val="24"/>
        </w:rPr>
      </w:pPr>
      <w:r>
        <w:rPr>
          <w:rFonts w:cs="Arial" w:ascii="Arial" w:hAnsi="Arial"/>
          <w:sz w:val="24"/>
        </w:rPr>
        <w:t>The parties agreed to appoint Henri Alvarez of Canada to preside over the panel.  The ICC approved this appointment and Mr. Alvarez accepted.</w:t>
      </w:r>
    </w:p>
    <w:p>
      <w:pPr>
        <w:pStyle w:val="Normal"/>
        <w:numPr>
          <w:ilvl w:val="0"/>
          <w:numId w:val="135"/>
        </w:numPr>
        <w:tabs>
          <w:tab w:val="clear" w:pos="720"/>
          <w:tab w:val="left" w:pos="1080" w:leader="none"/>
        </w:tabs>
        <w:ind w:hanging="360" w:start="1800" w:end="0"/>
        <w:rPr>
          <w:rFonts w:ascii="Arial" w:hAnsi="Arial" w:cs="Arial"/>
          <w:sz w:val="24"/>
        </w:rPr>
      </w:pPr>
      <w:r>
        <w:rPr>
          <w:rFonts w:cs="Arial" w:ascii="Arial" w:hAnsi="Arial"/>
          <w:sz w:val="24"/>
        </w:rPr>
        <w:t>The arbitration hearing was held before the tribunal in New York on December 11-16, 2000.  The parties filed their final briefs on January 22, 2001.  The tribunal will determine whether a final round of oral argument is necessary.</w:t>
      </w:r>
    </w:p>
    <w:p>
      <w:pPr>
        <w:pStyle w:val="Normal"/>
        <w:numPr>
          <w:ilvl w:val="0"/>
          <w:numId w:val="135"/>
        </w:numPr>
        <w:tabs>
          <w:tab w:val="clear" w:pos="720"/>
          <w:tab w:val="left" w:pos="1080" w:leader="none"/>
        </w:tabs>
        <w:ind w:hanging="360" w:start="1800" w:end="0"/>
        <w:rPr>
          <w:rFonts w:ascii="Arial" w:hAnsi="Arial" w:cs="Arial"/>
          <w:bCs/>
          <w:sz w:val="24"/>
        </w:rPr>
      </w:pPr>
      <w:r>
        <w:rPr>
          <w:rFonts w:cs="Arial" w:ascii="Arial" w:hAnsi="Arial"/>
          <w:bCs/>
          <w:sz w:val="24"/>
        </w:rPr>
        <w:t>Based on review of the final briefs, Centragas will not seek a final round of oral argument.  A decision is expected in March/April 2001.</w:t>
      </w:r>
    </w:p>
    <w:p>
      <w:pPr>
        <w:pStyle w:val="Normal"/>
        <w:numPr>
          <w:ilvl w:val="0"/>
          <w:numId w:val="135"/>
        </w:numPr>
        <w:tabs>
          <w:tab w:val="clear" w:pos="720"/>
          <w:tab w:val="left" w:pos="1080" w:leader="none"/>
        </w:tabs>
        <w:ind w:hanging="360" w:start="1800" w:end="0"/>
        <w:rPr>
          <w:rFonts w:ascii="Arial" w:hAnsi="Arial" w:cs="Arial"/>
          <w:b/>
          <w:sz w:val="24"/>
        </w:rPr>
      </w:pPr>
      <w:r>
        <w:rPr>
          <w:rFonts w:cs="Arial" w:ascii="Arial" w:hAnsi="Arial"/>
          <w:b/>
          <w:sz w:val="24"/>
        </w:rPr>
        <w:t>The tribunal sent a letter on April 5, 2000, stating that it will rule in 4-6 weeks.</w:t>
      </w:r>
    </w:p>
    <w:p>
      <w:pPr>
        <w:pStyle w:val="Normal"/>
        <w:ind w:start="720" w:end="0"/>
        <w:rPr>
          <w:rFonts w:ascii="Arial" w:hAnsi="Arial" w:cs="Arial"/>
          <w:b/>
          <w:sz w:val="24"/>
        </w:rPr>
      </w:pPr>
      <w:r>
        <w:rPr>
          <w:rFonts w:cs="Arial" w:ascii="Arial" w:hAnsi="Arial"/>
          <w:b/>
          <w:sz w:val="24"/>
        </w:rPr>
      </w:r>
    </w:p>
    <w:p>
      <w:pPr>
        <w:pStyle w:val="Normal"/>
        <w:ind w:start="720" w:end="0"/>
        <w:rPr>
          <w:rFonts w:ascii="Arial" w:hAnsi="Arial" w:cs="Arial"/>
          <w:b/>
          <w:sz w:val="24"/>
        </w:rPr>
      </w:pPr>
      <w:r>
        <w:rPr>
          <w:rFonts w:cs="Arial" w:ascii="Arial" w:hAnsi="Arial"/>
          <w:b/>
          <w:sz w:val="24"/>
        </w:rPr>
      </w:r>
    </w:p>
    <w:p>
      <w:pPr>
        <w:pStyle w:val="Normal"/>
        <w:numPr>
          <w:ilvl w:val="0"/>
          <w:numId w:val="140"/>
        </w:numPr>
        <w:rPr>
          <w:rFonts w:ascii="Arial" w:hAnsi="Arial" w:cs="Arial"/>
          <w:b/>
          <w:sz w:val="28"/>
          <w:u w:val="single"/>
        </w:rPr>
      </w:pPr>
      <w:r>
        <w:rPr>
          <w:rFonts w:cs="Arial" w:ascii="Arial" w:hAnsi="Arial"/>
          <w:b/>
          <w:sz w:val="28"/>
          <w:u w:val="single"/>
        </w:rPr>
        <w:t>Promigas</w:t>
      </w:r>
    </w:p>
    <w:p>
      <w:pPr>
        <w:pStyle w:val="Normal"/>
        <w:ind w:start="720" w:end="0"/>
        <w:jc w:val="center"/>
        <w:rPr>
          <w:rFonts w:ascii="Arial" w:hAnsi="Arial" w:cs="Arial"/>
          <w:b/>
          <w:sz w:val="28"/>
          <w:u w:val="single"/>
        </w:rPr>
      </w:pPr>
      <w:r>
        <w:rPr>
          <w:rFonts w:cs="Arial" w:ascii="Arial" w:hAnsi="Arial"/>
          <w:b/>
          <w:sz w:val="28"/>
          <w:u w:val="single"/>
        </w:rPr>
      </w:r>
    </w:p>
    <w:p>
      <w:pPr>
        <w:pStyle w:val="Heading5"/>
        <w:keepNext w:val="false"/>
        <w:ind w:hanging="0" w:start="720" w:end="0"/>
        <w:rPr/>
      </w:pPr>
      <w:r>
        <w:rPr/>
        <w:t>I.</w:t>
        <w:tab/>
        <w:t>LITIGATION/ARBITRATION</w:t>
      </w:r>
    </w:p>
    <w:p>
      <w:pPr>
        <w:pStyle w:val="Heading5"/>
        <w:keepNext w:val="false"/>
        <w:ind w:hanging="0" w:start="720" w:end="0"/>
        <w:rPr/>
      </w:pPr>
      <w:r>
        <w:rPr/>
      </w:r>
    </w:p>
    <w:p>
      <w:pPr>
        <w:pStyle w:val="Heading5"/>
        <w:keepNext w:val="false"/>
        <w:tabs>
          <w:tab w:val="clear" w:pos="720"/>
          <w:tab w:val="left" w:pos="7740" w:leader="none"/>
        </w:tabs>
        <w:ind w:hanging="0" w:start="1440" w:end="0"/>
        <w:rPr>
          <w:u w:val="single"/>
        </w:rPr>
      </w:pPr>
      <w:r>
        <w:rPr>
          <w:u w:val="single"/>
        </w:rPr>
        <w:t>Promigas Pipeline Explosion</w:t>
      </w:r>
      <w:r>
        <w:rPr/>
        <w:tab/>
        <w:t>(Updated)</w:t>
      </w:r>
    </w:p>
    <w:p>
      <w:pPr>
        <w:pStyle w:val="Heading9"/>
        <w:keepNext w:val="false"/>
        <w:tabs>
          <w:tab w:val="clear" w:pos="720"/>
          <w:tab w:val="left" w:pos="7740" w:leader="none"/>
          <w:tab w:val="left" w:pos="8370" w:leader="none"/>
        </w:tabs>
        <w:ind w:hanging="0" w:start="1440" w:end="0"/>
        <w:jc w:val="start"/>
        <w:rPr/>
      </w:pPr>
      <w:r>
        <w:rPr/>
        <w:t>(Vinson &amp; Elkins) (Yesid Reyes) (Enron’s Interest: 44%)</w:t>
      </w:r>
    </w:p>
    <w:p>
      <w:pPr>
        <w:pStyle w:val="Header"/>
        <w:tabs>
          <w:tab w:val="clear" w:pos="4320"/>
          <w:tab w:val="clear" w:pos="8640"/>
        </w:tabs>
        <w:ind w:start="720" w:end="0"/>
        <w:rPr/>
      </w:pPr>
      <w:r>
        <w:rPr/>
      </w:r>
    </w:p>
    <w:p>
      <w:pPr>
        <w:pStyle w:val="Header"/>
        <w:numPr>
          <w:ilvl w:val="0"/>
          <w:numId w:val="15"/>
        </w:numPr>
        <w:tabs>
          <w:tab w:val="clear" w:pos="4320"/>
          <w:tab w:val="clear" w:pos="8640"/>
          <w:tab w:val="left" w:pos="1800" w:leader="none"/>
          <w:tab w:val="left" w:pos="7740" w:leader="none"/>
          <w:tab w:val="left" w:pos="8370" w:leader="none"/>
        </w:tabs>
        <w:ind w:hanging="360" w:start="1800" w:end="0"/>
        <w:rPr>
          <w:rFonts w:ascii="Arial" w:hAnsi="Arial" w:cs="Arial"/>
          <w:sz w:val="24"/>
        </w:rPr>
      </w:pPr>
      <w:r>
        <w:rPr>
          <w:rFonts w:cs="Arial" w:ascii="Arial" w:hAnsi="Arial"/>
          <w:sz w:val="24"/>
        </w:rPr>
        <w:t xml:space="preserve">On December 27, 1998 an explosion occurred on the Promigas pipeline.  </w:t>
      </w:r>
    </w:p>
    <w:p>
      <w:pPr>
        <w:pStyle w:val="Header"/>
        <w:numPr>
          <w:ilvl w:val="0"/>
          <w:numId w:val="15"/>
        </w:numPr>
        <w:tabs>
          <w:tab w:val="clear" w:pos="4320"/>
          <w:tab w:val="clear" w:pos="8640"/>
          <w:tab w:val="left" w:pos="1800" w:leader="none"/>
          <w:tab w:val="left" w:pos="7740" w:leader="none"/>
          <w:tab w:val="left" w:pos="8370" w:leader="none"/>
        </w:tabs>
        <w:ind w:hanging="360" w:start="1800" w:end="0"/>
        <w:rPr>
          <w:rFonts w:ascii="Arial" w:hAnsi="Arial" w:cs="Arial"/>
          <w:sz w:val="24"/>
        </w:rPr>
      </w:pPr>
      <w:r>
        <w:rPr>
          <w:rFonts w:cs="Arial" w:ascii="Arial" w:hAnsi="Arial"/>
          <w:sz w:val="24"/>
        </w:rPr>
        <w:t xml:space="preserve">14 people died as a result of the explosion. </w:t>
      </w:r>
    </w:p>
    <w:p>
      <w:pPr>
        <w:pStyle w:val="Header"/>
        <w:numPr>
          <w:ilvl w:val="0"/>
          <w:numId w:val="3"/>
        </w:numPr>
        <w:tabs>
          <w:tab w:val="clear" w:pos="4320"/>
          <w:tab w:val="clear" w:pos="8640"/>
          <w:tab w:val="left" w:pos="1800" w:leader="none"/>
          <w:tab w:val="left" w:pos="7740" w:leader="none"/>
          <w:tab w:val="left" w:pos="8370" w:leader="none"/>
        </w:tabs>
        <w:ind w:hanging="360" w:start="1800" w:end="0"/>
        <w:rPr>
          <w:rFonts w:ascii="Arial" w:hAnsi="Arial" w:cs="Arial"/>
          <w:sz w:val="24"/>
        </w:rPr>
      </w:pPr>
      <w:r>
        <w:rPr>
          <w:rFonts w:cs="Arial" w:ascii="Arial" w:hAnsi="Arial"/>
          <w:sz w:val="24"/>
        </w:rPr>
        <w:t>Promigas has settled all personal injury and property damages claims.</w:t>
      </w:r>
    </w:p>
    <w:p>
      <w:pPr>
        <w:pStyle w:val="Header"/>
        <w:numPr>
          <w:ilvl w:val="0"/>
          <w:numId w:val="15"/>
        </w:numPr>
        <w:tabs>
          <w:tab w:val="clear" w:pos="4320"/>
          <w:tab w:val="clear" w:pos="8640"/>
          <w:tab w:val="left" w:pos="1800" w:leader="none"/>
          <w:tab w:val="left" w:pos="7740" w:leader="none"/>
          <w:tab w:val="left" w:pos="8370" w:leader="none"/>
        </w:tabs>
        <w:ind w:hanging="360" w:start="1800" w:end="0"/>
        <w:rPr>
          <w:rFonts w:ascii="Arial" w:hAnsi="Arial" w:cs="Arial"/>
          <w:sz w:val="24"/>
        </w:rPr>
      </w:pPr>
      <w:r>
        <w:rPr>
          <w:rFonts w:cs="Arial" w:ascii="Arial" w:hAnsi="Arial"/>
          <w:sz w:val="24"/>
        </w:rPr>
        <w:t>The attorney general has opened a formal criminal investigation to determine whether to prosecute the Promigas vice-president and the manager of operations and maintenance for negligent homicide.</w:t>
      </w:r>
    </w:p>
    <w:p>
      <w:pPr>
        <w:pStyle w:val="Header"/>
        <w:numPr>
          <w:ilvl w:val="0"/>
          <w:numId w:val="15"/>
        </w:numPr>
        <w:tabs>
          <w:tab w:val="clear" w:pos="4320"/>
          <w:tab w:val="clear" w:pos="8640"/>
          <w:tab w:val="left" w:pos="1800" w:leader="none"/>
          <w:tab w:val="left" w:pos="7740" w:leader="none"/>
          <w:tab w:val="left" w:pos="8370" w:leader="none"/>
        </w:tabs>
        <w:ind w:hanging="360" w:start="1800" w:end="0"/>
        <w:rPr>
          <w:rFonts w:ascii="Arial" w:hAnsi="Arial" w:cs="Arial"/>
          <w:sz w:val="24"/>
        </w:rPr>
      </w:pPr>
      <w:r>
        <w:rPr>
          <w:rFonts w:cs="Arial" w:ascii="Arial" w:hAnsi="Arial"/>
          <w:b/>
          <w:bCs/>
          <w:sz w:val="24"/>
        </w:rPr>
        <w:t>The investigation into Promigas was closed last year and all parties were found not liable.  This matter will not appear on next month’s report.</w:t>
      </w:r>
    </w:p>
    <w:p>
      <w:pPr>
        <w:pStyle w:val="Normal"/>
        <w:tabs>
          <w:tab w:val="clear" w:pos="720"/>
          <w:tab w:val="left" w:pos="7740" w:leader="none"/>
        </w:tabs>
        <w:ind w:start="720" w:end="0"/>
        <w:rPr>
          <w:rFonts w:ascii="Arial" w:hAnsi="Arial" w:cs="Arial"/>
          <w:sz w:val="24"/>
        </w:rPr>
      </w:pPr>
      <w:r>
        <w:rPr>
          <w:rFonts w:cs="Arial" w:ascii="Arial" w:hAnsi="Arial"/>
          <w:sz w:val="24"/>
        </w:rPr>
      </w:r>
    </w:p>
    <w:p>
      <w:pPr>
        <w:pStyle w:val="Normal"/>
        <w:ind w:start="720" w:end="0"/>
        <w:rPr>
          <w:rFonts w:ascii="Arial" w:hAnsi="Arial" w:cs="Arial"/>
          <w:sz w:val="24"/>
        </w:rPr>
      </w:pPr>
      <w:r>
        <w:rPr>
          <w:rFonts w:cs="Arial" w:ascii="Arial" w:hAnsi="Arial"/>
          <w:sz w:val="24"/>
        </w:rPr>
      </w:r>
    </w:p>
    <w:p>
      <w:pPr>
        <w:pStyle w:val="Normal"/>
        <w:rPr>
          <w:rFonts w:ascii="Arial" w:hAnsi="Arial" w:cs="Arial"/>
          <w:b/>
          <w:sz w:val="28"/>
          <w:u w:val="single"/>
        </w:rPr>
      </w:pPr>
      <w:r>
        <w:rPr>
          <w:rFonts w:cs="Arial" w:ascii="Arial" w:hAnsi="Arial"/>
          <w:b/>
          <w:sz w:val="28"/>
          <w:u w:val="single"/>
        </w:rPr>
        <w:t>DOMINICAN REPUBLIC</w:t>
      </w:r>
    </w:p>
    <w:p>
      <w:pPr>
        <w:pStyle w:val="Normal"/>
        <w:rPr>
          <w:rFonts w:ascii="Arial" w:hAnsi="Arial" w:cs="Arial"/>
          <w:b/>
          <w:sz w:val="24"/>
          <w:u w:val="single"/>
        </w:rPr>
      </w:pPr>
      <w:r>
        <w:rPr>
          <w:rFonts w:cs="Arial" w:ascii="Arial" w:hAnsi="Arial"/>
          <w:b/>
          <w:sz w:val="24"/>
          <w:u w:val="single"/>
        </w:rPr>
      </w:r>
    </w:p>
    <w:p>
      <w:pPr>
        <w:pStyle w:val="Normal"/>
        <w:numPr>
          <w:ilvl w:val="0"/>
          <w:numId w:val="96"/>
        </w:numPr>
        <w:rPr>
          <w:rFonts w:ascii="Arial" w:hAnsi="Arial" w:cs="Arial"/>
          <w:b/>
          <w:sz w:val="28"/>
          <w:u w:val="single"/>
        </w:rPr>
      </w:pPr>
      <w:r>
        <w:rPr>
          <w:rFonts w:cs="Arial" w:ascii="Arial" w:hAnsi="Arial"/>
          <w:b/>
          <w:sz w:val="28"/>
          <w:u w:val="single"/>
        </w:rPr>
        <w:t>Smith/Enron Cogeneration Limited Partnership (“SECLP”)</w:t>
      </w:r>
    </w:p>
    <w:p>
      <w:pPr>
        <w:pStyle w:val="Normal"/>
        <w:rPr>
          <w:rFonts w:ascii="Arial" w:hAnsi="Arial" w:cs="Arial"/>
          <w:b/>
          <w:sz w:val="24"/>
          <w:u w:val="single"/>
        </w:rPr>
      </w:pPr>
      <w:r>
        <w:rPr>
          <w:rFonts w:cs="Arial" w:ascii="Arial" w:hAnsi="Arial"/>
          <w:b/>
          <w:sz w:val="24"/>
          <w:u w:val="single"/>
        </w:rPr>
      </w:r>
    </w:p>
    <w:p>
      <w:pPr>
        <w:pStyle w:val="Heading5"/>
        <w:ind w:hanging="0" w:start="720" w:end="0"/>
        <w:rPr/>
      </w:pPr>
      <w:r>
        <w:rPr/>
        <w:t>I.</w:t>
        <w:tab/>
        <w:t>LITIGATION/ARBITRATION</w:t>
      </w:r>
    </w:p>
    <w:p>
      <w:pPr>
        <w:pStyle w:val="Normal"/>
        <w:ind w:start="720" w:end="0"/>
        <w:rPr>
          <w:b/>
        </w:rPr>
      </w:pPr>
      <w:r>
        <w:rPr>
          <w:b/>
        </w:rPr>
      </w:r>
    </w:p>
    <w:p>
      <w:pPr>
        <w:pStyle w:val="Heading5"/>
        <w:keepNext w:val="false"/>
        <w:tabs>
          <w:tab w:val="clear" w:pos="720"/>
          <w:tab w:val="left" w:pos="7740" w:leader="none"/>
        </w:tabs>
        <w:ind w:hanging="0" w:start="1440" w:end="0"/>
        <w:rPr>
          <w:u w:val="single"/>
        </w:rPr>
      </w:pPr>
      <w:r>
        <w:rPr>
          <w:u w:val="single"/>
        </w:rPr>
        <w:t>Community of Cost Costámbar v. SECLP</w:t>
      </w:r>
      <w:r>
        <w:rPr/>
        <w:tab/>
        <w:t>(Updated)</w:t>
      </w:r>
    </w:p>
    <w:p>
      <w:pPr>
        <w:pStyle w:val="Normal"/>
        <w:tabs>
          <w:tab w:val="clear" w:pos="720"/>
          <w:tab w:val="left" w:pos="7740" w:leader="none"/>
        </w:tabs>
        <w:ind w:start="1440" w:end="0"/>
        <w:rPr>
          <w:rFonts w:ascii="Arial" w:hAnsi="Arial" w:cs="Arial"/>
          <w:b/>
          <w:sz w:val="24"/>
          <w:u w:val="single"/>
        </w:rPr>
      </w:pPr>
      <w:r>
        <w:rPr>
          <w:rFonts w:cs="Arial" w:ascii="Arial" w:hAnsi="Arial"/>
          <w:b/>
          <w:sz w:val="24"/>
          <w:u w:val="single"/>
        </w:rPr>
        <w:t>And Smith Cogeneration International, Inc.</w:t>
      </w:r>
    </w:p>
    <w:p>
      <w:pPr>
        <w:pStyle w:val="BodyTextIndent3"/>
        <w:ind w:start="720" w:end="0"/>
        <w:rPr/>
      </w:pPr>
      <w:r>
        <w:rPr>
          <w:b w:val="false"/>
          <w:sz w:val="24"/>
        </w:rPr>
        <w:t>(Dominican Republic Court of 1</w:t>
      </w:r>
      <w:r>
        <w:rPr>
          <w:b w:val="false"/>
          <w:sz w:val="24"/>
          <w:vertAlign w:val="superscript"/>
        </w:rPr>
        <w:t>st</w:t>
      </w:r>
      <w:r>
        <w:rPr>
          <w:b w:val="false"/>
          <w:sz w:val="24"/>
        </w:rPr>
        <w:t xml:space="preserve"> Instance) </w:t>
      </w:r>
      <w:r>
        <w:rPr>
          <w:bCs/>
          <w:sz w:val="24"/>
        </w:rPr>
        <w:t xml:space="preserve">(Roberto Rizik and Pancho </w:t>
      </w:r>
    </w:p>
    <w:p>
      <w:pPr>
        <w:pStyle w:val="BodyTextIndent3"/>
        <w:ind w:start="720" w:end="0"/>
        <w:rPr/>
      </w:pPr>
      <w:r>
        <w:rPr>
          <w:bCs/>
          <w:sz w:val="24"/>
        </w:rPr>
        <w:t>Alvarez/Headrick Rizik Alvarez &amp; Fern</w:t>
      </w:r>
      <w:r>
        <w:rPr>
          <w:rFonts w:cs="Arial"/>
          <w:bCs/>
          <w:sz w:val="24"/>
        </w:rPr>
        <w:t>á</w:t>
      </w:r>
      <w:r>
        <w:rPr>
          <w:bCs/>
          <w:sz w:val="24"/>
        </w:rPr>
        <w:t>ndez)</w:t>
      </w:r>
      <w:r>
        <w:rPr>
          <w:b w:val="false"/>
          <w:sz w:val="24"/>
        </w:rPr>
        <w:t xml:space="preserve"> (Illeana Blanco/Bracewell</w:t>
      </w:r>
    </w:p>
    <w:p>
      <w:pPr>
        <w:pStyle w:val="BodyTextIndent3"/>
        <w:ind w:start="720" w:end="0"/>
        <w:rPr>
          <w:b w:val="false"/>
          <w:sz w:val="24"/>
        </w:rPr>
      </w:pPr>
      <w:r>
        <w:rPr>
          <w:b w:val="false"/>
          <w:sz w:val="24"/>
        </w:rPr>
        <w:t>&amp; Patterson) (Unquantified diminution of property value and potential</w:t>
      </w:r>
    </w:p>
    <w:p>
      <w:pPr>
        <w:pStyle w:val="BodyTextIndent3"/>
        <w:ind w:start="720" w:end="0"/>
        <w:rPr>
          <w:b w:val="false"/>
          <w:sz w:val="24"/>
        </w:rPr>
      </w:pPr>
      <w:r>
        <w:rPr>
          <w:b w:val="false"/>
          <w:sz w:val="24"/>
        </w:rPr>
        <w:t>nuisance or personal injury claims) (Enron’s Interest: 85%)</w:t>
      </w:r>
    </w:p>
    <w:p>
      <w:pPr>
        <w:pStyle w:val="Normal"/>
        <w:tabs>
          <w:tab w:val="clear" w:pos="720"/>
          <w:tab w:val="left" w:pos="7740" w:leader="none"/>
        </w:tabs>
        <w:ind w:start="1440" w:end="0"/>
        <w:rPr>
          <w:rFonts w:ascii="Arial" w:hAnsi="Arial" w:cs="Arial"/>
          <w:b/>
          <w:sz w:val="24"/>
        </w:rPr>
      </w:pPr>
      <w:r>
        <w:rPr>
          <w:rFonts w:cs="Arial" w:ascii="Arial" w:hAnsi="Arial"/>
          <w:b/>
          <w:sz w:val="24"/>
        </w:rPr>
      </w:r>
    </w:p>
    <w:p>
      <w:pPr>
        <w:pStyle w:val="Normal"/>
        <w:numPr>
          <w:ilvl w:val="0"/>
          <w:numId w:val="55"/>
        </w:numPr>
        <w:tabs>
          <w:tab w:val="clear" w:pos="720"/>
          <w:tab w:val="left" w:pos="1800" w:leader="none"/>
          <w:tab w:val="left" w:pos="7740" w:leader="none"/>
        </w:tabs>
        <w:ind w:hanging="360" w:start="1800" w:end="0"/>
        <w:rPr>
          <w:rFonts w:ascii="Arial" w:hAnsi="Arial" w:cs="Arial"/>
          <w:sz w:val="24"/>
        </w:rPr>
      </w:pPr>
      <w:r>
        <w:rPr>
          <w:rFonts w:cs="Arial" w:ascii="Arial" w:hAnsi="Arial"/>
          <w:sz w:val="24"/>
        </w:rPr>
        <w:t xml:space="preserve">On February 1, 2000, 150 plaintiffs (approximately 40 of which are corporations) filed suit against SECLP and Smith Cogeneration International, Inc. alleging that SECLP's operation of the Puerto Plata plant has damaged property values of Costámbar. </w:t>
      </w:r>
    </w:p>
    <w:p>
      <w:pPr>
        <w:pStyle w:val="Normal"/>
        <w:numPr>
          <w:ilvl w:val="0"/>
          <w:numId w:val="48"/>
        </w:numPr>
        <w:tabs>
          <w:tab w:val="clear" w:pos="720"/>
          <w:tab w:val="left" w:pos="1800" w:leader="none"/>
          <w:tab w:val="left" w:pos="7740" w:leader="none"/>
        </w:tabs>
        <w:ind w:hanging="360" w:start="1800" w:end="0"/>
        <w:rPr>
          <w:rFonts w:ascii="Arial" w:hAnsi="Arial" w:cs="Arial"/>
          <w:sz w:val="24"/>
        </w:rPr>
      </w:pPr>
      <w:r>
        <w:rPr>
          <w:rFonts w:cs="Arial" w:ascii="Arial" w:hAnsi="Arial"/>
          <w:sz w:val="24"/>
        </w:rPr>
        <w:t xml:space="preserve">Although thus far the claim seeks damages only for diminution in property value, the petition implies that other claims for nuisance, loss of business, and personal injury claims may ultimately be alleged as well.  </w:t>
      </w:r>
    </w:p>
    <w:p>
      <w:pPr>
        <w:pStyle w:val="Normal"/>
        <w:keepNext w:val="true"/>
        <w:keepLines/>
        <w:numPr>
          <w:ilvl w:val="0"/>
          <w:numId w:val="28"/>
        </w:numPr>
        <w:tabs>
          <w:tab w:val="clear" w:pos="720"/>
          <w:tab w:val="left" w:pos="1800" w:leader="none"/>
          <w:tab w:val="left" w:pos="7740" w:leader="none"/>
        </w:tabs>
        <w:ind w:hanging="360" w:start="1800" w:end="0"/>
        <w:rPr>
          <w:rFonts w:ascii="Arial" w:hAnsi="Arial" w:cs="Arial"/>
          <w:sz w:val="24"/>
        </w:rPr>
      </w:pPr>
      <w:r>
        <w:rPr>
          <w:rFonts w:cs="Arial" w:ascii="Arial" w:hAnsi="Arial"/>
          <w:sz w:val="24"/>
        </w:rPr>
        <w:t>SECLP filed its answer on February 8, 2000.</w:t>
      </w:r>
    </w:p>
    <w:p>
      <w:pPr>
        <w:pStyle w:val="Normal"/>
        <w:numPr>
          <w:ilvl w:val="0"/>
          <w:numId w:val="44"/>
        </w:numPr>
        <w:tabs>
          <w:tab w:val="clear" w:pos="720"/>
          <w:tab w:val="left" w:pos="1800" w:leader="none"/>
          <w:tab w:val="left" w:pos="7740" w:leader="none"/>
        </w:tabs>
        <w:ind w:hanging="360" w:start="1800" w:end="0"/>
        <w:rPr>
          <w:rFonts w:ascii="Arial" w:hAnsi="Arial" w:cs="Arial"/>
          <w:sz w:val="24"/>
          <w:u w:val="single"/>
        </w:rPr>
      </w:pPr>
      <w:r>
        <w:rPr>
          <w:rFonts w:cs="Arial" w:ascii="Arial" w:hAnsi="Arial"/>
          <w:sz w:val="24"/>
        </w:rPr>
        <w:t xml:space="preserve">On July 12, 2000, the court stayed the action until plaintiffs produce documents and evidence to sustain their case. </w:t>
      </w:r>
    </w:p>
    <w:p>
      <w:pPr>
        <w:pStyle w:val="Normal"/>
        <w:numPr>
          <w:ilvl w:val="0"/>
          <w:numId w:val="33"/>
        </w:numPr>
        <w:tabs>
          <w:tab w:val="clear" w:pos="720"/>
          <w:tab w:val="left" w:pos="1800" w:leader="none"/>
          <w:tab w:val="left" w:pos="7740" w:leader="none"/>
        </w:tabs>
        <w:ind w:hanging="360" w:start="1800" w:end="0"/>
        <w:rPr>
          <w:rFonts w:ascii="Arial" w:hAnsi="Arial" w:cs="Arial"/>
          <w:sz w:val="24"/>
          <w:u w:val="single"/>
        </w:rPr>
      </w:pPr>
      <w:r>
        <w:rPr>
          <w:rFonts w:cs="Arial" w:ascii="Arial" w:hAnsi="Arial"/>
          <w:sz w:val="24"/>
        </w:rPr>
        <w:t>Thirty-three additional plaintiffs filed an identical suit on July 6, 2000.  On October 31, 2000 the court ordered the parties to the second suit to file all documents within 30 days.  On February 21, 2001 SECLP sought to stay the case for plaintiffs’ failure to produce evidentiary documents.  The court gave the plaintiffs a 15 day extension.</w:t>
      </w:r>
    </w:p>
    <w:p>
      <w:pPr>
        <w:pStyle w:val="Normal"/>
        <w:numPr>
          <w:ilvl w:val="0"/>
          <w:numId w:val="115"/>
        </w:numPr>
        <w:tabs>
          <w:tab w:val="clear" w:pos="720"/>
          <w:tab w:val="left" w:pos="1800" w:leader="none"/>
          <w:tab w:val="left" w:pos="7740" w:leader="none"/>
        </w:tabs>
        <w:ind w:hanging="360" w:start="1800" w:end="0"/>
        <w:rPr>
          <w:rFonts w:ascii="Arial" w:hAnsi="Arial" w:cs="Arial"/>
          <w:sz w:val="24"/>
        </w:rPr>
      </w:pPr>
      <w:r>
        <w:rPr>
          <w:rFonts w:cs="Arial" w:ascii="Arial" w:hAnsi="Arial"/>
          <w:sz w:val="24"/>
        </w:rPr>
        <w:t>The courts will likely merge the two cases.</w:t>
      </w:r>
    </w:p>
    <w:p>
      <w:pPr>
        <w:pStyle w:val="Normal"/>
        <w:numPr>
          <w:ilvl w:val="0"/>
          <w:numId w:val="110"/>
        </w:numPr>
        <w:tabs>
          <w:tab w:val="clear" w:pos="720"/>
          <w:tab w:val="left" w:pos="1800" w:leader="none"/>
          <w:tab w:val="left" w:pos="7740" w:leader="none"/>
        </w:tabs>
        <w:ind w:hanging="360" w:start="1800" w:end="0"/>
        <w:rPr>
          <w:rFonts w:ascii="Arial" w:hAnsi="Arial" w:cs="Arial"/>
          <w:sz w:val="24"/>
        </w:rPr>
      </w:pPr>
      <w:r>
        <w:rPr>
          <w:rFonts w:cs="Arial" w:ascii="Arial" w:hAnsi="Arial"/>
          <w:sz w:val="24"/>
        </w:rPr>
        <w:t>No trial date has been set.</w:t>
      </w:r>
    </w:p>
    <w:p>
      <w:pPr>
        <w:pStyle w:val="Normal"/>
        <w:numPr>
          <w:ilvl w:val="0"/>
          <w:numId w:val="110"/>
        </w:numPr>
        <w:tabs>
          <w:tab w:val="clear" w:pos="720"/>
          <w:tab w:val="left" w:pos="1800" w:leader="none"/>
          <w:tab w:val="left" w:pos="7740" w:leader="none"/>
        </w:tabs>
        <w:ind w:hanging="360" w:start="1800" w:end="0"/>
        <w:rPr>
          <w:rFonts w:ascii="Arial" w:hAnsi="Arial" w:cs="Arial"/>
          <w:sz w:val="24"/>
        </w:rPr>
      </w:pPr>
      <w:r>
        <w:rPr>
          <w:rFonts w:cs="Arial" w:ascii="Arial" w:hAnsi="Arial"/>
          <w:b/>
          <w:bCs/>
          <w:sz w:val="24"/>
        </w:rPr>
        <w:t>The next hearing date is May 2, 2001.</w:t>
      </w:r>
    </w:p>
    <w:p>
      <w:pPr>
        <w:pStyle w:val="Normal"/>
        <w:numPr>
          <w:ilvl w:val="0"/>
          <w:numId w:val="110"/>
        </w:numPr>
        <w:tabs>
          <w:tab w:val="clear" w:pos="720"/>
          <w:tab w:val="left" w:pos="1800" w:leader="none"/>
          <w:tab w:val="left" w:pos="7740" w:leader="none"/>
        </w:tabs>
        <w:ind w:hanging="360" w:start="1800" w:end="0"/>
        <w:rPr>
          <w:rFonts w:ascii="Arial" w:hAnsi="Arial" w:cs="Arial"/>
          <w:sz w:val="24"/>
        </w:rPr>
      </w:pPr>
      <w:r>
        <w:rPr>
          <w:rFonts w:cs="Arial" w:ascii="Arial" w:hAnsi="Arial"/>
          <w:b/>
          <w:bCs/>
          <w:sz w:val="24"/>
        </w:rPr>
        <w:t>These cases are being transferred from Pellerano &amp; Herrera to Headrick Rizik Alvarez &amp; Fern</w:t>
      </w:r>
      <w:r>
        <w:rPr>
          <w:rFonts w:cs="Arial" w:ascii="Arial" w:hAnsi="Arial"/>
          <w:b/>
          <w:bCs/>
          <w:sz w:val="24"/>
        </w:rPr>
        <w:t>á</w:t>
      </w:r>
      <w:r>
        <w:rPr>
          <w:rFonts w:cs="Arial" w:ascii="Arial" w:hAnsi="Arial"/>
          <w:b/>
          <w:bCs/>
          <w:sz w:val="24"/>
        </w:rPr>
        <w:t>ndez.</w:t>
      </w:r>
    </w:p>
    <w:p>
      <w:pPr>
        <w:pStyle w:val="Normal"/>
        <w:tabs>
          <w:tab w:val="clear" w:pos="720"/>
          <w:tab w:val="left" w:pos="7740" w:leader="none"/>
        </w:tabs>
        <w:ind w:start="1440" w:end="0"/>
        <w:rPr>
          <w:rFonts w:ascii="Arial" w:hAnsi="Arial" w:cs="Arial"/>
          <w:sz w:val="24"/>
        </w:rPr>
      </w:pPr>
      <w:r>
        <w:rPr>
          <w:rFonts w:cs="Arial" w:ascii="Arial" w:hAnsi="Arial"/>
          <w:sz w:val="24"/>
        </w:rPr>
      </w:r>
    </w:p>
    <w:p>
      <w:pPr>
        <w:pStyle w:val="Normal"/>
        <w:tabs>
          <w:tab w:val="clear" w:pos="720"/>
          <w:tab w:val="left" w:pos="7740" w:leader="none"/>
        </w:tabs>
        <w:ind w:start="1440" w:end="0"/>
        <w:rPr>
          <w:rFonts w:ascii="Arial" w:hAnsi="Arial" w:cs="Arial"/>
          <w:sz w:val="24"/>
        </w:rPr>
      </w:pPr>
      <w:r>
        <w:rPr>
          <w:rFonts w:cs="Arial" w:ascii="Arial" w:hAnsi="Arial"/>
          <w:sz w:val="24"/>
        </w:rPr>
      </w:r>
    </w:p>
    <w:p>
      <w:pPr>
        <w:pStyle w:val="Normal"/>
        <w:tabs>
          <w:tab w:val="clear" w:pos="720"/>
          <w:tab w:val="left" w:pos="7740" w:leader="none"/>
        </w:tabs>
        <w:ind w:start="1440" w:end="0"/>
        <w:rPr>
          <w:rFonts w:ascii="Arial" w:hAnsi="Arial" w:cs="Arial"/>
          <w:sz w:val="24"/>
        </w:rPr>
      </w:pPr>
      <w:r>
        <w:rPr>
          <w:rFonts w:cs="Arial" w:ascii="Arial" w:hAnsi="Arial"/>
          <w:sz w:val="24"/>
        </w:rPr>
      </w:r>
    </w:p>
    <w:p>
      <w:pPr>
        <w:pStyle w:val="Normal"/>
        <w:tabs>
          <w:tab w:val="clear" w:pos="720"/>
          <w:tab w:val="left" w:pos="7740" w:leader="none"/>
        </w:tabs>
        <w:ind w:start="1440" w:end="0"/>
        <w:rPr>
          <w:rFonts w:ascii="Arial" w:hAnsi="Arial" w:cs="Arial"/>
          <w:sz w:val="24"/>
        </w:rPr>
      </w:pPr>
      <w:r>
        <w:rPr>
          <w:rFonts w:cs="Arial" w:ascii="Arial" w:hAnsi="Arial"/>
          <w:sz w:val="24"/>
        </w:rPr>
      </w:r>
    </w:p>
    <w:p>
      <w:pPr>
        <w:pStyle w:val="Heading6"/>
        <w:keepNext w:val="false"/>
        <w:tabs>
          <w:tab w:val="clear" w:pos="720"/>
          <w:tab w:val="left" w:pos="7740" w:leader="none"/>
          <w:tab w:val="left" w:pos="8370" w:leader="none"/>
        </w:tabs>
        <w:ind w:hanging="0" w:start="1440" w:end="0"/>
        <w:jc w:val="start"/>
        <w:rPr/>
      </w:pPr>
      <w:r>
        <w:rPr>
          <w:u w:val="single"/>
        </w:rPr>
        <w:t>Rosa Carolina Berges-Martin, individually and</w:t>
      </w:r>
      <w:r>
        <w:rPr/>
        <w:tab/>
        <w:t>(Not Updated)</w:t>
      </w:r>
    </w:p>
    <w:p>
      <w:pPr>
        <w:pStyle w:val="Normal"/>
        <w:ind w:start="1440" w:end="0"/>
        <w:rPr>
          <w:rFonts w:ascii="Arial" w:hAnsi="Arial" w:cs="Arial"/>
          <w:b/>
          <w:sz w:val="24"/>
          <w:u w:val="single"/>
        </w:rPr>
      </w:pPr>
      <w:r>
        <w:rPr>
          <w:rFonts w:cs="Arial" w:ascii="Arial" w:hAnsi="Arial"/>
          <w:b/>
          <w:sz w:val="24"/>
          <w:u w:val="single"/>
        </w:rPr>
        <w:t>as next friend of Christian Hall Berges v. SECLP</w:t>
      </w:r>
    </w:p>
    <w:p>
      <w:pPr>
        <w:pStyle w:val="Normal"/>
        <w:tabs>
          <w:tab w:val="clear" w:pos="720"/>
          <w:tab w:val="left" w:pos="7740" w:leader="none"/>
          <w:tab w:val="left" w:pos="8370" w:leader="none"/>
        </w:tabs>
        <w:ind w:start="1440" w:end="0"/>
        <w:rPr/>
      </w:pPr>
      <w:r>
        <w:rPr>
          <w:rFonts w:cs="Arial" w:ascii="Arial" w:hAnsi="Arial"/>
          <w:sz w:val="24"/>
        </w:rPr>
        <w:t>(Dominican Republic Court of 1</w:t>
      </w:r>
      <w:r>
        <w:rPr>
          <w:rFonts w:cs="Arial" w:ascii="Arial" w:hAnsi="Arial"/>
          <w:sz w:val="24"/>
          <w:vertAlign w:val="superscript"/>
        </w:rPr>
        <w:t>st</w:t>
      </w:r>
      <w:r>
        <w:rPr>
          <w:rFonts w:cs="Arial" w:ascii="Arial" w:hAnsi="Arial"/>
          <w:sz w:val="24"/>
        </w:rPr>
        <w:t xml:space="preserve"> Instance) (Hipolito Herrera/Pellerano &amp; Herrera) (Illeana Blanco/Bracewell &amp; Patterson) (RD$20 million/US$1.2 million) (Enron’s Interest: 85%)</w:t>
      </w:r>
    </w:p>
    <w:p>
      <w:pPr>
        <w:pStyle w:val="Normal"/>
        <w:tabs>
          <w:tab w:val="clear" w:pos="720"/>
          <w:tab w:val="left" w:pos="7740" w:leader="none"/>
          <w:tab w:val="left" w:pos="8370" w:leader="none"/>
        </w:tabs>
        <w:ind w:start="720" w:end="0"/>
        <w:rPr>
          <w:rFonts w:ascii="Arial" w:hAnsi="Arial" w:cs="Arial"/>
          <w:sz w:val="24"/>
        </w:rPr>
      </w:pPr>
      <w:r>
        <w:rPr>
          <w:rFonts w:cs="Arial" w:ascii="Arial" w:hAnsi="Arial"/>
          <w:sz w:val="24"/>
        </w:rPr>
      </w:r>
    </w:p>
    <w:p>
      <w:pPr>
        <w:pStyle w:val="Normal"/>
        <w:numPr>
          <w:ilvl w:val="0"/>
          <w:numId w:val="34"/>
        </w:numPr>
        <w:tabs>
          <w:tab w:val="clear" w:pos="720"/>
          <w:tab w:val="left" w:pos="1800" w:leader="none"/>
          <w:tab w:val="left" w:pos="7740" w:leader="none"/>
          <w:tab w:val="left" w:pos="8370" w:leader="none"/>
        </w:tabs>
        <w:ind w:hanging="360" w:start="1800" w:end="0"/>
        <w:rPr>
          <w:rFonts w:ascii="Arial" w:hAnsi="Arial" w:cs="Arial"/>
          <w:sz w:val="24"/>
        </w:rPr>
      </w:pPr>
      <w:r>
        <w:rPr>
          <w:rFonts w:cs="Arial" w:ascii="Arial" w:hAnsi="Arial"/>
          <w:sz w:val="24"/>
        </w:rPr>
        <w:t xml:space="preserve">On September 8, 1998, a mother and her son claim their bronchial asthma was caused by SECLP’s operation of the plant. </w:t>
      </w:r>
    </w:p>
    <w:p>
      <w:pPr>
        <w:pStyle w:val="Normal"/>
        <w:numPr>
          <w:ilvl w:val="0"/>
          <w:numId w:val="8"/>
        </w:numPr>
        <w:tabs>
          <w:tab w:val="clear" w:pos="720"/>
          <w:tab w:val="left" w:pos="1800" w:leader="none"/>
          <w:tab w:val="left" w:pos="7740" w:leader="none"/>
          <w:tab w:val="left" w:pos="8370" w:leader="none"/>
        </w:tabs>
        <w:ind w:hanging="360" w:start="1800" w:end="0"/>
        <w:rPr>
          <w:rFonts w:ascii="Arial" w:hAnsi="Arial" w:cs="Arial"/>
          <w:sz w:val="24"/>
        </w:rPr>
      </w:pPr>
      <w:r>
        <w:rPr>
          <w:rFonts w:cs="Arial" w:ascii="Arial" w:hAnsi="Arial"/>
          <w:sz w:val="24"/>
        </w:rPr>
        <w:t>SECLP filed air-monitoring documents showing no harmful emissions from the plant and that it operates within the World Bank environmental guidelines.</w:t>
      </w:r>
    </w:p>
    <w:p>
      <w:pPr>
        <w:pStyle w:val="Normal"/>
        <w:numPr>
          <w:ilvl w:val="0"/>
          <w:numId w:val="8"/>
        </w:numPr>
        <w:tabs>
          <w:tab w:val="clear" w:pos="720"/>
          <w:tab w:val="left" w:pos="1800" w:leader="none"/>
          <w:tab w:val="left" w:pos="7740" w:leader="none"/>
          <w:tab w:val="left" w:pos="8370" w:leader="none"/>
        </w:tabs>
        <w:ind w:hanging="360" w:start="1800" w:end="0"/>
        <w:rPr>
          <w:rFonts w:ascii="Arial" w:hAnsi="Arial" w:cs="Arial"/>
          <w:sz w:val="24"/>
        </w:rPr>
      </w:pPr>
      <w:r>
        <w:rPr>
          <w:rFonts w:cs="Arial" w:ascii="Arial" w:hAnsi="Arial"/>
          <w:sz w:val="24"/>
        </w:rPr>
        <w:t xml:space="preserve">The court ordered an evaluation of plaintiffs by three medical experts. </w:t>
      </w:r>
    </w:p>
    <w:p>
      <w:pPr>
        <w:pStyle w:val="Normal"/>
        <w:numPr>
          <w:ilvl w:val="0"/>
          <w:numId w:val="8"/>
        </w:numPr>
        <w:tabs>
          <w:tab w:val="clear" w:pos="720"/>
          <w:tab w:val="left" w:pos="1800" w:leader="none"/>
          <w:tab w:val="left" w:pos="7740" w:leader="none"/>
          <w:tab w:val="left" w:pos="8370" w:leader="none"/>
        </w:tabs>
        <w:ind w:hanging="360" w:start="1800" w:end="0"/>
        <w:rPr>
          <w:rFonts w:ascii="Arial" w:hAnsi="Arial" w:cs="Arial"/>
          <w:sz w:val="24"/>
        </w:rPr>
      </w:pPr>
      <w:r>
        <w:rPr>
          <w:rFonts w:cs="Arial" w:ascii="Arial" w:hAnsi="Arial"/>
          <w:sz w:val="24"/>
        </w:rPr>
        <w:t>SECLP hired epidemiologists and toxicologists to evaluate the plaintiffs’ claims and filed additional expert reports with the court.</w:t>
      </w:r>
    </w:p>
    <w:p>
      <w:pPr>
        <w:pStyle w:val="Normal"/>
        <w:numPr>
          <w:ilvl w:val="0"/>
          <w:numId w:val="8"/>
        </w:numPr>
        <w:tabs>
          <w:tab w:val="clear" w:pos="720"/>
          <w:tab w:val="left" w:pos="1800" w:leader="none"/>
          <w:tab w:val="left" w:pos="7740" w:leader="none"/>
          <w:tab w:val="left" w:pos="8370" w:leader="none"/>
        </w:tabs>
        <w:ind w:hanging="360" w:start="1800" w:end="0"/>
        <w:rPr>
          <w:rFonts w:ascii="Arial" w:hAnsi="Arial" w:cs="Arial"/>
          <w:sz w:val="24"/>
        </w:rPr>
      </w:pPr>
      <w:r>
        <w:rPr>
          <w:rFonts w:cs="Arial" w:ascii="Arial" w:hAnsi="Arial"/>
          <w:sz w:val="24"/>
        </w:rPr>
        <w:t>No trial date has been set.</w:t>
      </w:r>
    </w:p>
    <w:p>
      <w:pPr>
        <w:pStyle w:val="Normal"/>
        <w:tabs>
          <w:tab w:val="clear" w:pos="720"/>
          <w:tab w:val="left" w:pos="1080" w:leader="none"/>
          <w:tab w:val="left" w:pos="7740" w:leader="none"/>
          <w:tab w:val="left" w:pos="8370" w:leader="none"/>
        </w:tabs>
        <w:ind w:hanging="360" w:start="1800" w:end="0"/>
        <w:rPr>
          <w:rFonts w:ascii="Arial" w:hAnsi="Arial" w:cs="Arial"/>
          <w:sz w:val="24"/>
        </w:rPr>
      </w:pPr>
      <w:r>
        <w:rPr>
          <w:rFonts w:cs="Arial" w:ascii="Arial" w:hAnsi="Arial"/>
          <w:sz w:val="24"/>
        </w:rPr>
      </w:r>
    </w:p>
    <w:p>
      <w:pPr>
        <w:pStyle w:val="Heading2"/>
        <w:keepNext w:val="false"/>
        <w:tabs>
          <w:tab w:val="clear" w:pos="720"/>
          <w:tab w:val="left" w:pos="7740" w:leader="none"/>
          <w:tab w:val="left" w:pos="7920" w:leader="none"/>
          <w:tab w:val="left" w:pos="8370" w:leader="none"/>
        </w:tabs>
        <w:ind w:hanging="0" w:start="1440" w:end="0"/>
        <w:rPr/>
      </w:pPr>
      <w:r>
        <w:rPr>
          <w:b/>
        </w:rPr>
        <w:t>Hotelera del Atlantico v. SECLP</w:t>
      </w:r>
      <w:r>
        <w:rPr>
          <w:b/>
          <w:u w:val="none"/>
        </w:rPr>
        <w:tab/>
        <w:t>(Not Updated)</w:t>
      </w:r>
    </w:p>
    <w:p>
      <w:pPr>
        <w:pStyle w:val="Normal"/>
        <w:tabs>
          <w:tab w:val="clear" w:pos="720"/>
          <w:tab w:val="left" w:pos="7740" w:leader="none"/>
          <w:tab w:val="left" w:pos="8370" w:leader="none"/>
        </w:tabs>
        <w:ind w:start="1440" w:end="0"/>
        <w:rPr/>
      </w:pPr>
      <w:r>
        <w:rPr>
          <w:rFonts w:cs="Arial" w:ascii="Arial" w:hAnsi="Arial"/>
          <w:sz w:val="24"/>
        </w:rPr>
        <w:t>(Dominican Republic Court of 1</w:t>
      </w:r>
      <w:r>
        <w:rPr>
          <w:rFonts w:cs="Arial" w:ascii="Arial" w:hAnsi="Arial"/>
          <w:sz w:val="24"/>
          <w:vertAlign w:val="superscript"/>
        </w:rPr>
        <w:t>st</w:t>
      </w:r>
      <w:r>
        <w:rPr>
          <w:rFonts w:cs="Arial" w:ascii="Arial" w:hAnsi="Arial"/>
          <w:sz w:val="24"/>
        </w:rPr>
        <w:t xml:space="preserve"> Instance) (Hipolito Herrera/Pellerano &amp; Herrera) ($11.9 million plus interest awarded against SECLP) (Enron’s Interest: 85%)</w:t>
      </w:r>
    </w:p>
    <w:p>
      <w:pPr>
        <w:pStyle w:val="Normal"/>
        <w:tabs>
          <w:tab w:val="clear" w:pos="720"/>
          <w:tab w:val="left" w:pos="7740" w:leader="none"/>
          <w:tab w:val="left" w:pos="8370" w:leader="none"/>
        </w:tabs>
        <w:ind w:start="1440" w:end="0"/>
        <w:rPr>
          <w:rFonts w:ascii="Arial" w:hAnsi="Arial" w:cs="Arial"/>
          <w:sz w:val="24"/>
        </w:rPr>
      </w:pPr>
      <w:r>
        <w:rPr>
          <w:rFonts w:cs="Arial" w:ascii="Arial" w:hAnsi="Arial"/>
          <w:sz w:val="24"/>
        </w:rPr>
      </w:r>
    </w:p>
    <w:p>
      <w:pPr>
        <w:pStyle w:val="BodyText"/>
        <w:numPr>
          <w:ilvl w:val="0"/>
          <w:numId w:val="76"/>
        </w:numPr>
        <w:tabs>
          <w:tab w:val="clear" w:pos="720"/>
          <w:tab w:val="left" w:pos="1800" w:leader="none"/>
          <w:tab w:val="left" w:pos="7740" w:leader="none"/>
          <w:tab w:val="left" w:pos="8370" w:leader="none"/>
        </w:tabs>
        <w:ind w:hanging="360" w:start="1800" w:end="0"/>
        <w:jc w:val="start"/>
        <w:rPr/>
      </w:pPr>
      <w:r>
        <w:rPr/>
        <w:t xml:space="preserve">On September 4, 1995, Hotelera del Atlantico filed a demand for arbitration in connection with SECLP’s alleged breach of a settlement agreement.  </w:t>
      </w:r>
    </w:p>
    <w:p>
      <w:pPr>
        <w:pStyle w:val="BodyText"/>
        <w:numPr>
          <w:ilvl w:val="0"/>
          <w:numId w:val="76"/>
        </w:numPr>
        <w:tabs>
          <w:tab w:val="clear" w:pos="720"/>
          <w:tab w:val="left" w:pos="1800" w:leader="none"/>
          <w:tab w:val="left" w:pos="7740" w:leader="none"/>
          <w:tab w:val="left" w:pos="8370" w:leader="none"/>
        </w:tabs>
        <w:ind w:hanging="360" w:start="1800" w:end="0"/>
        <w:jc w:val="start"/>
        <w:rPr/>
      </w:pPr>
      <w:r>
        <w:rPr/>
        <w:t xml:space="preserve">On April 8, 1998, the hotel owners were awarded RD$187,000,000 (approximately US$12,000,000) plus interest at a 12% annual rate computed from the date of the filing of the arbitration until the date of payment.  </w:t>
      </w:r>
    </w:p>
    <w:p>
      <w:pPr>
        <w:pStyle w:val="BodyText"/>
        <w:numPr>
          <w:ilvl w:val="0"/>
          <w:numId w:val="76"/>
        </w:numPr>
        <w:tabs>
          <w:tab w:val="clear" w:pos="720"/>
          <w:tab w:val="left" w:pos="1800" w:leader="none"/>
          <w:tab w:val="left" w:pos="7740" w:leader="none"/>
          <w:tab w:val="left" w:pos="8370" w:leader="none"/>
        </w:tabs>
        <w:ind w:hanging="360" w:start="1800" w:end="0"/>
        <w:jc w:val="start"/>
        <w:rPr/>
      </w:pPr>
      <w:r>
        <w:rPr/>
        <w:t xml:space="preserve">SECLP has filed four proceedings in the Dominican Republic courts challenging the award: (i) a proceeding to enjoin its enforcement; (ii) an action to nullify it; (iii) an appeal; and (iv) a claim under the Civil Code of the Dominican Republic for false statements made in the award.  </w:t>
      </w:r>
    </w:p>
    <w:p>
      <w:pPr>
        <w:pStyle w:val="BodyText"/>
        <w:numPr>
          <w:ilvl w:val="0"/>
          <w:numId w:val="76"/>
        </w:numPr>
        <w:tabs>
          <w:tab w:val="clear" w:pos="720"/>
          <w:tab w:val="left" w:pos="1800" w:leader="none"/>
          <w:tab w:val="left" w:pos="7740" w:leader="none"/>
          <w:tab w:val="left" w:pos="8370" w:leader="none"/>
        </w:tabs>
        <w:ind w:hanging="360" w:start="1800" w:end="0"/>
        <w:jc w:val="start"/>
        <w:rPr/>
      </w:pPr>
      <w:r>
        <w:rPr/>
        <w:t xml:space="preserve">On June 4, 1998, the hotel owners conceded that enforcement of the award was stayed pending the resolution of these proceedings.  </w:t>
      </w:r>
    </w:p>
    <w:p>
      <w:pPr>
        <w:pStyle w:val="BodyText"/>
        <w:numPr>
          <w:ilvl w:val="0"/>
          <w:numId w:val="76"/>
        </w:numPr>
        <w:tabs>
          <w:tab w:val="clear" w:pos="720"/>
          <w:tab w:val="left" w:pos="1800" w:leader="none"/>
          <w:tab w:val="left" w:pos="7740" w:leader="none"/>
          <w:tab w:val="left" w:pos="8370" w:leader="none"/>
        </w:tabs>
        <w:ind w:hanging="360" w:start="1800" w:end="0"/>
        <w:jc w:val="start"/>
        <w:rPr/>
      </w:pPr>
      <w:r>
        <w:rPr/>
        <w:t xml:space="preserve">Final arguments have been made on whether the false declaration suit may proceed, and the court’s decision is pending.  </w:t>
      </w:r>
    </w:p>
    <w:p>
      <w:pPr>
        <w:pStyle w:val="BodyText"/>
        <w:numPr>
          <w:ilvl w:val="0"/>
          <w:numId w:val="76"/>
        </w:numPr>
        <w:tabs>
          <w:tab w:val="clear" w:pos="720"/>
          <w:tab w:val="left" w:pos="1800" w:leader="none"/>
          <w:tab w:val="left" w:pos="7740" w:leader="none"/>
          <w:tab w:val="left" w:pos="8370" w:leader="none"/>
        </w:tabs>
        <w:ind w:hanging="360" w:start="1800" w:end="0"/>
        <w:jc w:val="start"/>
        <w:rPr/>
      </w:pPr>
      <w:r>
        <w:rPr/>
        <w:t>All other actions are abated pending resolution of the false declaration suit.</w:t>
      </w:r>
    </w:p>
    <w:p>
      <w:pPr>
        <w:pStyle w:val="BodyText"/>
        <w:tabs>
          <w:tab w:val="clear" w:pos="720"/>
          <w:tab w:val="left" w:pos="7740" w:leader="none"/>
          <w:tab w:val="left" w:pos="8370" w:leader="none"/>
        </w:tabs>
        <w:ind w:start="1440" w:end="0"/>
        <w:jc w:val="start"/>
        <w:rPr/>
      </w:pPr>
      <w:r>
        <w:rPr/>
      </w:r>
    </w:p>
    <w:p>
      <w:pPr>
        <w:pStyle w:val="BodyText"/>
        <w:tabs>
          <w:tab w:val="clear" w:pos="720"/>
          <w:tab w:val="left" w:pos="7740" w:leader="none"/>
          <w:tab w:val="left" w:pos="8370" w:leader="none"/>
        </w:tabs>
        <w:ind w:start="1440" w:end="0"/>
        <w:jc w:val="start"/>
        <w:rPr/>
      </w:pPr>
      <w:r>
        <w:rPr/>
      </w:r>
    </w:p>
    <w:p>
      <w:pPr>
        <w:pStyle w:val="BodyText"/>
        <w:tabs>
          <w:tab w:val="clear" w:pos="720"/>
          <w:tab w:val="left" w:pos="7740" w:leader="none"/>
          <w:tab w:val="left" w:pos="8370" w:leader="none"/>
        </w:tabs>
        <w:ind w:start="1440" w:end="0"/>
        <w:jc w:val="start"/>
        <w:rPr/>
      </w:pPr>
      <w:r>
        <w:rPr/>
      </w:r>
    </w:p>
    <w:p>
      <w:pPr>
        <w:pStyle w:val="BodyText"/>
        <w:tabs>
          <w:tab w:val="clear" w:pos="720"/>
          <w:tab w:val="left" w:pos="7740" w:leader="none"/>
          <w:tab w:val="left" w:pos="8370" w:leader="none"/>
        </w:tabs>
        <w:ind w:start="1440" w:end="0"/>
        <w:jc w:val="start"/>
        <w:rPr/>
      </w:pPr>
      <w:r>
        <w:rPr/>
      </w:r>
    </w:p>
    <w:p>
      <w:pPr>
        <w:pStyle w:val="BodyText"/>
        <w:tabs>
          <w:tab w:val="clear" w:pos="720"/>
          <w:tab w:val="left" w:pos="7740" w:leader="none"/>
          <w:tab w:val="left" w:pos="8370" w:leader="none"/>
        </w:tabs>
        <w:ind w:start="1440" w:end="0"/>
        <w:jc w:val="start"/>
        <w:rPr/>
      </w:pPr>
      <w:r>
        <w:rPr/>
      </w:r>
    </w:p>
    <w:p>
      <w:pPr>
        <w:pStyle w:val="BodyText"/>
        <w:tabs>
          <w:tab w:val="clear" w:pos="720"/>
          <w:tab w:val="left" w:pos="7740" w:leader="none"/>
          <w:tab w:val="left" w:pos="8370" w:leader="none"/>
        </w:tabs>
        <w:ind w:start="1440" w:end="0"/>
        <w:jc w:val="start"/>
        <w:rPr/>
      </w:pPr>
      <w:r>
        <w:rPr/>
      </w:r>
    </w:p>
    <w:p>
      <w:pPr>
        <w:pStyle w:val="BodyText"/>
        <w:tabs>
          <w:tab w:val="clear" w:pos="720"/>
          <w:tab w:val="left" w:pos="7740" w:leader="none"/>
          <w:tab w:val="left" w:pos="8370" w:leader="none"/>
        </w:tabs>
        <w:ind w:start="1440" w:end="0"/>
        <w:jc w:val="start"/>
        <w:rPr/>
      </w:pPr>
      <w:r>
        <w:rPr/>
      </w:r>
    </w:p>
    <w:p>
      <w:pPr>
        <w:pStyle w:val="Heading2"/>
        <w:keepLines/>
        <w:tabs>
          <w:tab w:val="clear" w:pos="720"/>
          <w:tab w:val="left" w:pos="7740" w:leader="none"/>
        </w:tabs>
        <w:ind w:hanging="0" w:start="1440" w:end="0"/>
        <w:rPr/>
      </w:pPr>
      <w:r>
        <w:rPr>
          <w:b/>
        </w:rPr>
        <w:t>Montecristi Corporation et al. v. SECLP et al.</w:t>
      </w:r>
      <w:r>
        <w:rPr>
          <w:b/>
          <w:u w:val="none"/>
        </w:rPr>
        <w:tab/>
        <w:t>(Updated)</w:t>
      </w:r>
    </w:p>
    <w:p>
      <w:pPr>
        <w:pStyle w:val="BodyTextIndent3"/>
        <w:ind w:start="720" w:end="0"/>
        <w:rPr/>
      </w:pPr>
      <w:r>
        <w:rPr>
          <w:b w:val="false"/>
          <w:bCs/>
          <w:sz w:val="24"/>
        </w:rPr>
        <w:t>(Dominican Republic Court of 1</w:t>
      </w:r>
      <w:r>
        <w:rPr>
          <w:b w:val="false"/>
          <w:bCs/>
          <w:sz w:val="24"/>
          <w:vertAlign w:val="superscript"/>
        </w:rPr>
        <w:t>st</w:t>
      </w:r>
      <w:r>
        <w:rPr>
          <w:b w:val="false"/>
          <w:bCs/>
          <w:sz w:val="24"/>
        </w:rPr>
        <w:t xml:space="preserve"> Instance/New York State Court) </w:t>
      </w:r>
    </w:p>
    <w:p>
      <w:pPr>
        <w:pStyle w:val="BodyTextIndent3"/>
        <w:ind w:start="720" w:end="0"/>
        <w:rPr/>
      </w:pPr>
      <w:r>
        <w:rPr>
          <w:b w:val="false"/>
          <w:bCs/>
          <w:sz w:val="24"/>
        </w:rPr>
        <w:t>(John Gardiner/Skadden Arps Meagher &amp; Flom)</w:t>
      </w:r>
      <w:r>
        <w:rPr>
          <w:sz w:val="24"/>
        </w:rPr>
        <w:t xml:space="preserve"> </w:t>
      </w:r>
      <w:r>
        <w:rPr>
          <w:bCs/>
          <w:sz w:val="24"/>
        </w:rPr>
        <w:t>(Roberto Rizik and</w:t>
      </w:r>
    </w:p>
    <w:p>
      <w:pPr>
        <w:pStyle w:val="BodyTextIndent3"/>
        <w:ind w:start="720" w:end="0"/>
        <w:rPr/>
      </w:pPr>
      <w:r>
        <w:rPr>
          <w:bCs/>
          <w:sz w:val="24"/>
        </w:rPr>
        <w:t>Pancho Alvarez/Headrick Rizik Alvarez &amp; Fern</w:t>
      </w:r>
      <w:r>
        <w:rPr>
          <w:rFonts w:cs="Arial"/>
          <w:bCs/>
          <w:sz w:val="24"/>
        </w:rPr>
        <w:t>á</w:t>
      </w:r>
      <w:r>
        <w:rPr>
          <w:bCs/>
          <w:sz w:val="24"/>
        </w:rPr>
        <w:t>ndez)</w:t>
      </w:r>
      <w:r>
        <w:rPr>
          <w:b w:val="false"/>
          <w:sz w:val="24"/>
        </w:rPr>
        <w:t xml:space="preserve"> </w:t>
      </w:r>
      <w:r>
        <w:rPr>
          <w:b w:val="false"/>
          <w:bCs/>
          <w:sz w:val="24"/>
        </w:rPr>
        <w:t xml:space="preserve">($41.5 million) </w:t>
      </w:r>
    </w:p>
    <w:p>
      <w:pPr>
        <w:pStyle w:val="BodyTextIndent3"/>
        <w:ind w:start="720" w:end="0"/>
        <w:rPr>
          <w:b w:val="false"/>
          <w:bCs/>
          <w:sz w:val="24"/>
        </w:rPr>
      </w:pPr>
      <w:r>
        <w:rPr>
          <w:b w:val="false"/>
          <w:bCs/>
          <w:sz w:val="24"/>
        </w:rPr>
        <w:t>(Enron’s Interest: 85%)</w:t>
      </w:r>
    </w:p>
    <w:p>
      <w:pPr>
        <w:pStyle w:val="Normal"/>
        <w:tabs>
          <w:tab w:val="left" w:pos="720" w:leader="none"/>
          <w:tab w:val="left" w:pos="7740" w:leader="none"/>
          <w:tab w:val="left" w:pos="8370" w:leader="none"/>
        </w:tabs>
        <w:ind w:start="1440" w:end="0"/>
        <w:rPr>
          <w:rFonts w:ascii="Arial" w:hAnsi="Arial" w:cs="Arial"/>
          <w:b/>
          <w:bCs/>
          <w:sz w:val="24"/>
        </w:rPr>
      </w:pPr>
      <w:r>
        <w:rPr>
          <w:rFonts w:cs="Arial" w:ascii="Arial" w:hAnsi="Arial"/>
          <w:b/>
          <w:bCs/>
          <w:sz w:val="24"/>
        </w:rPr>
      </w:r>
    </w:p>
    <w:p>
      <w:pPr>
        <w:pStyle w:val="BodyText"/>
        <w:numPr>
          <w:ilvl w:val="0"/>
          <w:numId w:val="42"/>
        </w:numPr>
        <w:tabs>
          <w:tab w:val="clear" w:pos="720"/>
          <w:tab w:val="left" w:pos="1080" w:leader="none"/>
          <w:tab w:val="left" w:pos="1800" w:leader="none"/>
          <w:tab w:val="left" w:pos="7740" w:leader="none"/>
          <w:tab w:val="left" w:pos="8370" w:leader="none"/>
        </w:tabs>
        <w:ind w:hanging="360" w:start="1800" w:end="0"/>
        <w:jc w:val="start"/>
        <w:rPr/>
      </w:pPr>
      <w:r>
        <w:rPr/>
        <w:t>Montecristi claims that Don Smith breached an alleged joint venture agreement regarding Montecristi’s participation in the Puerto Plata power project, and seeks to invalidate Smith’s assignment of the Power Purchase Agreement to SECLP.  The petitions seek $41.5 million in damages.</w:t>
      </w:r>
    </w:p>
    <w:p>
      <w:pPr>
        <w:pStyle w:val="BodyText"/>
        <w:numPr>
          <w:ilvl w:val="0"/>
          <w:numId w:val="141"/>
        </w:numPr>
        <w:tabs>
          <w:tab w:val="clear" w:pos="720"/>
          <w:tab w:val="left" w:pos="1080" w:leader="none"/>
          <w:tab w:val="left" w:pos="1800" w:leader="none"/>
          <w:tab w:val="left" w:pos="7740" w:leader="none"/>
          <w:tab w:val="left" w:pos="8370" w:leader="none"/>
        </w:tabs>
        <w:ind w:hanging="360" w:start="1800" w:end="0"/>
        <w:jc w:val="start"/>
        <w:rPr/>
      </w:pPr>
      <w:r>
        <w:rPr/>
        <w:t xml:space="preserve">Based on a previously executed settlement agreement and release, a New York state court has enjoined Montecristi from prosecuting the action in the Dominican Republic. Montecristi has to date ignored the New York court’s order.  </w:t>
      </w:r>
    </w:p>
    <w:p>
      <w:pPr>
        <w:pStyle w:val="BodyText"/>
        <w:numPr>
          <w:ilvl w:val="0"/>
          <w:numId w:val="24"/>
        </w:numPr>
        <w:tabs>
          <w:tab w:val="clear" w:pos="720"/>
          <w:tab w:val="left" w:pos="1080" w:leader="none"/>
          <w:tab w:val="left" w:pos="1800" w:leader="none"/>
          <w:tab w:val="left" w:pos="7740" w:leader="none"/>
          <w:tab w:val="left" w:pos="8370" w:leader="none"/>
        </w:tabs>
        <w:ind w:hanging="360" w:start="1800" w:end="0"/>
        <w:jc w:val="start"/>
        <w:rPr/>
      </w:pPr>
      <w:r>
        <w:rPr/>
        <w:t>SECLP has requested the Dominican Republic court to formally recognize the New York court's judgment, and dismiss the case.  Decision is pending.</w:t>
      </w:r>
    </w:p>
    <w:p>
      <w:pPr>
        <w:pStyle w:val="BodyText"/>
        <w:numPr>
          <w:ilvl w:val="0"/>
          <w:numId w:val="24"/>
        </w:numPr>
        <w:tabs>
          <w:tab w:val="clear" w:pos="720"/>
          <w:tab w:val="left" w:pos="1080" w:leader="none"/>
          <w:tab w:val="left" w:pos="1800" w:leader="none"/>
          <w:tab w:val="left" w:pos="7740" w:leader="none"/>
          <w:tab w:val="left" w:pos="8370" w:leader="none"/>
        </w:tabs>
        <w:ind w:hanging="360" w:start="1800" w:end="0"/>
        <w:jc w:val="start"/>
        <w:rPr/>
      </w:pPr>
      <w:r>
        <w:rPr>
          <w:b/>
          <w:bCs/>
        </w:rPr>
        <w:t>This case has been transferred from Pellerano &amp; Herrera to Headrick Rizik Alvarez &amp; Fern</w:t>
      </w:r>
      <w:r>
        <w:rPr>
          <w:rFonts w:cs="Arial"/>
          <w:b/>
          <w:bCs/>
        </w:rPr>
        <w:t>á</w:t>
      </w:r>
      <w:r>
        <w:rPr>
          <w:b/>
          <w:bCs/>
        </w:rPr>
        <w:t>ndez.</w:t>
      </w:r>
    </w:p>
    <w:p>
      <w:pPr>
        <w:pStyle w:val="BodyText"/>
        <w:tabs>
          <w:tab w:val="clear" w:pos="720"/>
          <w:tab w:val="left" w:pos="1080" w:leader="none"/>
          <w:tab w:val="left" w:pos="7740" w:leader="none"/>
          <w:tab w:val="left" w:pos="8370" w:leader="none"/>
        </w:tabs>
        <w:ind w:hanging="360" w:start="1800" w:end="0"/>
        <w:jc w:val="start"/>
        <w:rPr/>
      </w:pPr>
      <w:r>
        <w:rPr/>
      </w:r>
    </w:p>
    <w:p>
      <w:pPr>
        <w:pStyle w:val="Heading5"/>
        <w:keepNext w:val="false"/>
        <w:tabs>
          <w:tab w:val="clear" w:pos="720"/>
          <w:tab w:val="left" w:pos="7740" w:leader="none"/>
        </w:tabs>
        <w:ind w:hanging="0" w:start="1440" w:end="0"/>
        <w:rPr/>
      </w:pPr>
      <w:r>
        <w:rPr>
          <w:u w:val="single"/>
        </w:rPr>
        <w:t>Don Smith et al. v. SECLP, Enron International CV,</w:t>
      </w:r>
      <w:r>
        <w:rPr/>
        <w:tab/>
        <w:t>(Updated)</w:t>
      </w:r>
    </w:p>
    <w:p>
      <w:pPr>
        <w:pStyle w:val="BodyText"/>
        <w:tabs>
          <w:tab w:val="clear" w:pos="720"/>
          <w:tab w:val="left" w:pos="7740" w:leader="none"/>
          <w:tab w:val="left" w:pos="8370" w:leader="none"/>
        </w:tabs>
        <w:ind w:start="1440" w:end="0"/>
        <w:jc w:val="start"/>
        <w:rPr>
          <w:b/>
          <w:u w:val="single"/>
        </w:rPr>
      </w:pPr>
      <w:r>
        <w:rPr>
          <w:b/>
          <w:u w:val="single"/>
        </w:rPr>
        <w:t xml:space="preserve">Enron Development Corp., Enron Reserve I BV, </w:t>
      </w:r>
    </w:p>
    <w:p>
      <w:pPr>
        <w:pStyle w:val="BodyText"/>
        <w:tabs>
          <w:tab w:val="clear" w:pos="720"/>
          <w:tab w:val="left" w:pos="7740" w:leader="none"/>
          <w:tab w:val="left" w:pos="8370" w:leader="none"/>
        </w:tabs>
        <w:ind w:start="1440" w:end="0"/>
        <w:jc w:val="start"/>
        <w:rPr>
          <w:b/>
          <w:u w:val="single"/>
        </w:rPr>
      </w:pPr>
      <w:r>
        <w:rPr>
          <w:b/>
          <w:u w:val="single"/>
        </w:rPr>
        <w:t>Atlantic Commercial Financial BV</w:t>
      </w:r>
    </w:p>
    <w:p>
      <w:pPr>
        <w:pStyle w:val="BodyText"/>
        <w:tabs>
          <w:tab w:val="clear" w:pos="720"/>
          <w:tab w:val="left" w:pos="7740" w:leader="none"/>
          <w:tab w:val="left" w:pos="8370" w:leader="none"/>
        </w:tabs>
        <w:ind w:start="1440" w:end="0"/>
        <w:jc w:val="start"/>
        <w:rPr/>
      </w:pPr>
      <w:r>
        <w:rPr>
          <w:b/>
          <w:u w:val="single"/>
        </w:rPr>
        <w:t>and Travamark Two BV</w:t>
      </w:r>
      <w:r>
        <w:rPr>
          <w:b/>
        </w:rPr>
        <w:t xml:space="preserve">  </w:t>
      </w:r>
    </w:p>
    <w:p>
      <w:pPr>
        <w:pStyle w:val="Heading5"/>
        <w:keepNext w:val="false"/>
        <w:tabs>
          <w:tab w:val="left" w:pos="720" w:leader="none"/>
          <w:tab w:val="left" w:pos="7740" w:leader="none"/>
          <w:tab w:val="left" w:pos="7920" w:leader="none"/>
          <w:tab w:val="left" w:pos="8370" w:leader="none"/>
        </w:tabs>
        <w:ind w:hanging="0" w:start="1440" w:end="0"/>
        <w:rPr/>
      </w:pPr>
      <w:r>
        <w:rPr>
          <w:b w:val="false"/>
        </w:rPr>
        <w:t>(Dominican Republic Court of 1</w:t>
      </w:r>
      <w:r>
        <w:rPr>
          <w:b w:val="false"/>
          <w:vertAlign w:val="superscript"/>
        </w:rPr>
        <w:t>st</w:t>
      </w:r>
      <w:r>
        <w:rPr>
          <w:b w:val="false"/>
        </w:rPr>
        <w:t xml:space="preserve"> Instance) (U.S. District Court, Southern District of New York) (Greg Markel/Brobeck, Phleger &amp; Harrison) (Hipolito Herrera/ Pellerano &amp; Herrera)</w:t>
      </w:r>
      <w:r>
        <w:rPr/>
        <w:t xml:space="preserve"> </w:t>
      </w:r>
      <w:r>
        <w:rPr>
          <w:b w:val="false"/>
        </w:rPr>
        <w:t xml:space="preserve">($159 million) </w:t>
      </w:r>
    </w:p>
    <w:p>
      <w:pPr>
        <w:pStyle w:val="Normal"/>
        <w:tabs>
          <w:tab w:val="left" w:pos="720" w:leader="none"/>
          <w:tab w:val="left" w:pos="7740" w:leader="none"/>
          <w:tab w:val="left" w:pos="8370" w:leader="none"/>
        </w:tabs>
        <w:ind w:start="1440" w:end="0"/>
        <w:rPr>
          <w:rFonts w:ascii="Arial" w:hAnsi="Arial" w:cs="Arial"/>
          <w:b/>
          <w:sz w:val="24"/>
        </w:rPr>
      </w:pPr>
      <w:r>
        <w:rPr>
          <w:rFonts w:cs="Arial" w:ascii="Arial" w:hAnsi="Arial"/>
          <w:b/>
          <w:sz w:val="24"/>
        </w:rPr>
      </w:r>
    </w:p>
    <w:p>
      <w:pPr>
        <w:pStyle w:val="BodyText"/>
        <w:numPr>
          <w:ilvl w:val="0"/>
          <w:numId w:val="41"/>
        </w:numPr>
        <w:tabs>
          <w:tab w:val="clear" w:pos="720"/>
          <w:tab w:val="left" w:pos="1800" w:leader="none"/>
          <w:tab w:val="left" w:pos="7740" w:leader="none"/>
          <w:tab w:val="left" w:pos="8370" w:leader="none"/>
        </w:tabs>
        <w:ind w:hanging="360" w:start="1800" w:end="0"/>
        <w:jc w:val="start"/>
        <w:rPr/>
      </w:pPr>
      <w:r>
        <w:rPr/>
        <w:t xml:space="preserve">On July 31, 1999, Don Smith and Smith Cogeneration International ("Smith") filed this fraud suit alleging that, in 1993, he was defrauded of certain rights Smith had in a Power Purchase Agreement with the state-owned utility, CDE.  </w:t>
      </w:r>
    </w:p>
    <w:p>
      <w:pPr>
        <w:pStyle w:val="BodyText"/>
        <w:numPr>
          <w:ilvl w:val="0"/>
          <w:numId w:val="41"/>
        </w:numPr>
        <w:tabs>
          <w:tab w:val="clear" w:pos="720"/>
          <w:tab w:val="left" w:pos="1800" w:leader="none"/>
          <w:tab w:val="left" w:pos="7740" w:leader="none"/>
          <w:tab w:val="left" w:pos="8370" w:leader="none"/>
        </w:tabs>
        <w:ind w:hanging="360" w:start="1800" w:end="0"/>
        <w:jc w:val="start"/>
        <w:rPr/>
      </w:pPr>
      <w:r>
        <w:rPr/>
        <w:t>Smith has asked the court to void the agreements between Smith and Enron regarding the Puerto Plata project, and is seeking damages in the amount of $159 million.</w:t>
      </w:r>
    </w:p>
    <w:p>
      <w:pPr>
        <w:pStyle w:val="BodyText"/>
        <w:numPr>
          <w:ilvl w:val="0"/>
          <w:numId w:val="41"/>
        </w:numPr>
        <w:tabs>
          <w:tab w:val="clear" w:pos="720"/>
          <w:tab w:val="left" w:pos="1800" w:leader="none"/>
          <w:tab w:val="left" w:pos="7740" w:leader="none"/>
          <w:tab w:val="left" w:pos="8370" w:leader="none"/>
        </w:tabs>
        <w:ind w:hanging="360" w:start="1800" w:end="0"/>
        <w:jc w:val="start"/>
        <w:rPr/>
      </w:pPr>
      <w:r>
        <w:rPr/>
        <w:t xml:space="preserve">On November 6, 1999, the New York federal court ordered Smith to arbitrate his claims and enjoined him from proceeding with the Dominican Republic suit.  </w:t>
      </w:r>
    </w:p>
    <w:p>
      <w:pPr>
        <w:pStyle w:val="BodyText"/>
        <w:numPr>
          <w:ilvl w:val="0"/>
          <w:numId w:val="41"/>
        </w:numPr>
        <w:tabs>
          <w:tab w:val="clear" w:pos="720"/>
          <w:tab w:val="left" w:pos="1800" w:leader="none"/>
          <w:tab w:val="left" w:pos="7740" w:leader="none"/>
          <w:tab w:val="left" w:pos="8370" w:leader="none"/>
        </w:tabs>
        <w:ind w:hanging="360" w:start="1800" w:end="0"/>
        <w:jc w:val="start"/>
        <w:rPr/>
      </w:pPr>
      <w:r>
        <w:rPr/>
        <w:t xml:space="preserve">On December 8, 1999, the Second Circuit affirmed the district court’s decision ordering Smith to arbitrate his claims. </w:t>
      </w:r>
    </w:p>
    <w:p>
      <w:pPr>
        <w:pStyle w:val="BodyText"/>
        <w:numPr>
          <w:ilvl w:val="0"/>
          <w:numId w:val="41"/>
        </w:numPr>
        <w:tabs>
          <w:tab w:val="clear" w:pos="720"/>
          <w:tab w:val="left" w:pos="1800" w:leader="none"/>
          <w:tab w:val="left" w:pos="7740" w:leader="none"/>
          <w:tab w:val="left" w:pos="8370" w:leader="none"/>
        </w:tabs>
        <w:ind w:hanging="360" w:start="1800" w:end="0"/>
        <w:jc w:val="start"/>
        <w:rPr/>
      </w:pPr>
      <w:r>
        <w:rPr/>
        <w:t>On February 18, 2000, the Second Circuit denied Smith's request for rehearing en banc.</w:t>
      </w:r>
    </w:p>
    <w:p>
      <w:pPr>
        <w:pStyle w:val="BodyText"/>
        <w:numPr>
          <w:ilvl w:val="0"/>
          <w:numId w:val="41"/>
        </w:numPr>
        <w:tabs>
          <w:tab w:val="clear" w:pos="720"/>
          <w:tab w:val="left" w:pos="1800" w:leader="none"/>
          <w:tab w:val="left" w:pos="7740" w:leader="none"/>
          <w:tab w:val="left" w:pos="8370" w:leader="none"/>
        </w:tabs>
        <w:ind w:hanging="360" w:start="1800" w:end="0"/>
        <w:jc w:val="start"/>
        <w:rPr/>
      </w:pPr>
      <w:r>
        <w:rPr/>
        <w:t>Smith petitioned the United States Supreme Court for a writ of certiorari.  Enron filed its response on July 18, 2000.</w:t>
      </w:r>
    </w:p>
    <w:p>
      <w:pPr>
        <w:pStyle w:val="BodyText"/>
        <w:numPr>
          <w:ilvl w:val="0"/>
          <w:numId w:val="41"/>
        </w:numPr>
        <w:tabs>
          <w:tab w:val="clear" w:pos="720"/>
          <w:tab w:val="left" w:pos="1800" w:leader="none"/>
          <w:tab w:val="left" w:pos="7740" w:leader="none"/>
          <w:tab w:val="left" w:pos="8370" w:leader="none"/>
        </w:tabs>
        <w:ind w:hanging="360" w:start="1800" w:end="0"/>
        <w:jc w:val="start"/>
        <w:rPr/>
      </w:pPr>
      <w:r>
        <w:rPr/>
        <w:t xml:space="preserve">On October 5, 2000, the United States Supreme Court denied Smith’s writ of certiorari. </w:t>
      </w:r>
    </w:p>
    <w:p>
      <w:pPr>
        <w:pStyle w:val="BodyText"/>
        <w:numPr>
          <w:ilvl w:val="0"/>
          <w:numId w:val="41"/>
        </w:numPr>
        <w:tabs>
          <w:tab w:val="clear" w:pos="720"/>
          <w:tab w:val="left" w:pos="1800" w:leader="none"/>
          <w:tab w:val="left" w:pos="7740" w:leader="none"/>
          <w:tab w:val="left" w:pos="8370" w:leader="none"/>
        </w:tabs>
        <w:ind w:hanging="360" w:start="1800" w:end="0"/>
        <w:jc w:val="start"/>
        <w:rPr/>
      </w:pPr>
      <w:r>
        <w:rPr>
          <w:b/>
          <w:bCs/>
        </w:rPr>
        <w:t xml:space="preserve">We are attempting to compel Don Smith to dismiss his action in the Dominican Republic courts, as he is now legally barred from going forward.  </w:t>
      </w:r>
    </w:p>
    <w:p>
      <w:pPr>
        <w:pStyle w:val="BodyText"/>
        <w:tabs>
          <w:tab w:val="clear" w:pos="720"/>
          <w:tab w:val="left" w:pos="1080" w:leader="none"/>
          <w:tab w:val="left" w:pos="7740" w:leader="none"/>
          <w:tab w:val="left" w:pos="8370" w:leader="none"/>
        </w:tabs>
        <w:ind w:hanging="360" w:start="1800" w:end="0"/>
        <w:jc w:val="start"/>
        <w:rPr/>
      </w:pPr>
      <w:r>
        <w:rPr/>
      </w:r>
    </w:p>
    <w:p>
      <w:pPr>
        <w:pStyle w:val="Heading6"/>
        <w:keepLines/>
        <w:tabs>
          <w:tab w:val="clear" w:pos="720"/>
          <w:tab w:val="left" w:pos="7740" w:leader="none"/>
          <w:tab w:val="left" w:pos="8370" w:leader="none"/>
        </w:tabs>
        <w:ind w:hanging="0" w:start="1440" w:end="0"/>
        <w:jc w:val="start"/>
        <w:rPr/>
      </w:pPr>
      <w:r>
        <w:rPr>
          <w:u w:val="single"/>
        </w:rPr>
        <w:t>Cayman Barge Embargo v. SECLP</w:t>
      </w:r>
      <w:r>
        <w:rPr/>
        <w:t xml:space="preserve"> (and other IPPs)</w:t>
        <w:tab/>
        <w:t>(Updated)</w:t>
      </w:r>
    </w:p>
    <w:p>
      <w:pPr>
        <w:pStyle w:val="Normal"/>
        <w:keepNext w:val="true"/>
        <w:keepLines/>
        <w:ind w:start="1440" w:end="0"/>
        <w:rPr>
          <w:rFonts w:ascii="Arial" w:hAnsi="Arial" w:cs="Arial"/>
          <w:sz w:val="24"/>
        </w:rPr>
      </w:pPr>
      <w:r>
        <w:rPr>
          <w:rFonts w:cs="Arial" w:ascii="Arial" w:hAnsi="Arial"/>
          <w:sz w:val="24"/>
        </w:rPr>
        <w:t>(Hipolito Herrera/Pellerano &amp; Herrera) (Enron’s Interest: 85%)</w:t>
      </w:r>
    </w:p>
    <w:p>
      <w:pPr>
        <w:pStyle w:val="Normal"/>
        <w:keepNext w:val="true"/>
        <w:keepLines/>
        <w:tabs>
          <w:tab w:val="clear" w:pos="720"/>
          <w:tab w:val="left" w:pos="1080" w:leader="none"/>
        </w:tabs>
        <w:ind w:hanging="360" w:start="1800" w:end="0"/>
        <w:rPr>
          <w:rFonts w:ascii="Arial" w:hAnsi="Arial" w:cs="Arial"/>
          <w:sz w:val="24"/>
        </w:rPr>
      </w:pPr>
      <w:r>
        <w:rPr>
          <w:rFonts w:cs="Arial" w:ascii="Arial" w:hAnsi="Arial"/>
          <w:sz w:val="24"/>
        </w:rPr>
      </w:r>
    </w:p>
    <w:p>
      <w:pPr>
        <w:pStyle w:val="Normal"/>
        <w:keepNext w:val="true"/>
        <w:keepLines/>
        <w:numPr>
          <w:ilvl w:val="0"/>
          <w:numId w:val="92"/>
        </w:numPr>
        <w:tabs>
          <w:tab w:val="clear" w:pos="720"/>
          <w:tab w:val="left" w:pos="1080" w:leader="none"/>
        </w:tabs>
        <w:ind w:hanging="360" w:start="1800" w:end="0"/>
        <w:rPr>
          <w:rFonts w:ascii="Arial" w:hAnsi="Arial" w:cs="Arial"/>
          <w:sz w:val="24"/>
        </w:rPr>
      </w:pPr>
      <w:r>
        <w:rPr>
          <w:rFonts w:cs="Arial" w:ascii="Arial" w:hAnsi="Arial"/>
          <w:sz w:val="24"/>
        </w:rPr>
        <w:t>Cayman Power Barge, a small IPP in the Dominican Republic, issued a "notice of opposition" to the escrow accounts to be set up at Citibank under the Definitive Agreement (“DA”) signed by a group of IPPs and CDE.  The effect of this action was to freeze Citibank's payments under the DA until the dispute is resolved.</w:t>
      </w:r>
    </w:p>
    <w:p>
      <w:pPr>
        <w:pStyle w:val="Normal"/>
        <w:numPr>
          <w:ilvl w:val="0"/>
          <w:numId w:val="92"/>
        </w:numPr>
        <w:tabs>
          <w:tab w:val="clear" w:pos="720"/>
          <w:tab w:val="left" w:pos="1080" w:leader="none"/>
        </w:tabs>
        <w:ind w:hanging="360" w:start="1800" w:end="0"/>
        <w:rPr>
          <w:rFonts w:ascii="Arial" w:hAnsi="Arial" w:cs="Arial"/>
          <w:sz w:val="24"/>
        </w:rPr>
      </w:pPr>
      <w:r>
        <w:rPr>
          <w:rFonts w:cs="Arial" w:ascii="Arial" w:hAnsi="Arial"/>
          <w:sz w:val="24"/>
        </w:rPr>
        <w:t xml:space="preserve">Cayman claimed its PPA with CDE entitles it to be included in the DA and that it had been unlawfully excluded from the IPP’s consortium and the payment mechanism set up under the DA.  </w:t>
      </w:r>
    </w:p>
    <w:p>
      <w:pPr>
        <w:pStyle w:val="Normal"/>
        <w:numPr>
          <w:ilvl w:val="0"/>
          <w:numId w:val="92"/>
        </w:numPr>
        <w:tabs>
          <w:tab w:val="clear" w:pos="720"/>
          <w:tab w:val="left" w:pos="1080" w:leader="none"/>
        </w:tabs>
        <w:ind w:hanging="360" w:start="1800" w:end="0"/>
        <w:rPr>
          <w:rFonts w:ascii="Arial" w:hAnsi="Arial" w:cs="Arial"/>
          <w:sz w:val="24"/>
        </w:rPr>
      </w:pPr>
      <w:r>
        <w:rPr>
          <w:rFonts w:cs="Arial" w:ascii="Arial" w:hAnsi="Arial"/>
          <w:sz w:val="24"/>
        </w:rPr>
        <w:t>In January 2000, Cayman Barge filed suit against CDE requesting a court order to stop the implementation of the DA between the IPPs and the CDE.</w:t>
      </w:r>
    </w:p>
    <w:p>
      <w:pPr>
        <w:pStyle w:val="Normal"/>
        <w:numPr>
          <w:ilvl w:val="0"/>
          <w:numId w:val="92"/>
        </w:numPr>
        <w:tabs>
          <w:tab w:val="clear" w:pos="720"/>
          <w:tab w:val="left" w:pos="1080" w:leader="none"/>
        </w:tabs>
        <w:ind w:hanging="360" w:start="1800" w:end="0"/>
        <w:rPr>
          <w:rFonts w:ascii="Arial" w:hAnsi="Arial" w:cs="Arial"/>
          <w:b/>
          <w:bCs/>
          <w:sz w:val="24"/>
        </w:rPr>
      </w:pPr>
      <w:r>
        <w:rPr>
          <w:rFonts w:cs="Arial" w:ascii="Arial" w:hAnsi="Arial"/>
          <w:b/>
          <w:bCs/>
          <w:sz w:val="24"/>
        </w:rPr>
        <w:t>Cayman Barge has indicated that it will dismiss its claims because it has been included in the renegotiation of the DA.</w:t>
      </w:r>
    </w:p>
    <w:p>
      <w:pPr>
        <w:pStyle w:val="BodyText"/>
        <w:tabs>
          <w:tab w:val="clear" w:pos="720"/>
          <w:tab w:val="left" w:pos="1080" w:leader="none"/>
          <w:tab w:val="left" w:pos="7740" w:leader="none"/>
          <w:tab w:val="left" w:pos="8370" w:leader="none"/>
        </w:tabs>
        <w:ind w:hanging="360" w:start="1800" w:end="0"/>
        <w:jc w:val="start"/>
        <w:rPr>
          <w:rFonts w:ascii="Arial" w:hAnsi="Arial" w:cs="Arial"/>
          <w:b/>
          <w:bCs/>
          <w:sz w:val="24"/>
        </w:rPr>
      </w:pPr>
      <w:r>
        <w:rPr>
          <w:rFonts w:cs="Arial"/>
          <w:b/>
          <w:bCs/>
          <w:sz w:val="24"/>
        </w:rPr>
      </w:r>
    </w:p>
    <w:p>
      <w:pPr>
        <w:pStyle w:val="Heading5"/>
        <w:keepNext w:val="false"/>
        <w:tabs>
          <w:tab w:val="clear" w:pos="720"/>
          <w:tab w:val="left" w:pos="7740" w:leader="none"/>
        </w:tabs>
        <w:ind w:hanging="0" w:start="1440" w:end="0"/>
        <w:rPr>
          <w:u w:val="single"/>
        </w:rPr>
      </w:pPr>
      <w:r>
        <w:rPr>
          <w:u w:val="single"/>
        </w:rPr>
        <w:t xml:space="preserve">Finven Financial Institution Limited v. </w:t>
      </w:r>
      <w:r>
        <w:rPr/>
        <w:tab/>
        <w:t>(Not Updated)</w:t>
      </w:r>
    </w:p>
    <w:p>
      <w:pPr>
        <w:pStyle w:val="Heading5"/>
        <w:keepNext w:val="false"/>
        <w:tabs>
          <w:tab w:val="clear" w:pos="720"/>
          <w:tab w:val="left" w:pos="7740" w:leader="none"/>
          <w:tab w:val="left" w:pos="7920" w:leader="none"/>
          <w:tab w:val="left" w:pos="8370" w:leader="none"/>
        </w:tabs>
        <w:ind w:hanging="0" w:start="1440" w:end="0"/>
        <w:rPr>
          <w:u w:val="single"/>
        </w:rPr>
      </w:pPr>
      <w:r>
        <w:rPr>
          <w:u w:val="single"/>
        </w:rPr>
        <w:t>Smith Cogeneration Dominicana Limited</w:t>
      </w:r>
    </w:p>
    <w:p>
      <w:pPr>
        <w:pStyle w:val="BodyText"/>
        <w:tabs>
          <w:tab w:val="left" w:pos="720" w:leader="none"/>
          <w:tab w:val="left" w:pos="7740" w:leader="none"/>
          <w:tab w:val="left" w:pos="8370" w:leader="none"/>
        </w:tabs>
        <w:ind w:start="1440" w:end="0"/>
        <w:jc w:val="start"/>
        <w:rPr/>
      </w:pPr>
      <w:r>
        <w:rPr/>
        <w:t>(Grand Court of the Cayman Islands) (Hunter &amp; Hunter) ($300,000)</w:t>
      </w:r>
    </w:p>
    <w:p>
      <w:pPr>
        <w:pStyle w:val="BodyText"/>
        <w:tabs>
          <w:tab w:val="clear" w:pos="720"/>
          <w:tab w:val="left" w:pos="1080" w:leader="none"/>
          <w:tab w:val="left" w:pos="7740" w:leader="none"/>
          <w:tab w:val="left" w:pos="8370" w:leader="none"/>
        </w:tabs>
        <w:ind w:hanging="360" w:start="1800" w:end="0"/>
        <w:jc w:val="start"/>
        <w:rPr/>
      </w:pPr>
      <w:r>
        <w:rPr/>
      </w:r>
    </w:p>
    <w:p>
      <w:pPr>
        <w:pStyle w:val="BodyText"/>
        <w:numPr>
          <w:ilvl w:val="0"/>
          <w:numId w:val="139"/>
        </w:numPr>
        <w:tabs>
          <w:tab w:val="clear" w:pos="720"/>
          <w:tab w:val="left" w:pos="1800" w:leader="none"/>
          <w:tab w:val="left" w:pos="7740" w:leader="none"/>
          <w:tab w:val="left" w:pos="8370" w:leader="none"/>
        </w:tabs>
        <w:ind w:hanging="360" w:start="1800" w:end="0"/>
        <w:jc w:val="start"/>
        <w:rPr/>
      </w:pPr>
      <w:r>
        <w:rPr/>
        <w:t>Finven brought suit against Smith to collect $300,000 in attorneys’ fees awarded in an arbitration brought by Smith which resulted in a decision in favor of Enron.</w:t>
      </w:r>
    </w:p>
    <w:p>
      <w:pPr>
        <w:pStyle w:val="BodyText"/>
        <w:tabs>
          <w:tab w:val="clear" w:pos="720"/>
          <w:tab w:val="left" w:pos="7740" w:leader="none"/>
          <w:tab w:val="left" w:pos="8370" w:leader="none"/>
        </w:tabs>
        <w:ind w:start="720" w:end="0"/>
        <w:jc w:val="start"/>
        <w:rPr/>
      </w:pPr>
      <w:r>
        <w:rPr/>
      </w:r>
    </w:p>
    <w:p>
      <w:pPr>
        <w:pStyle w:val="BodyText"/>
        <w:tabs>
          <w:tab w:val="clear" w:pos="720"/>
          <w:tab w:val="left" w:pos="7740" w:leader="none"/>
          <w:tab w:val="left" w:pos="8370" w:leader="none"/>
        </w:tabs>
        <w:ind w:start="720" w:end="0"/>
        <w:jc w:val="start"/>
        <w:rPr/>
      </w:pPr>
      <w:r>
        <w:rPr/>
      </w:r>
    </w:p>
    <w:p>
      <w:pPr>
        <w:pStyle w:val="Heading5"/>
        <w:ind w:hanging="0" w:start="720" w:end="0"/>
        <w:rPr/>
      </w:pPr>
      <w:r>
        <w:rPr/>
        <w:t>II.</w:t>
        <w:tab/>
        <w:t>CLAIMS/DISPUTES</w:t>
      </w:r>
    </w:p>
    <w:p>
      <w:pPr>
        <w:pStyle w:val="Heading5"/>
        <w:ind w:hanging="0" w:start="720" w:end="0"/>
        <w:rPr/>
      </w:pPr>
      <w:r>
        <w:rPr/>
      </w:r>
    </w:p>
    <w:p>
      <w:pPr>
        <w:pStyle w:val="Heading5"/>
        <w:keepLines/>
        <w:tabs>
          <w:tab w:val="clear" w:pos="720"/>
          <w:tab w:val="left" w:pos="7740" w:leader="none"/>
        </w:tabs>
        <w:ind w:hanging="0" w:start="1440" w:end="0"/>
        <w:rPr>
          <w:u w:val="single"/>
        </w:rPr>
      </w:pPr>
      <w:r>
        <w:rPr>
          <w:u w:val="single"/>
        </w:rPr>
        <w:t>SECLP Steam Turbine Dispute</w:t>
      </w:r>
      <w:r>
        <w:rPr/>
        <w:tab/>
        <w:t>(New)</w:t>
      </w:r>
    </w:p>
    <w:p>
      <w:pPr>
        <w:pStyle w:val="Heading9"/>
        <w:keepLines/>
        <w:tabs>
          <w:tab w:val="clear" w:pos="720"/>
          <w:tab w:val="left" w:pos="7740" w:leader="none"/>
          <w:tab w:val="left" w:pos="8370" w:leader="none"/>
        </w:tabs>
        <w:ind w:hanging="0" w:start="1440" w:end="0"/>
        <w:jc w:val="start"/>
        <w:rPr/>
      </w:pPr>
      <w:r>
        <w:rPr/>
        <w:t>(Gordon Grimes/Bernstein, Shur, Sawyer &amp; Nelson; David Brown/Vinson &amp; Elkins)</w:t>
      </w:r>
      <w:r>
        <w:rPr>
          <w:b/>
        </w:rPr>
        <w:t xml:space="preserve"> </w:t>
      </w:r>
      <w:r>
        <w:rPr/>
        <w:t xml:space="preserve">(US$15-20 million) </w:t>
      </w:r>
    </w:p>
    <w:p>
      <w:pPr>
        <w:pStyle w:val="BodyText"/>
        <w:tabs>
          <w:tab w:val="clear" w:pos="720"/>
          <w:tab w:val="left" w:pos="7740" w:leader="none"/>
          <w:tab w:val="left" w:pos="8370" w:leader="none"/>
        </w:tabs>
        <w:ind w:start="720" w:end="0"/>
        <w:jc w:val="start"/>
        <w:rPr/>
      </w:pPr>
      <w:r>
        <w:rPr/>
      </w:r>
    </w:p>
    <w:p>
      <w:pPr>
        <w:pStyle w:val="BodyText"/>
        <w:numPr>
          <w:ilvl w:val="0"/>
          <w:numId w:val="139"/>
        </w:numPr>
        <w:tabs>
          <w:tab w:val="clear" w:pos="720"/>
          <w:tab w:val="left" w:pos="1800" w:leader="none"/>
          <w:tab w:val="left" w:pos="7740" w:leader="none"/>
          <w:tab w:val="left" w:pos="8370" w:leader="none"/>
        </w:tabs>
        <w:ind w:hanging="360" w:start="1800" w:end="0"/>
        <w:jc w:val="start"/>
        <w:rPr/>
      </w:pPr>
      <w:r>
        <w:rPr/>
        <w:t>The steam turbine at the Puerta Plata plant suffered damage resulting from blade cracking, vibration and imbalance problems.</w:t>
      </w:r>
    </w:p>
    <w:p>
      <w:pPr>
        <w:pStyle w:val="BodyText"/>
        <w:numPr>
          <w:ilvl w:val="0"/>
          <w:numId w:val="139"/>
        </w:numPr>
        <w:tabs>
          <w:tab w:val="clear" w:pos="720"/>
          <w:tab w:val="left" w:pos="1800" w:leader="none"/>
          <w:tab w:val="left" w:pos="7740" w:leader="none"/>
          <w:tab w:val="left" w:pos="8370" w:leader="none"/>
        </w:tabs>
        <w:ind w:hanging="360" w:start="1800" w:end="0"/>
        <w:jc w:val="start"/>
        <w:rPr/>
      </w:pPr>
      <w:r>
        <w:rPr/>
        <w:t>The insurer, Hartford Steam Boiler (HSB) has denied SECLP’s property damage and business interruption claims.</w:t>
      </w:r>
    </w:p>
    <w:p>
      <w:pPr>
        <w:pStyle w:val="BodyText"/>
        <w:numPr>
          <w:ilvl w:val="0"/>
          <w:numId w:val="139"/>
        </w:numPr>
        <w:tabs>
          <w:tab w:val="clear" w:pos="720"/>
          <w:tab w:val="left" w:pos="1800" w:leader="none"/>
          <w:tab w:val="left" w:pos="7740" w:leader="none"/>
          <w:tab w:val="left" w:pos="8370" w:leader="none"/>
        </w:tabs>
        <w:ind w:hanging="360" w:start="1800" w:end="0"/>
        <w:jc w:val="start"/>
        <w:rPr/>
      </w:pPr>
      <w:r>
        <w:rPr/>
        <w:t>HSB has been uncooperative.  If negotiations with HSB fail, SECLP will file suit for recovery of insurance proceeds in Houston.</w:t>
      </w:r>
    </w:p>
    <w:p>
      <w:pPr>
        <w:pStyle w:val="BodyText"/>
        <w:tabs>
          <w:tab w:val="clear" w:pos="720"/>
          <w:tab w:val="left" w:pos="7740" w:leader="none"/>
          <w:tab w:val="left" w:pos="8370" w:leader="none"/>
        </w:tabs>
        <w:ind w:start="720" w:end="0"/>
        <w:jc w:val="start"/>
        <w:rPr/>
      </w:pPr>
      <w:r>
        <w:rPr/>
      </w:r>
    </w:p>
    <w:p>
      <w:pPr>
        <w:pStyle w:val="BodyText"/>
        <w:tabs>
          <w:tab w:val="clear" w:pos="720"/>
          <w:tab w:val="left" w:pos="7740" w:leader="none"/>
          <w:tab w:val="left" w:pos="8370" w:leader="none"/>
        </w:tabs>
        <w:ind w:start="720" w:end="0"/>
        <w:jc w:val="start"/>
        <w:rPr/>
      </w:pPr>
      <w:r>
        <w:rPr/>
      </w:r>
    </w:p>
    <w:p>
      <w:pPr>
        <w:pStyle w:val="Normal"/>
        <w:tabs>
          <w:tab w:val="clear" w:pos="720"/>
          <w:tab w:val="left" w:pos="1080" w:leader="none"/>
          <w:tab w:val="left" w:pos="1170" w:leader="none"/>
          <w:tab w:val="left" w:pos="7740" w:leader="none"/>
          <w:tab w:val="left" w:pos="8370" w:leader="none"/>
        </w:tabs>
        <w:jc w:val="both"/>
        <w:rPr>
          <w:rFonts w:ascii="Arial" w:hAnsi="Arial" w:cs="Arial"/>
          <w:b/>
          <w:sz w:val="28"/>
          <w:u w:val="single"/>
        </w:rPr>
      </w:pPr>
      <w:r>
        <w:rPr>
          <w:rFonts w:cs="Arial" w:ascii="Arial" w:hAnsi="Arial"/>
          <w:b/>
          <w:sz w:val="28"/>
          <w:u w:val="single"/>
        </w:rPr>
        <w:t>GUAM</w:t>
      </w:r>
    </w:p>
    <w:p>
      <w:pPr>
        <w:pStyle w:val="Normal"/>
        <w:tabs>
          <w:tab w:val="clear" w:pos="720"/>
          <w:tab w:val="left" w:pos="1080" w:leader="none"/>
          <w:tab w:val="left" w:pos="1170" w:leader="none"/>
          <w:tab w:val="left" w:pos="7740" w:leader="none"/>
          <w:tab w:val="left" w:pos="8370" w:leader="none"/>
        </w:tabs>
        <w:jc w:val="both"/>
        <w:rPr>
          <w:rFonts w:ascii="Arial" w:hAnsi="Arial" w:eastAsia="Arial" w:cs="Arial"/>
          <w:sz w:val="24"/>
        </w:rPr>
      </w:pPr>
      <w:r>
        <w:rPr>
          <w:rFonts w:eastAsia="Arial" w:cs="Arial" w:ascii="Arial" w:hAnsi="Arial"/>
          <w:sz w:val="24"/>
        </w:rPr>
        <w:t xml:space="preserve"> </w:t>
      </w:r>
    </w:p>
    <w:p>
      <w:pPr>
        <w:pStyle w:val="BodyText"/>
        <w:numPr>
          <w:ilvl w:val="0"/>
          <w:numId w:val="156"/>
        </w:numPr>
        <w:jc w:val="start"/>
        <w:rPr>
          <w:b/>
          <w:sz w:val="28"/>
        </w:rPr>
      </w:pPr>
      <w:r>
        <w:rPr>
          <w:b/>
          <w:sz w:val="28"/>
          <w:u w:val="single"/>
        </w:rPr>
        <w:t>Enron Guam</w:t>
      </w:r>
    </w:p>
    <w:p>
      <w:pPr>
        <w:pStyle w:val="BodyText"/>
        <w:rPr>
          <w:b/>
          <w:sz w:val="28"/>
        </w:rPr>
      </w:pPr>
      <w:r>
        <w:rPr>
          <w:b/>
          <w:sz w:val="28"/>
        </w:rPr>
      </w:r>
    </w:p>
    <w:p>
      <w:pPr>
        <w:pStyle w:val="Heading5"/>
        <w:keepLines/>
        <w:ind w:hanging="0" w:start="720" w:end="0"/>
        <w:rPr/>
      </w:pPr>
      <w:r>
        <w:rPr/>
        <w:t>I.</w:t>
        <w:tab/>
        <w:t>LITIGATION/ARBITRATION</w:t>
      </w:r>
    </w:p>
    <w:p>
      <w:pPr>
        <w:pStyle w:val="BodyText"/>
        <w:ind w:start="720" w:end="0"/>
        <w:rPr>
          <w:sz w:val="28"/>
        </w:rPr>
      </w:pPr>
      <w:r>
        <w:rPr>
          <w:sz w:val="28"/>
        </w:rPr>
      </w:r>
    </w:p>
    <w:p>
      <w:pPr>
        <w:pStyle w:val="BodyText"/>
        <w:keepNext w:val="true"/>
        <w:keepLines/>
        <w:tabs>
          <w:tab w:val="clear" w:pos="720"/>
          <w:tab w:val="left" w:pos="7740" w:leader="none"/>
        </w:tabs>
        <w:ind w:start="1440" w:end="0"/>
        <w:rPr/>
      </w:pPr>
      <w:r>
        <w:rPr>
          <w:b/>
          <w:u w:val="single"/>
        </w:rPr>
        <w:t>General Turbine Systems, Inc. v. Enron Operation</w:t>
      </w:r>
      <w:r>
        <w:rPr>
          <w:b/>
        </w:rPr>
        <w:tab/>
        <w:t>(Updated)</w:t>
      </w:r>
    </w:p>
    <w:p>
      <w:pPr>
        <w:pStyle w:val="BodyText"/>
        <w:keepNext w:val="true"/>
        <w:keepLines/>
        <w:tabs>
          <w:tab w:val="clear" w:pos="720"/>
          <w:tab w:val="left" w:pos="7740" w:leader="none"/>
        </w:tabs>
        <w:ind w:start="1440" w:end="0"/>
        <w:rPr>
          <w:b/>
          <w:u w:val="single"/>
        </w:rPr>
      </w:pPr>
      <w:r>
        <w:rPr>
          <w:b/>
          <w:u w:val="single"/>
        </w:rPr>
        <w:t>Services Corp., Enron Operations Corp., and Enron Corp.</w:t>
      </w:r>
    </w:p>
    <w:p>
      <w:pPr>
        <w:pStyle w:val="BodyText"/>
        <w:keepNext w:val="true"/>
        <w:keepLines/>
        <w:tabs>
          <w:tab w:val="clear" w:pos="720"/>
          <w:tab w:val="left" w:pos="7740" w:leader="none"/>
        </w:tabs>
        <w:ind w:start="1440" w:end="0"/>
        <w:rPr/>
      </w:pPr>
      <w:r>
        <w:rPr/>
        <w:t>(80</w:t>
      </w:r>
      <w:r>
        <w:rPr>
          <w:vertAlign w:val="superscript"/>
        </w:rPr>
        <w:t>th</w:t>
      </w:r>
      <w:r>
        <w:rPr/>
        <w:t xml:space="preserve"> Judicial District Court, Harris County, Texas) (Jean Frizzell/Gibbs &amp; Bruns) (in excess of $25 million)</w:t>
      </w:r>
    </w:p>
    <w:p>
      <w:pPr>
        <w:pStyle w:val="BodyText"/>
        <w:keepNext w:val="true"/>
        <w:keepLines/>
        <w:tabs>
          <w:tab w:val="clear" w:pos="720"/>
          <w:tab w:val="left" w:pos="7740" w:leader="none"/>
        </w:tabs>
        <w:ind w:start="1440" w:end="0"/>
        <w:rPr/>
      </w:pPr>
      <w:r>
        <w:rPr/>
      </w:r>
    </w:p>
    <w:p>
      <w:pPr>
        <w:pStyle w:val="Normal"/>
        <w:numPr>
          <w:ilvl w:val="0"/>
          <w:numId w:val="101"/>
        </w:numPr>
        <w:tabs>
          <w:tab w:val="clear" w:pos="720"/>
          <w:tab w:val="left" w:pos="1080" w:leader="none"/>
        </w:tabs>
        <w:spacing w:lineRule="atLeast" w:line="240"/>
        <w:ind w:hanging="360" w:start="1800" w:end="0"/>
        <w:rPr>
          <w:rFonts w:ascii="Arial" w:hAnsi="Arial" w:cs="Arial"/>
          <w:color w:val="000000"/>
          <w:sz w:val="24"/>
        </w:rPr>
      </w:pPr>
      <w:r>
        <w:rPr>
          <w:rFonts w:cs="Arial" w:ascii="Arial" w:hAnsi="Arial"/>
          <w:color w:val="000000"/>
          <w:sz w:val="24"/>
        </w:rPr>
        <w:t>On July 25, 2000, General Turbine Systems, Inc. (owned by Sajjad Chaudhry) was served with this lawsuit in which plaintiff</w:t>
      </w:r>
      <w:r>
        <w:rPr>
          <w:rFonts w:cs="Arial" w:ascii="Arial" w:hAnsi="Arial"/>
          <w:b/>
          <w:color w:val="000000"/>
          <w:sz w:val="24"/>
        </w:rPr>
        <w:t xml:space="preserve"> </w:t>
      </w:r>
      <w:r>
        <w:rPr>
          <w:rFonts w:cs="Arial" w:ascii="Arial" w:hAnsi="Arial"/>
          <w:color w:val="000000"/>
          <w:sz w:val="24"/>
        </w:rPr>
        <w:t>alleges that Enron breached a letter agreement to award it an O&amp;M contract for Enron’s Piti</w:t>
      </w:r>
      <w:r>
        <w:rPr>
          <w:rFonts w:cs="Arial" w:ascii="Arial" w:hAnsi="Arial"/>
          <w:b/>
          <w:bCs/>
          <w:color w:val="000000"/>
          <w:sz w:val="24"/>
        </w:rPr>
        <w:t xml:space="preserve"> </w:t>
      </w:r>
      <w:r>
        <w:rPr>
          <w:rFonts w:cs="Arial" w:ascii="Arial" w:hAnsi="Arial"/>
          <w:color w:val="000000"/>
          <w:sz w:val="24"/>
        </w:rPr>
        <w:t>power plant in Guam or to pay it a "finder's fee" for its alleged</w:t>
      </w:r>
      <w:r>
        <w:rPr>
          <w:rFonts w:cs="Arial" w:ascii="Arial" w:hAnsi="Arial"/>
          <w:b/>
          <w:bCs/>
          <w:color w:val="000000"/>
          <w:sz w:val="24"/>
        </w:rPr>
        <w:t xml:space="preserve"> </w:t>
      </w:r>
      <w:r>
        <w:rPr>
          <w:rFonts w:cs="Arial" w:ascii="Arial" w:hAnsi="Arial"/>
          <w:color w:val="000000"/>
          <w:sz w:val="24"/>
        </w:rPr>
        <w:t xml:space="preserve">assistance in procuring the project.  Plaintiff also claims it was entitled to receive a demolition contract.  </w:t>
      </w:r>
    </w:p>
    <w:p>
      <w:pPr>
        <w:pStyle w:val="Normal"/>
        <w:numPr>
          <w:ilvl w:val="0"/>
          <w:numId w:val="101"/>
        </w:numPr>
        <w:tabs>
          <w:tab w:val="clear" w:pos="720"/>
          <w:tab w:val="left" w:pos="1080" w:leader="none"/>
        </w:tabs>
        <w:spacing w:lineRule="atLeast" w:line="240"/>
        <w:ind w:hanging="360" w:start="1800" w:end="0"/>
        <w:rPr>
          <w:rFonts w:ascii="Arial" w:hAnsi="Arial" w:cs="Arial"/>
          <w:color w:val="000000"/>
          <w:sz w:val="24"/>
        </w:rPr>
      </w:pPr>
      <w:r>
        <w:rPr>
          <w:rFonts w:cs="Arial" w:ascii="Arial" w:hAnsi="Arial"/>
          <w:color w:val="000000"/>
          <w:sz w:val="24"/>
        </w:rPr>
        <w:t>The plaintiff’s petition seeks an award of damages as follows:  (1)  $16 million, the estimated profit on the O&amp;M contract for the Piti power plant; (2)  a finder's fee equal to 7% of the value of the Piti power plant; (3)  $7,000,000, the estimated profit of another contract (for demolition work) which GTS claims it should have received as an alternative to the O&amp;M contract; and (4)  other unquantified special, compensatory, and punitive damages.</w:t>
      </w:r>
    </w:p>
    <w:p>
      <w:pPr>
        <w:pStyle w:val="Normal"/>
        <w:numPr>
          <w:ilvl w:val="0"/>
          <w:numId w:val="101"/>
        </w:numPr>
        <w:tabs>
          <w:tab w:val="clear" w:pos="720"/>
          <w:tab w:val="left" w:pos="1080" w:leader="none"/>
        </w:tabs>
        <w:spacing w:lineRule="atLeast" w:line="240"/>
        <w:ind w:hanging="360" w:start="1800" w:end="0"/>
        <w:rPr>
          <w:rFonts w:ascii="Arial" w:hAnsi="Arial" w:cs="Arial"/>
          <w:color w:val="000000"/>
          <w:sz w:val="24"/>
        </w:rPr>
      </w:pPr>
      <w:r>
        <w:rPr>
          <w:rFonts w:cs="Arial" w:ascii="Arial" w:hAnsi="Arial"/>
          <w:color w:val="000000"/>
          <w:sz w:val="24"/>
        </w:rPr>
        <w:t xml:space="preserve">The letter agreement contemplated that Enron would be awarded the O&amp;M contract for the Piti power plant project, and that GTS would receive a subcontract.  What eventually happened is that the O&amp;M effort failed, but another Enron group bid upon, and was awarded, the right to build, own, and operate the Piti Power Plant project.  </w:t>
      </w:r>
    </w:p>
    <w:p>
      <w:pPr>
        <w:pStyle w:val="Normal"/>
        <w:numPr>
          <w:ilvl w:val="0"/>
          <w:numId w:val="101"/>
        </w:numPr>
        <w:tabs>
          <w:tab w:val="clear" w:pos="720"/>
          <w:tab w:val="left" w:pos="1080" w:leader="none"/>
        </w:tabs>
        <w:spacing w:lineRule="atLeast" w:line="240"/>
        <w:ind w:hanging="360" w:start="1800" w:end="0"/>
        <w:rPr>
          <w:rFonts w:ascii="Arial" w:hAnsi="Arial" w:cs="Arial"/>
          <w:sz w:val="24"/>
        </w:rPr>
      </w:pPr>
      <w:r>
        <w:rPr>
          <w:rFonts w:cs="Arial" w:ascii="Arial" w:hAnsi="Arial"/>
          <w:sz w:val="24"/>
        </w:rPr>
        <w:t xml:space="preserve">Enron has filed its answer, initial disclosures have been exchanged and Mr. Chaudhry’s deposition was begun on February 15, 2001. </w:t>
      </w:r>
      <w:r>
        <w:rPr>
          <w:rFonts w:cs="Arial" w:ascii="Arial" w:hAnsi="Arial"/>
          <w:b/>
          <w:bCs/>
          <w:sz w:val="24"/>
        </w:rPr>
        <w:t xml:space="preserve"> The plaintiff has designated only himself as a liability and damages expert.</w:t>
      </w:r>
    </w:p>
    <w:p>
      <w:pPr>
        <w:pStyle w:val="Normal"/>
        <w:numPr>
          <w:ilvl w:val="0"/>
          <w:numId w:val="101"/>
        </w:numPr>
        <w:tabs>
          <w:tab w:val="clear" w:pos="720"/>
          <w:tab w:val="left" w:pos="1080" w:leader="none"/>
        </w:tabs>
        <w:spacing w:lineRule="atLeast" w:line="240"/>
        <w:ind w:hanging="360" w:start="1800" w:end="0"/>
        <w:rPr>
          <w:rFonts w:ascii="Arial" w:hAnsi="Arial" w:cs="Arial"/>
          <w:sz w:val="24"/>
        </w:rPr>
      </w:pPr>
      <w:r>
        <w:rPr>
          <w:rFonts w:cs="Arial" w:ascii="Arial" w:hAnsi="Arial"/>
          <w:color w:val="000000"/>
          <w:sz w:val="24"/>
        </w:rPr>
        <w:t>The court has set this case for trial during the two-week period beginning August 13, 2001.</w:t>
      </w:r>
    </w:p>
    <w:p>
      <w:pPr>
        <w:pStyle w:val="Normal"/>
        <w:tabs>
          <w:tab w:val="clear" w:pos="720"/>
          <w:tab w:val="left" w:pos="1080" w:leader="none"/>
        </w:tabs>
        <w:ind w:start="720" w:end="0"/>
        <w:rPr>
          <w:rFonts w:ascii="Arial" w:hAnsi="Arial" w:cs="Arial"/>
          <w:sz w:val="24"/>
        </w:rPr>
      </w:pPr>
      <w:r>
        <w:rPr>
          <w:rFonts w:cs="Arial" w:ascii="Arial" w:hAnsi="Arial"/>
          <w:sz w:val="24"/>
        </w:rPr>
      </w:r>
    </w:p>
    <w:p>
      <w:pPr>
        <w:pStyle w:val="Normal"/>
        <w:tabs>
          <w:tab w:val="clear" w:pos="720"/>
          <w:tab w:val="left" w:pos="1080" w:leader="none"/>
        </w:tabs>
        <w:ind w:start="720" w:end="0"/>
        <w:rPr>
          <w:rFonts w:ascii="Arial" w:hAnsi="Arial" w:cs="Arial"/>
          <w:sz w:val="24"/>
        </w:rPr>
      </w:pPr>
      <w:r>
        <w:rPr>
          <w:rFonts w:cs="Arial" w:ascii="Arial" w:hAnsi="Arial"/>
          <w:sz w:val="24"/>
        </w:rPr>
      </w:r>
    </w:p>
    <w:p>
      <w:pPr>
        <w:pStyle w:val="Normal"/>
        <w:tabs>
          <w:tab w:val="clear" w:pos="720"/>
          <w:tab w:val="left" w:pos="1080" w:leader="none"/>
        </w:tabs>
        <w:ind w:start="720" w:end="0"/>
        <w:rPr>
          <w:rFonts w:ascii="Arial" w:hAnsi="Arial" w:cs="Arial"/>
          <w:sz w:val="24"/>
        </w:rPr>
      </w:pPr>
      <w:r>
        <w:rPr>
          <w:rFonts w:cs="Arial" w:ascii="Arial" w:hAnsi="Arial"/>
          <w:sz w:val="24"/>
        </w:rPr>
      </w:r>
    </w:p>
    <w:p>
      <w:pPr>
        <w:pStyle w:val="Normal"/>
        <w:tabs>
          <w:tab w:val="clear" w:pos="720"/>
          <w:tab w:val="left" w:pos="1080" w:leader="none"/>
        </w:tabs>
        <w:ind w:start="720" w:end="0"/>
        <w:rPr>
          <w:rFonts w:ascii="Arial" w:hAnsi="Arial" w:cs="Arial"/>
          <w:sz w:val="24"/>
        </w:rPr>
      </w:pPr>
      <w:r>
        <w:rPr>
          <w:rFonts w:cs="Arial" w:ascii="Arial" w:hAnsi="Arial"/>
          <w:sz w:val="24"/>
        </w:rPr>
      </w:r>
    </w:p>
    <w:p>
      <w:pPr>
        <w:pStyle w:val="Normal"/>
        <w:tabs>
          <w:tab w:val="clear" w:pos="720"/>
          <w:tab w:val="left" w:pos="1080" w:leader="none"/>
        </w:tabs>
        <w:ind w:start="720" w:end="0"/>
        <w:rPr>
          <w:rFonts w:ascii="Arial" w:hAnsi="Arial" w:cs="Arial"/>
          <w:sz w:val="24"/>
        </w:rPr>
      </w:pPr>
      <w:r>
        <w:rPr>
          <w:rFonts w:cs="Arial" w:ascii="Arial" w:hAnsi="Arial"/>
          <w:sz w:val="24"/>
        </w:rPr>
      </w:r>
    </w:p>
    <w:p>
      <w:pPr>
        <w:pStyle w:val="Normal"/>
        <w:tabs>
          <w:tab w:val="clear" w:pos="720"/>
          <w:tab w:val="left" w:pos="1080" w:leader="none"/>
        </w:tabs>
        <w:ind w:start="720" w:end="0"/>
        <w:rPr>
          <w:rFonts w:ascii="Arial" w:hAnsi="Arial" w:cs="Arial"/>
          <w:sz w:val="24"/>
        </w:rPr>
      </w:pPr>
      <w:r>
        <w:rPr>
          <w:rFonts w:cs="Arial" w:ascii="Arial" w:hAnsi="Arial"/>
          <w:sz w:val="24"/>
        </w:rPr>
      </w:r>
    </w:p>
    <w:p>
      <w:pPr>
        <w:pStyle w:val="Normal"/>
        <w:tabs>
          <w:tab w:val="clear" w:pos="720"/>
          <w:tab w:val="left" w:pos="1080" w:leader="none"/>
        </w:tabs>
        <w:ind w:start="720" w:end="0"/>
        <w:rPr>
          <w:rFonts w:ascii="Arial" w:hAnsi="Arial" w:cs="Arial"/>
          <w:sz w:val="24"/>
        </w:rPr>
      </w:pPr>
      <w:r>
        <w:rPr>
          <w:rFonts w:cs="Arial" w:ascii="Arial" w:hAnsi="Arial"/>
          <w:sz w:val="24"/>
        </w:rPr>
      </w:r>
    </w:p>
    <w:p>
      <w:pPr>
        <w:pStyle w:val="Normal"/>
        <w:tabs>
          <w:tab w:val="clear" w:pos="720"/>
          <w:tab w:val="left" w:pos="1080" w:leader="none"/>
        </w:tabs>
        <w:ind w:start="720" w:end="0"/>
        <w:rPr>
          <w:rFonts w:ascii="Arial" w:hAnsi="Arial" w:cs="Arial"/>
          <w:sz w:val="24"/>
        </w:rPr>
      </w:pPr>
      <w:r>
        <w:rPr>
          <w:rFonts w:cs="Arial" w:ascii="Arial" w:hAnsi="Arial"/>
          <w:sz w:val="24"/>
        </w:rPr>
      </w:r>
    </w:p>
    <w:p>
      <w:pPr>
        <w:pStyle w:val="Normal"/>
        <w:tabs>
          <w:tab w:val="clear" w:pos="720"/>
          <w:tab w:val="left" w:pos="1080" w:leader="none"/>
        </w:tabs>
        <w:ind w:start="720" w:end="0"/>
        <w:rPr>
          <w:rFonts w:ascii="Arial" w:hAnsi="Arial" w:cs="Arial"/>
          <w:sz w:val="24"/>
        </w:rPr>
      </w:pPr>
      <w:r>
        <w:rPr>
          <w:rFonts w:cs="Arial" w:ascii="Arial" w:hAnsi="Arial"/>
          <w:sz w:val="24"/>
        </w:rPr>
      </w:r>
    </w:p>
    <w:p>
      <w:pPr>
        <w:pStyle w:val="Normal"/>
        <w:tabs>
          <w:tab w:val="clear" w:pos="720"/>
          <w:tab w:val="left" w:pos="1080" w:leader="none"/>
        </w:tabs>
        <w:ind w:start="720" w:end="0"/>
        <w:rPr>
          <w:rFonts w:ascii="Arial" w:hAnsi="Arial" w:cs="Arial"/>
          <w:sz w:val="24"/>
        </w:rPr>
      </w:pPr>
      <w:r>
        <w:rPr>
          <w:rFonts w:cs="Arial" w:ascii="Arial" w:hAnsi="Arial"/>
          <w:sz w:val="24"/>
        </w:rPr>
      </w:r>
    </w:p>
    <w:p>
      <w:pPr>
        <w:pStyle w:val="Normal"/>
        <w:tabs>
          <w:tab w:val="clear" w:pos="720"/>
          <w:tab w:val="left" w:pos="1080" w:leader="none"/>
        </w:tabs>
        <w:ind w:start="720" w:end="0"/>
        <w:rPr>
          <w:rFonts w:ascii="Arial" w:hAnsi="Arial" w:cs="Arial"/>
          <w:sz w:val="24"/>
        </w:rPr>
      </w:pPr>
      <w:r>
        <w:rPr>
          <w:rFonts w:cs="Arial" w:ascii="Arial" w:hAnsi="Arial"/>
          <w:sz w:val="24"/>
        </w:rPr>
      </w:r>
    </w:p>
    <w:p>
      <w:pPr>
        <w:pStyle w:val="Normal"/>
        <w:tabs>
          <w:tab w:val="clear" w:pos="720"/>
          <w:tab w:val="left" w:pos="1080" w:leader="none"/>
        </w:tabs>
        <w:ind w:start="720" w:end="0"/>
        <w:rPr>
          <w:rFonts w:ascii="Arial" w:hAnsi="Arial" w:cs="Arial"/>
          <w:sz w:val="24"/>
        </w:rPr>
      </w:pPr>
      <w:r>
        <w:rPr>
          <w:rFonts w:cs="Arial" w:ascii="Arial" w:hAnsi="Arial"/>
          <w:sz w:val="24"/>
        </w:rPr>
      </w:r>
    </w:p>
    <w:p>
      <w:pPr>
        <w:pStyle w:val="Normal"/>
        <w:tabs>
          <w:tab w:val="clear" w:pos="720"/>
          <w:tab w:val="left" w:pos="1080" w:leader="none"/>
        </w:tabs>
        <w:rPr>
          <w:rFonts w:ascii="Arial" w:hAnsi="Arial" w:cs="Arial"/>
          <w:b/>
          <w:sz w:val="28"/>
          <w:u w:val="single"/>
        </w:rPr>
      </w:pPr>
      <w:r>
        <w:rPr>
          <w:rFonts w:cs="Arial" w:ascii="Arial" w:hAnsi="Arial"/>
          <w:b/>
          <w:sz w:val="28"/>
          <w:u w:val="single"/>
        </w:rPr>
        <w:t>GUATEMALA</w:t>
      </w:r>
    </w:p>
    <w:p>
      <w:pPr>
        <w:pStyle w:val="Normal"/>
        <w:tabs>
          <w:tab w:val="clear" w:pos="720"/>
          <w:tab w:val="left" w:pos="1080" w:leader="none"/>
        </w:tabs>
        <w:rPr>
          <w:rFonts w:ascii="Arial" w:hAnsi="Arial" w:cs="Arial"/>
          <w:b/>
          <w:sz w:val="24"/>
          <w:u w:val="single"/>
        </w:rPr>
      </w:pPr>
      <w:r>
        <w:rPr>
          <w:rFonts w:cs="Arial" w:ascii="Arial" w:hAnsi="Arial"/>
          <w:b/>
          <w:sz w:val="24"/>
          <w:u w:val="single"/>
        </w:rPr>
      </w:r>
    </w:p>
    <w:p>
      <w:pPr>
        <w:pStyle w:val="Heading5"/>
        <w:keepLines/>
        <w:numPr>
          <w:ilvl w:val="0"/>
          <w:numId w:val="138"/>
        </w:numPr>
        <w:tabs>
          <w:tab w:val="clear" w:pos="720"/>
          <w:tab w:val="left" w:pos="7740" w:leader="none"/>
        </w:tabs>
        <w:rPr>
          <w:sz w:val="28"/>
          <w:u w:val="single"/>
        </w:rPr>
      </w:pPr>
      <w:r>
        <w:rPr>
          <w:sz w:val="28"/>
          <w:u w:val="single"/>
        </w:rPr>
        <w:t>Puerto Quetzal Power Corp. (PQPC)</w:t>
      </w:r>
    </w:p>
    <w:p>
      <w:pPr>
        <w:pStyle w:val="Normal"/>
        <w:rPr>
          <w:sz w:val="24"/>
          <w:u w:val="single"/>
        </w:rPr>
      </w:pPr>
      <w:r>
        <w:rPr>
          <w:sz w:val="24"/>
          <w:u w:val="single"/>
        </w:rPr>
      </w:r>
    </w:p>
    <w:p>
      <w:pPr>
        <w:pStyle w:val="Heading5"/>
        <w:numPr>
          <w:ilvl w:val="0"/>
          <w:numId w:val="74"/>
        </w:numPr>
        <w:tabs>
          <w:tab w:val="clear" w:pos="720"/>
          <w:tab w:val="left" w:pos="1440" w:leader="none"/>
        </w:tabs>
        <w:ind w:hanging="720" w:start="1440" w:end="0"/>
        <w:rPr/>
      </w:pPr>
      <w:r>
        <w:rPr/>
        <w:t>LITIGATION/ARBITRATION</w:t>
      </w:r>
    </w:p>
    <w:p>
      <w:pPr>
        <w:pStyle w:val="Heading5"/>
        <w:ind w:hanging="0" w:start="720" w:end="0"/>
        <w:rPr/>
      </w:pPr>
      <w:r>
        <w:rPr/>
      </w:r>
    </w:p>
    <w:p>
      <w:pPr>
        <w:pStyle w:val="Heading5"/>
        <w:keepLines/>
        <w:tabs>
          <w:tab w:val="clear" w:pos="720"/>
          <w:tab w:val="left" w:pos="7740" w:leader="none"/>
        </w:tabs>
        <w:ind w:hanging="0" w:start="1440" w:end="0"/>
        <w:rPr/>
      </w:pPr>
      <w:r>
        <w:rPr>
          <w:u w:val="single"/>
        </w:rPr>
        <w:t>Texas-Ohio Power, Inc. v. Enron</w:t>
      </w:r>
      <w:r>
        <w:rPr/>
        <w:tab/>
        <w:t>(Updated)</w:t>
      </w:r>
    </w:p>
    <w:p>
      <w:pPr>
        <w:pStyle w:val="Normal"/>
        <w:ind w:start="1440" w:end="0"/>
        <w:rPr>
          <w:rFonts w:ascii="Arial" w:hAnsi="Arial" w:cs="Arial"/>
          <w:b/>
          <w:sz w:val="24"/>
          <w:u w:val="single"/>
        </w:rPr>
      </w:pPr>
      <w:r>
        <w:rPr>
          <w:rFonts w:cs="Arial" w:ascii="Arial" w:hAnsi="Arial"/>
          <w:b/>
          <w:sz w:val="24"/>
          <w:u w:val="single"/>
        </w:rPr>
        <w:t>Power Development Corp.</w:t>
      </w:r>
    </w:p>
    <w:p>
      <w:pPr>
        <w:pStyle w:val="Heading9"/>
        <w:keepLines/>
        <w:tabs>
          <w:tab w:val="clear" w:pos="720"/>
          <w:tab w:val="left" w:pos="7740" w:leader="none"/>
          <w:tab w:val="left" w:pos="8370" w:leader="none"/>
        </w:tabs>
        <w:ind w:hanging="0" w:start="1440" w:end="0"/>
        <w:jc w:val="start"/>
        <w:rPr>
          <w:b/>
        </w:rPr>
      </w:pPr>
      <w:r>
        <w:rPr>
          <w:bCs/>
        </w:rPr>
        <w:t>(269</w:t>
      </w:r>
      <w:r>
        <w:rPr>
          <w:bCs/>
          <w:vertAlign w:val="superscript"/>
        </w:rPr>
        <w:t>th</w:t>
      </w:r>
      <w:r>
        <w:rPr>
          <w:bCs/>
        </w:rPr>
        <w:t xml:space="preserve"> Judicial District Court, Harris County, Texas) (Scott Burdine/Hagens, Bobb &amp; Burdine)</w:t>
      </w:r>
      <w:r>
        <w:rPr>
          <w:b/>
        </w:rPr>
        <w:t xml:space="preserve"> </w:t>
      </w:r>
      <w:r>
        <w:rPr/>
        <w:t>(US$3.4 million) (Enron’s Interest in PQPC: 50%)</w:t>
      </w:r>
    </w:p>
    <w:p>
      <w:pPr>
        <w:pStyle w:val="Normal"/>
        <w:ind w:start="720" w:end="0"/>
        <w:rPr>
          <w:b/>
        </w:rPr>
      </w:pPr>
      <w:r>
        <w:rPr>
          <w:b/>
        </w:rPr>
      </w:r>
    </w:p>
    <w:p>
      <w:pPr>
        <w:pStyle w:val="Normal"/>
        <w:numPr>
          <w:ilvl w:val="0"/>
          <w:numId w:val="35"/>
        </w:numPr>
        <w:tabs>
          <w:tab w:val="clear" w:pos="720"/>
          <w:tab w:val="left" w:pos="1080" w:leader="none"/>
        </w:tabs>
        <w:ind w:hanging="360" w:start="1800" w:end="0"/>
        <w:rPr/>
      </w:pPr>
      <w:r>
        <w:rPr>
          <w:rFonts w:cs="Arial" w:ascii="Arial" w:hAnsi="Arial"/>
          <w:sz w:val="24"/>
        </w:rPr>
        <w:t xml:space="preserve">Texas-Ohio Power, Inc. ("TOP") claims Enron Power Development Corp. owes it $3.4 million under its 1992 assignment of a Power Purchase Agreement to sell power to Empresa Electrica de Guatemala S.A., the Guatemalan state-owned electric company.  </w:t>
      </w:r>
    </w:p>
    <w:p>
      <w:pPr>
        <w:pStyle w:val="Normal"/>
        <w:numPr>
          <w:ilvl w:val="0"/>
          <w:numId w:val="35"/>
        </w:numPr>
        <w:tabs>
          <w:tab w:val="clear" w:pos="720"/>
          <w:tab w:val="left" w:pos="1080" w:leader="none"/>
        </w:tabs>
        <w:ind w:hanging="360" w:start="1800" w:end="0"/>
        <w:rPr/>
      </w:pPr>
      <w:r>
        <w:rPr>
          <w:rFonts w:cs="Arial" w:ascii="Arial" w:hAnsi="Arial"/>
          <w:sz w:val="24"/>
        </w:rPr>
        <w:t>PQPC is the Enron power barge that currently provides power under this Power Purchase Agreement.  TOP claims that the new power barge, the Esperanza, owned by a separate Enron entity, constitutes an expansion of the original PQPC project contemplated under the assignment, thereby entitling it to additional payments.</w:t>
      </w:r>
    </w:p>
    <w:p>
      <w:pPr>
        <w:pStyle w:val="Normal"/>
        <w:numPr>
          <w:ilvl w:val="0"/>
          <w:numId w:val="9"/>
        </w:numPr>
        <w:tabs>
          <w:tab w:val="clear" w:pos="720"/>
          <w:tab w:val="left" w:pos="1080" w:leader="none"/>
          <w:tab w:val="left" w:pos="1800" w:leader="none"/>
          <w:tab w:val="left" w:pos="7740" w:leader="none"/>
        </w:tabs>
        <w:ind w:hanging="360" w:start="1800" w:end="0"/>
        <w:rPr>
          <w:rFonts w:ascii="Arial" w:hAnsi="Arial" w:cs="Arial"/>
          <w:sz w:val="24"/>
        </w:rPr>
      </w:pPr>
      <w:r>
        <w:rPr>
          <w:rFonts w:cs="Arial" w:ascii="Arial" w:hAnsi="Arial"/>
          <w:sz w:val="24"/>
        </w:rPr>
        <w:t>Enron responded by letter to TOP explaining the reasons its claim is legally invalid.</w:t>
      </w:r>
    </w:p>
    <w:p>
      <w:pPr>
        <w:pStyle w:val="Normal"/>
        <w:numPr>
          <w:ilvl w:val="0"/>
          <w:numId w:val="133"/>
        </w:numPr>
        <w:tabs>
          <w:tab w:val="clear" w:pos="720"/>
          <w:tab w:val="left" w:pos="1080" w:leader="none"/>
          <w:tab w:val="left" w:pos="1800" w:leader="none"/>
          <w:tab w:val="left" w:pos="7740" w:leader="none"/>
        </w:tabs>
        <w:ind w:hanging="360" w:start="1800" w:end="0"/>
        <w:rPr>
          <w:rFonts w:ascii="Arial" w:hAnsi="Arial" w:cs="Arial"/>
          <w:sz w:val="24"/>
        </w:rPr>
      </w:pPr>
      <w:r>
        <w:rPr>
          <w:rFonts w:cs="Arial" w:ascii="Arial" w:hAnsi="Arial"/>
          <w:sz w:val="24"/>
        </w:rPr>
        <w:t xml:space="preserve">TOP served Enron Development Corp. with a suit on January 4, 2001.  Enron </w:t>
      </w:r>
      <w:r>
        <w:rPr>
          <w:rFonts w:cs="Arial" w:ascii="Arial" w:hAnsi="Arial"/>
          <w:bCs/>
          <w:sz w:val="24"/>
        </w:rPr>
        <w:t>filed its</w:t>
      </w:r>
      <w:r>
        <w:rPr>
          <w:rFonts w:cs="Arial" w:ascii="Arial" w:hAnsi="Arial"/>
          <w:b/>
          <w:sz w:val="24"/>
        </w:rPr>
        <w:t xml:space="preserve"> </w:t>
      </w:r>
      <w:r>
        <w:rPr>
          <w:rFonts w:cs="Arial" w:ascii="Arial" w:hAnsi="Arial"/>
          <w:sz w:val="24"/>
        </w:rPr>
        <w:t xml:space="preserve">answer </w:t>
      </w:r>
      <w:r>
        <w:rPr>
          <w:rFonts w:cs="Arial" w:ascii="Arial" w:hAnsi="Arial"/>
          <w:bCs/>
          <w:sz w:val="24"/>
        </w:rPr>
        <w:t>on</w:t>
      </w:r>
      <w:r>
        <w:rPr>
          <w:rFonts w:cs="Arial" w:ascii="Arial" w:hAnsi="Arial"/>
          <w:sz w:val="24"/>
        </w:rPr>
        <w:t xml:space="preserve"> January 29, 2001.</w:t>
      </w:r>
    </w:p>
    <w:p>
      <w:pPr>
        <w:pStyle w:val="Normal"/>
        <w:numPr>
          <w:ilvl w:val="0"/>
          <w:numId w:val="133"/>
        </w:numPr>
        <w:tabs>
          <w:tab w:val="clear" w:pos="720"/>
          <w:tab w:val="left" w:pos="1080" w:leader="none"/>
          <w:tab w:val="left" w:pos="1800" w:leader="none"/>
          <w:tab w:val="left" w:pos="7740" w:leader="none"/>
        </w:tabs>
        <w:ind w:hanging="360" w:start="1800" w:end="0"/>
        <w:rPr>
          <w:rFonts w:ascii="Arial" w:hAnsi="Arial" w:cs="Arial"/>
          <w:sz w:val="24"/>
        </w:rPr>
      </w:pPr>
      <w:r>
        <w:rPr>
          <w:rFonts w:cs="Arial" w:ascii="Arial" w:hAnsi="Arial"/>
          <w:b/>
          <w:bCs/>
          <w:sz w:val="24"/>
        </w:rPr>
        <w:t>Trial is scheduled for Oct. 29, 2001.</w:t>
      </w:r>
    </w:p>
    <w:p>
      <w:pPr>
        <w:pStyle w:val="Normal"/>
        <w:tabs>
          <w:tab w:val="clear" w:pos="720"/>
          <w:tab w:val="left" w:pos="540" w:leader="none"/>
        </w:tabs>
        <w:ind w:hanging="540" w:start="1260" w:end="0"/>
        <w:rPr>
          <w:rFonts w:ascii="Arial" w:hAnsi="Arial" w:cs="Arial"/>
          <w:sz w:val="24"/>
        </w:rPr>
      </w:pPr>
      <w:r>
        <w:rPr>
          <w:rFonts w:cs="Arial" w:ascii="Arial" w:hAnsi="Arial"/>
          <w:sz w:val="24"/>
        </w:rPr>
      </w:r>
    </w:p>
    <w:p>
      <w:pPr>
        <w:pStyle w:val="Normal"/>
        <w:tabs>
          <w:tab w:val="clear" w:pos="720"/>
          <w:tab w:val="left" w:pos="540" w:leader="none"/>
        </w:tabs>
        <w:ind w:hanging="540" w:start="1260" w:end="0"/>
        <w:rPr>
          <w:rFonts w:ascii="Arial" w:hAnsi="Arial" w:cs="Arial"/>
          <w:sz w:val="24"/>
        </w:rPr>
      </w:pPr>
      <w:r>
        <w:rPr>
          <w:rFonts w:cs="Arial" w:ascii="Arial" w:hAnsi="Arial"/>
          <w:sz w:val="24"/>
        </w:rPr>
      </w:r>
    </w:p>
    <w:p>
      <w:pPr>
        <w:pStyle w:val="Normal"/>
        <w:tabs>
          <w:tab w:val="clear" w:pos="720"/>
          <w:tab w:val="left" w:pos="540" w:leader="none"/>
        </w:tabs>
        <w:ind w:hanging="2160" w:start="2160" w:end="0"/>
        <w:rPr>
          <w:rFonts w:ascii="Arial" w:hAnsi="Arial" w:cs="Arial"/>
          <w:b/>
          <w:i/>
          <w:i/>
          <w:iCs/>
          <w:sz w:val="28"/>
        </w:rPr>
      </w:pPr>
      <w:r>
        <w:rPr>
          <w:rFonts w:cs="Arial" w:ascii="Arial" w:hAnsi="Arial"/>
          <w:b/>
          <w:sz w:val="28"/>
          <w:u w:val="single"/>
        </w:rPr>
        <w:t>INDIA</w:t>
      </w:r>
      <w:r>
        <w:rPr>
          <w:rFonts w:cs="Arial" w:ascii="Arial" w:hAnsi="Arial"/>
          <w:b/>
          <w:sz w:val="28"/>
        </w:rPr>
        <w:tab/>
      </w:r>
    </w:p>
    <w:p>
      <w:pPr>
        <w:pStyle w:val="Normal"/>
        <w:tabs>
          <w:tab w:val="clear" w:pos="720"/>
          <w:tab w:val="left" w:pos="540" w:leader="none"/>
        </w:tabs>
        <w:ind w:hanging="540" w:start="540" w:end="0"/>
        <w:rPr>
          <w:rFonts w:ascii="Arial" w:hAnsi="Arial" w:cs="Arial"/>
          <w:b/>
          <w:i/>
          <w:i/>
          <w:iCs/>
          <w:sz w:val="24"/>
        </w:rPr>
      </w:pPr>
      <w:r>
        <w:rPr>
          <w:rFonts w:cs="Arial" w:ascii="Arial" w:hAnsi="Arial"/>
          <w:b/>
          <w:i/>
          <w:iCs/>
          <w:sz w:val="24"/>
        </w:rPr>
      </w:r>
    </w:p>
    <w:p>
      <w:pPr>
        <w:pStyle w:val="Normal"/>
        <w:numPr>
          <w:ilvl w:val="0"/>
          <w:numId w:val="104"/>
        </w:numPr>
        <w:rPr>
          <w:rFonts w:ascii="Arial" w:hAnsi="Arial" w:cs="Arial"/>
          <w:b/>
          <w:sz w:val="28"/>
          <w:u w:val="single"/>
        </w:rPr>
      </w:pPr>
      <w:r>
        <w:rPr>
          <w:rFonts w:cs="Arial" w:ascii="Arial" w:hAnsi="Arial"/>
          <w:b/>
          <w:sz w:val="28"/>
          <w:u w:val="single"/>
        </w:rPr>
        <w:t>Dabhol Power Company (“DPC”)</w:t>
      </w:r>
    </w:p>
    <w:p>
      <w:pPr>
        <w:pStyle w:val="Normal"/>
        <w:rPr>
          <w:rFonts w:ascii="Arial" w:hAnsi="Arial" w:cs="Arial"/>
          <w:b/>
          <w:sz w:val="28"/>
          <w:u w:val="single"/>
        </w:rPr>
      </w:pPr>
      <w:r>
        <w:rPr>
          <w:rFonts w:cs="Arial" w:ascii="Arial" w:hAnsi="Arial"/>
          <w:b/>
          <w:sz w:val="28"/>
          <w:u w:val="single"/>
        </w:rPr>
      </w:r>
    </w:p>
    <w:p>
      <w:pPr>
        <w:pStyle w:val="Heading5"/>
        <w:ind w:hanging="0" w:start="720" w:end="0"/>
        <w:rPr/>
      </w:pPr>
      <w:r>
        <w:rPr/>
        <w:t>I.</w:t>
        <w:tab/>
        <w:t>LITIGATION/ARBITRATION</w:t>
      </w:r>
    </w:p>
    <w:p>
      <w:pPr>
        <w:pStyle w:val="Normal"/>
        <w:ind w:start="720" w:end="0"/>
        <w:rPr>
          <w:rFonts w:ascii="Arial" w:hAnsi="Arial" w:cs="Arial"/>
          <w:b/>
          <w:sz w:val="24"/>
        </w:rPr>
      </w:pPr>
      <w:r>
        <w:rPr>
          <w:rFonts w:cs="Arial" w:ascii="Arial" w:hAnsi="Arial"/>
          <w:b/>
          <w:sz w:val="24"/>
        </w:rPr>
      </w:r>
    </w:p>
    <w:p>
      <w:pPr>
        <w:pStyle w:val="Heading5"/>
        <w:keepLines/>
        <w:tabs>
          <w:tab w:val="clear" w:pos="720"/>
          <w:tab w:val="left" w:pos="7740" w:leader="none"/>
        </w:tabs>
        <w:ind w:hanging="0" w:start="1440" w:end="0"/>
        <w:rPr/>
      </w:pPr>
      <w:r>
        <w:rPr>
          <w:u w:val="single"/>
        </w:rPr>
        <w:t>United India v. DPC et al.</w:t>
      </w:r>
      <w:r>
        <w:rPr/>
        <w:tab/>
        <w:t>(Updated)</w:t>
      </w:r>
    </w:p>
    <w:p>
      <w:pPr>
        <w:pStyle w:val="Normal"/>
        <w:ind w:start="1440" w:end="0"/>
        <w:rPr/>
      </w:pPr>
      <w:r>
        <w:rPr>
          <w:rFonts w:cs="Arial" w:ascii="Arial" w:hAnsi="Arial"/>
          <w:sz w:val="24"/>
        </w:rPr>
        <w:t>(</w:t>
      </w:r>
      <w:r>
        <w:rPr>
          <w:rFonts w:cs="Arial" w:ascii="Arial" w:hAnsi="Arial"/>
          <w:i/>
          <w:sz w:val="24"/>
        </w:rPr>
        <w:t xml:space="preserve">Ad Hoc </w:t>
      </w:r>
      <w:r>
        <w:rPr>
          <w:rFonts w:cs="Arial" w:ascii="Arial" w:hAnsi="Arial"/>
          <w:sz w:val="24"/>
        </w:rPr>
        <w:t>Arbitration – London) (London Commercial Court) (Justin Williams/Linklaters Alliance; Gordon Grimes/Bernstein, Shur, Sawyer &amp; Nelson) (Approximately US$10 million) (Enron’s Interest: 50%)</w:t>
      </w:r>
    </w:p>
    <w:p>
      <w:pPr>
        <w:pStyle w:val="Normal"/>
        <w:ind w:start="1440" w:end="0"/>
        <w:rPr>
          <w:rFonts w:ascii="Arial" w:hAnsi="Arial" w:cs="Arial"/>
          <w:sz w:val="24"/>
        </w:rPr>
      </w:pPr>
      <w:r>
        <w:rPr>
          <w:rFonts w:cs="Arial" w:ascii="Arial" w:hAnsi="Arial"/>
          <w:sz w:val="24"/>
        </w:rPr>
      </w:r>
    </w:p>
    <w:p>
      <w:pPr>
        <w:pStyle w:val="Normal"/>
        <w:numPr>
          <w:ilvl w:val="0"/>
          <w:numId w:val="56"/>
        </w:numPr>
        <w:rPr>
          <w:rFonts w:ascii="Arial" w:hAnsi="Arial" w:cs="Arial"/>
          <w:sz w:val="24"/>
        </w:rPr>
      </w:pPr>
      <w:r>
        <w:rPr>
          <w:rFonts w:cs="Arial" w:ascii="Arial" w:hAnsi="Arial"/>
          <w:sz w:val="24"/>
        </w:rPr>
        <w:t xml:space="preserve">After lengthy negotiations, UI commenced arbitration in London against DPC and GE in June 2000 to recover insurance proceeds from United India (UI) for delay in start up claims (DSU) resulting from the rotor problems of January 1999.  </w:t>
      </w:r>
    </w:p>
    <w:p>
      <w:pPr>
        <w:pStyle w:val="Normal"/>
        <w:numPr>
          <w:ilvl w:val="0"/>
          <w:numId w:val="56"/>
        </w:numPr>
        <w:rPr>
          <w:rFonts w:ascii="Arial" w:hAnsi="Arial" w:cs="Arial"/>
          <w:sz w:val="24"/>
        </w:rPr>
      </w:pPr>
      <w:r>
        <w:rPr>
          <w:rFonts w:cs="Arial" w:ascii="Arial" w:hAnsi="Arial"/>
          <w:sz w:val="24"/>
        </w:rPr>
        <w:t>The arbitrators are Vivian Ramsey Q.C., Colin Edeiman Q.C. and Neil Kaplan Q.C.</w:t>
      </w:r>
    </w:p>
    <w:p>
      <w:pPr>
        <w:pStyle w:val="Normal"/>
        <w:numPr>
          <w:ilvl w:val="0"/>
          <w:numId w:val="56"/>
        </w:numPr>
        <w:rPr>
          <w:rFonts w:ascii="Arial" w:hAnsi="Arial" w:cs="Arial"/>
          <w:sz w:val="24"/>
        </w:rPr>
      </w:pPr>
      <w:r>
        <w:rPr>
          <w:rFonts w:cs="Arial" w:ascii="Arial" w:hAnsi="Arial"/>
          <w:sz w:val="24"/>
        </w:rPr>
        <w:t xml:space="preserve">In December 2000, UI filed a declaratory action in London Commercial Court against DPC and GE asserting that the rotors are inherently defective and thus it has no liability for either the January 1999 or the November 2000 rotor incidents.  </w:t>
      </w:r>
      <w:r>
        <w:rPr>
          <w:rFonts w:cs="Arial" w:ascii="Arial" w:hAnsi="Arial"/>
          <w:b/>
          <w:bCs/>
          <w:sz w:val="24"/>
        </w:rPr>
        <w:t>Although it is presently unclear, UI apparently commenced these proceedings because the arbitration clause contemplates that arbitration is appropriate only when quantum is at issue, and not when liability is contested.</w:t>
      </w:r>
      <w:r>
        <w:rPr>
          <w:rFonts w:cs="Arial" w:ascii="Arial" w:hAnsi="Arial"/>
          <w:sz w:val="24"/>
        </w:rPr>
        <w:t xml:space="preserve">  Furthermore, UI</w:t>
      </w:r>
      <w:r>
        <w:rPr>
          <w:rFonts w:cs="Arial" w:ascii="Arial" w:hAnsi="Arial"/>
          <w:b/>
          <w:sz w:val="24"/>
        </w:rPr>
        <w:t xml:space="preserve"> </w:t>
      </w:r>
      <w:r>
        <w:rPr>
          <w:rFonts w:cs="Arial" w:ascii="Arial" w:hAnsi="Arial"/>
          <w:sz w:val="24"/>
        </w:rPr>
        <w:t xml:space="preserve">claims to have new technical information regarding inherent defect of the GE rotors.  </w:t>
      </w:r>
    </w:p>
    <w:p>
      <w:pPr>
        <w:pStyle w:val="Normal"/>
        <w:numPr>
          <w:ilvl w:val="0"/>
          <w:numId w:val="56"/>
        </w:numPr>
        <w:rPr>
          <w:rFonts w:ascii="Arial" w:hAnsi="Arial" w:cs="Arial"/>
          <w:sz w:val="24"/>
        </w:rPr>
      </w:pPr>
      <w:r>
        <w:rPr>
          <w:rFonts w:cs="Arial" w:ascii="Arial" w:hAnsi="Arial"/>
          <w:sz w:val="24"/>
        </w:rPr>
        <w:t xml:space="preserve">DPC and GE contested jurisdiction in the litigation proceedings and UI agreed to arbitrate both quantum and liability in the London arbitration.  DPC and GE rejected UI’s proposal that disputed coverage involving the November 2000 incident will be heard as part of the London arbitration.  </w:t>
      </w:r>
    </w:p>
    <w:p>
      <w:pPr>
        <w:pStyle w:val="Normal"/>
        <w:numPr>
          <w:ilvl w:val="0"/>
          <w:numId w:val="56"/>
        </w:numPr>
        <w:rPr>
          <w:rFonts w:ascii="Arial" w:hAnsi="Arial" w:cs="Arial"/>
          <w:bCs/>
          <w:sz w:val="24"/>
        </w:rPr>
      </w:pPr>
      <w:r>
        <w:rPr>
          <w:rFonts w:cs="Arial" w:ascii="Arial" w:hAnsi="Arial"/>
          <w:bCs/>
          <w:sz w:val="24"/>
        </w:rPr>
        <w:t xml:space="preserve">UI dismissed its claims in London Commercial Court.  </w:t>
      </w:r>
    </w:p>
    <w:p>
      <w:pPr>
        <w:pStyle w:val="Normal"/>
        <w:numPr>
          <w:ilvl w:val="0"/>
          <w:numId w:val="56"/>
        </w:numPr>
        <w:rPr>
          <w:rFonts w:ascii="Arial" w:hAnsi="Arial" w:cs="Arial"/>
          <w:bCs/>
          <w:sz w:val="24"/>
        </w:rPr>
      </w:pPr>
      <w:r>
        <w:rPr>
          <w:rFonts w:cs="Arial" w:ascii="Arial" w:hAnsi="Arial"/>
          <w:bCs/>
          <w:sz w:val="24"/>
        </w:rPr>
        <w:t xml:space="preserve">The first hearing before the tribunal occurred February 15, 2001.  </w:t>
      </w:r>
    </w:p>
    <w:p>
      <w:pPr>
        <w:pStyle w:val="Normal"/>
        <w:numPr>
          <w:ilvl w:val="0"/>
          <w:numId w:val="56"/>
        </w:numPr>
        <w:rPr>
          <w:rFonts w:ascii="Arial" w:hAnsi="Arial" w:cs="Arial"/>
          <w:bCs/>
          <w:sz w:val="24"/>
        </w:rPr>
      </w:pPr>
      <w:r>
        <w:rPr>
          <w:rFonts w:cs="Arial" w:ascii="Arial" w:hAnsi="Arial"/>
          <w:b/>
          <w:sz w:val="24"/>
        </w:rPr>
        <w:t>The Tribunal denied</w:t>
      </w:r>
      <w:r>
        <w:rPr>
          <w:rFonts w:cs="Arial" w:ascii="Arial" w:hAnsi="Arial"/>
          <w:bCs/>
          <w:sz w:val="24"/>
        </w:rPr>
        <w:t xml:space="preserve"> </w:t>
      </w:r>
      <w:r>
        <w:rPr>
          <w:rFonts w:cs="Arial" w:ascii="Arial" w:hAnsi="Arial"/>
          <w:b/>
          <w:sz w:val="24"/>
        </w:rPr>
        <w:t xml:space="preserve">UI’s request to make DPC the claimant, which means UI retains the burden of proof.  </w:t>
      </w:r>
    </w:p>
    <w:p>
      <w:pPr>
        <w:pStyle w:val="Normal"/>
        <w:numPr>
          <w:ilvl w:val="0"/>
          <w:numId w:val="56"/>
        </w:numPr>
        <w:rPr>
          <w:rFonts w:ascii="Arial" w:hAnsi="Arial" w:cs="Arial"/>
          <w:bCs/>
          <w:sz w:val="24"/>
        </w:rPr>
      </w:pPr>
      <w:r>
        <w:rPr>
          <w:rFonts w:cs="Arial" w:ascii="Arial" w:hAnsi="Arial"/>
          <w:b/>
          <w:sz w:val="24"/>
        </w:rPr>
        <w:t xml:space="preserve">UI claims to have advice from an expert, Liburdi, that the rotors have a greater than 50% chance of failure, that the problem is a GE fleetwide problem, and the rotors are “inherently defective.”  Such design defects are not covered under a DSU policy.  Nevertheless, while relying on the Liburdi report, UI has refused to share it with DPC and claims that no documentation of the advice exists.  </w:t>
      </w:r>
    </w:p>
    <w:p>
      <w:pPr>
        <w:pStyle w:val="Normal"/>
        <w:numPr>
          <w:ilvl w:val="0"/>
          <w:numId w:val="56"/>
        </w:numPr>
        <w:rPr>
          <w:rFonts w:ascii="Arial" w:hAnsi="Arial" w:cs="Arial"/>
          <w:bCs/>
          <w:sz w:val="24"/>
        </w:rPr>
      </w:pPr>
      <w:r>
        <w:rPr>
          <w:rFonts w:cs="Arial" w:ascii="Arial" w:hAnsi="Arial"/>
          <w:b/>
          <w:sz w:val="24"/>
        </w:rPr>
        <w:t>The Tribunal did not order United India to produce the report, but required that UI attach a summary of the expert advice available to its Statement of the Case due March 25, 2001.  DPC’s response is due April 30, 2001.</w:t>
      </w:r>
    </w:p>
    <w:p>
      <w:pPr>
        <w:pStyle w:val="Normal"/>
        <w:numPr>
          <w:ilvl w:val="0"/>
          <w:numId w:val="56"/>
        </w:numPr>
        <w:rPr>
          <w:rFonts w:ascii="Arial" w:hAnsi="Arial" w:cs="Arial"/>
          <w:bCs/>
          <w:sz w:val="24"/>
        </w:rPr>
      </w:pPr>
      <w:r>
        <w:rPr>
          <w:rFonts w:cs="Arial" w:ascii="Arial" w:hAnsi="Arial"/>
          <w:b/>
          <w:sz w:val="24"/>
        </w:rPr>
        <w:t xml:space="preserve">We are considering whether DPC has claims outside the arbitration context for UI’s withholding of this material.  </w:t>
      </w:r>
    </w:p>
    <w:p>
      <w:pPr>
        <w:pStyle w:val="Normal"/>
        <w:numPr>
          <w:ilvl w:val="0"/>
          <w:numId w:val="56"/>
        </w:numPr>
        <w:rPr>
          <w:rFonts w:ascii="Arial" w:hAnsi="Arial" w:cs="Arial"/>
          <w:bCs/>
          <w:sz w:val="24"/>
        </w:rPr>
      </w:pPr>
      <w:r>
        <w:rPr>
          <w:rFonts w:cs="Arial" w:ascii="Arial" w:hAnsi="Arial"/>
          <w:b/>
          <w:sz w:val="24"/>
        </w:rPr>
        <w:t>UI filed its statement of the case and appears to have changed its position yet again.  It has abandoned the claim by Liburdi that the turbines have a 50% chance of failure, yet continue to maintain that a design defect absolves it of liability.</w:t>
      </w:r>
    </w:p>
    <w:p>
      <w:pPr>
        <w:pStyle w:val="Normal"/>
        <w:numPr>
          <w:ilvl w:val="0"/>
          <w:numId w:val="56"/>
        </w:numPr>
        <w:rPr>
          <w:rFonts w:ascii="Arial" w:hAnsi="Arial" w:cs="Arial"/>
          <w:bCs/>
          <w:sz w:val="24"/>
        </w:rPr>
      </w:pPr>
      <w:r>
        <w:rPr>
          <w:rFonts w:cs="Arial" w:ascii="Arial" w:hAnsi="Arial"/>
          <w:b/>
          <w:sz w:val="24"/>
        </w:rPr>
        <w:t xml:space="preserve">The tribunal will not hear the case before January 7, 2002. </w:t>
      </w:r>
    </w:p>
    <w:p>
      <w:pPr>
        <w:pStyle w:val="Normal"/>
        <w:tabs>
          <w:tab w:val="clear" w:pos="720"/>
          <w:tab w:val="left" w:pos="1800" w:leader="none"/>
        </w:tabs>
        <w:ind w:start="720" w:end="0"/>
        <w:rPr>
          <w:rFonts w:ascii="Arial" w:hAnsi="Arial" w:cs="Arial"/>
          <w:bCs/>
          <w:sz w:val="24"/>
        </w:rPr>
      </w:pPr>
      <w:r>
        <w:rPr>
          <w:rFonts w:cs="Arial" w:ascii="Arial" w:hAnsi="Arial"/>
          <w:bCs/>
          <w:sz w:val="24"/>
        </w:rPr>
      </w:r>
    </w:p>
    <w:p>
      <w:pPr>
        <w:pStyle w:val="Heading5"/>
        <w:keepLines/>
        <w:tabs>
          <w:tab w:val="clear" w:pos="720"/>
          <w:tab w:val="left" w:pos="7740" w:leader="none"/>
        </w:tabs>
        <w:ind w:hanging="0" w:start="1440" w:end="0"/>
        <w:rPr/>
      </w:pPr>
      <w:r>
        <w:rPr>
          <w:u w:val="single"/>
        </w:rPr>
        <w:t>Center of Indian Trade Unions (CITU) v. State of</w:t>
      </w:r>
      <w:r>
        <w:rPr/>
        <w:tab/>
        <w:t>(Updated)</w:t>
      </w:r>
    </w:p>
    <w:p>
      <w:pPr>
        <w:pStyle w:val="Heading5"/>
        <w:keepLines/>
        <w:tabs>
          <w:tab w:val="clear" w:pos="720"/>
          <w:tab w:val="left" w:pos="7920" w:leader="none"/>
        </w:tabs>
        <w:ind w:hanging="0" w:start="1440" w:end="0"/>
        <w:rPr>
          <w:u w:val="single"/>
        </w:rPr>
      </w:pPr>
      <w:r>
        <w:rPr>
          <w:u w:val="single"/>
        </w:rPr>
        <w:t>Maharashtra (GOM), Enron Power Development</w:t>
      </w:r>
    </w:p>
    <w:p>
      <w:pPr>
        <w:pStyle w:val="Heading5"/>
        <w:keepLines/>
        <w:tabs>
          <w:tab w:val="clear" w:pos="720"/>
          <w:tab w:val="left" w:pos="7920" w:leader="none"/>
        </w:tabs>
        <w:ind w:hanging="0" w:start="1440" w:end="0"/>
        <w:rPr>
          <w:u w:val="single"/>
        </w:rPr>
      </w:pPr>
      <w:r>
        <w:rPr>
          <w:u w:val="single"/>
        </w:rPr>
        <w:t>Corp., DPC et al.</w:t>
      </w:r>
    </w:p>
    <w:p>
      <w:pPr>
        <w:pStyle w:val="BodyText"/>
        <w:keepNext w:val="true"/>
        <w:keepLines/>
        <w:tabs>
          <w:tab w:val="clear" w:pos="720"/>
          <w:tab w:val="left" w:pos="7740" w:leader="none"/>
          <w:tab w:val="left" w:pos="8370" w:leader="none"/>
        </w:tabs>
        <w:ind w:start="1440" w:end="0"/>
        <w:rPr/>
      </w:pPr>
      <w:r>
        <w:rPr/>
        <w:t>(Supreme Court of India, New Delhi) (Atul Rajadhyaksha and Ravi Nath; Christopher Walker/Linklaters Alliance) (Challenge to power plant project) (Enron’s Interest: 50%)</w:t>
      </w:r>
    </w:p>
    <w:p>
      <w:pPr>
        <w:pStyle w:val="BodyText"/>
        <w:keepNext w:val="true"/>
        <w:keepLines/>
        <w:tabs>
          <w:tab w:val="clear" w:pos="720"/>
          <w:tab w:val="left" w:pos="1080" w:leader="none"/>
          <w:tab w:val="left" w:pos="1170" w:leader="none"/>
          <w:tab w:val="left" w:pos="7740" w:leader="none"/>
          <w:tab w:val="left" w:pos="8370" w:leader="none"/>
        </w:tabs>
        <w:ind w:start="720" w:end="0"/>
        <w:rPr/>
      </w:pPr>
      <w:r>
        <w:rPr/>
      </w:r>
    </w:p>
    <w:p>
      <w:pPr>
        <w:pStyle w:val="BodyText"/>
        <w:keepNext w:val="true"/>
        <w:keepLines/>
        <w:numPr>
          <w:ilvl w:val="0"/>
          <w:numId w:val="148"/>
        </w:numPr>
        <w:tabs>
          <w:tab w:val="clear" w:pos="720"/>
          <w:tab w:val="left" w:pos="1080" w:leader="none"/>
        </w:tabs>
        <w:ind w:hanging="360" w:start="1800" w:end="0"/>
        <w:jc w:val="start"/>
        <w:rPr/>
      </w:pPr>
      <w:r>
        <w:rPr/>
        <w:t xml:space="preserve">CITU has moved the Supreme Court to modify the May 2, 1997 order dismissing DPC and Enron on the ground that the GOM had allegedly misrepresented facts to the Bombay High Court in previous submissions to the court. </w:t>
      </w:r>
    </w:p>
    <w:p>
      <w:pPr>
        <w:pStyle w:val="BodyText"/>
        <w:numPr>
          <w:ilvl w:val="0"/>
          <w:numId w:val="148"/>
        </w:numPr>
        <w:tabs>
          <w:tab w:val="clear" w:pos="720"/>
          <w:tab w:val="left" w:pos="1080" w:leader="none"/>
        </w:tabs>
        <w:ind w:hanging="360" w:start="1800" w:end="0"/>
        <w:jc w:val="start"/>
        <w:rPr/>
      </w:pPr>
      <w:r>
        <w:rPr/>
        <w:t>CITU has requested that</w:t>
      </w:r>
      <w:r>
        <w:rPr>
          <w:b/>
        </w:rPr>
        <w:t xml:space="preserve"> </w:t>
      </w:r>
      <w:r>
        <w:rPr/>
        <w:t xml:space="preserve">MSEB, CEA, Enron, and DPC </w:t>
      </w:r>
      <w:r>
        <w:rPr>
          <w:bCs/>
        </w:rPr>
        <w:t xml:space="preserve">be noticed to appear.  </w:t>
      </w:r>
      <w:r>
        <w:rPr/>
        <w:t>The Supreme Court has declined to do so and has stated that it wishes to hear from the GOM before deciding whether to issue notice to the others.</w:t>
      </w:r>
    </w:p>
    <w:p>
      <w:pPr>
        <w:pStyle w:val="BodyText"/>
        <w:numPr>
          <w:ilvl w:val="0"/>
          <w:numId w:val="148"/>
        </w:numPr>
        <w:tabs>
          <w:tab w:val="clear" w:pos="720"/>
          <w:tab w:val="left" w:pos="1080" w:leader="none"/>
        </w:tabs>
        <w:ind w:hanging="360" w:start="1800" w:end="0"/>
        <w:jc w:val="start"/>
        <w:rPr>
          <w:bCs/>
        </w:rPr>
      </w:pPr>
      <w:r>
        <w:rPr>
          <w:bCs/>
        </w:rPr>
        <w:t>CITU</w:t>
      </w:r>
      <w:r>
        <w:rPr>
          <w:b/>
        </w:rPr>
        <w:t xml:space="preserve"> </w:t>
      </w:r>
      <w:r>
        <w:rPr/>
        <w:t xml:space="preserve">filed a new affidavit addressing the proposed tariff of the MSEB.   The GOM has filed its reply affidavit.  </w:t>
      </w:r>
    </w:p>
    <w:p>
      <w:pPr>
        <w:pStyle w:val="BodyText"/>
        <w:numPr>
          <w:ilvl w:val="0"/>
          <w:numId w:val="148"/>
        </w:numPr>
        <w:tabs>
          <w:tab w:val="clear" w:pos="720"/>
          <w:tab w:val="left" w:pos="1080" w:leader="none"/>
        </w:tabs>
        <w:ind w:hanging="360" w:start="1800" w:end="0"/>
        <w:jc w:val="start"/>
        <w:rPr>
          <w:bCs/>
        </w:rPr>
      </w:pPr>
      <w:r>
        <w:rPr>
          <w:b/>
          <w:bCs/>
        </w:rPr>
        <w:t>A hearing scheduled for March 1, 2001, was continued in light of the formation of a GOM committee established to review the DPC tariff.</w:t>
      </w:r>
    </w:p>
    <w:p>
      <w:pPr>
        <w:pStyle w:val="BodyText"/>
        <w:numPr>
          <w:ilvl w:val="0"/>
          <w:numId w:val="148"/>
        </w:numPr>
        <w:tabs>
          <w:tab w:val="clear" w:pos="720"/>
          <w:tab w:val="left" w:pos="1080" w:leader="none"/>
        </w:tabs>
        <w:ind w:hanging="360" w:start="1800" w:end="0"/>
        <w:jc w:val="start"/>
        <w:rPr>
          <w:bCs/>
        </w:rPr>
      </w:pPr>
      <w:r>
        <w:rPr>
          <w:b/>
          <w:bCs/>
        </w:rPr>
        <w:t xml:space="preserve">It is expected that this matter will not be heard again until after the GOM committee report is published and the court’s summer vacation period is over.  </w:t>
      </w:r>
    </w:p>
    <w:p>
      <w:pPr>
        <w:pStyle w:val="BodyText"/>
        <w:tabs>
          <w:tab w:val="clear" w:pos="720"/>
          <w:tab w:val="left" w:pos="1080" w:leader="none"/>
        </w:tabs>
        <w:ind w:start="720" w:end="0"/>
        <w:jc w:val="start"/>
        <w:rPr>
          <w:bCs/>
        </w:rPr>
      </w:pPr>
      <w:r>
        <w:rPr>
          <w:bCs/>
        </w:rPr>
      </w:r>
    </w:p>
    <w:p>
      <w:pPr>
        <w:pStyle w:val="BodyText"/>
        <w:tabs>
          <w:tab w:val="clear" w:pos="720"/>
          <w:tab w:val="left" w:pos="1080" w:leader="none"/>
          <w:tab w:val="left" w:pos="1170" w:leader="none"/>
          <w:tab w:val="left" w:pos="7740" w:leader="none"/>
        </w:tabs>
        <w:ind w:start="1440" w:end="0"/>
        <w:rPr/>
      </w:pPr>
      <w:r>
        <w:rPr>
          <w:b/>
          <w:u w:val="single"/>
        </w:rPr>
        <w:t>Shivaji Dhondu Devale et al. v. DPC et al.</w:t>
      </w:r>
      <w:r>
        <w:rPr>
          <w:b/>
        </w:rPr>
        <w:tab/>
        <w:t>(Updated)</w:t>
      </w:r>
    </w:p>
    <w:p>
      <w:pPr>
        <w:pStyle w:val="BodyText"/>
        <w:tabs>
          <w:tab w:val="clear" w:pos="720"/>
          <w:tab w:val="left" w:pos="1080" w:leader="none"/>
          <w:tab w:val="left" w:pos="1170" w:leader="none"/>
          <w:tab w:val="left" w:pos="7920" w:leader="none"/>
          <w:tab w:val="left" w:pos="8370" w:leader="none"/>
        </w:tabs>
        <w:ind w:start="1440" w:end="0"/>
        <w:rPr/>
      </w:pPr>
      <w:r>
        <w:rPr/>
        <w:t>(Senior Division Court at Ratnagiri) (Sudhir P. Chitale) (Declaration that land acquisition was illegal) (Enron’s Interest: 50%)</w:t>
      </w:r>
    </w:p>
    <w:p>
      <w:pPr>
        <w:pStyle w:val="BodyText"/>
        <w:tabs>
          <w:tab w:val="clear" w:pos="720"/>
          <w:tab w:val="left" w:pos="1080" w:leader="none"/>
          <w:tab w:val="left" w:pos="1170" w:leader="none"/>
          <w:tab w:val="left" w:pos="7740" w:leader="none"/>
          <w:tab w:val="left" w:pos="8370" w:leader="none"/>
        </w:tabs>
        <w:ind w:start="720" w:end="0"/>
        <w:rPr/>
      </w:pPr>
      <w:r>
        <w:rPr/>
      </w:r>
    </w:p>
    <w:p>
      <w:pPr>
        <w:pStyle w:val="BodyText"/>
        <w:numPr>
          <w:ilvl w:val="0"/>
          <w:numId w:val="59"/>
        </w:numPr>
        <w:tabs>
          <w:tab w:val="clear" w:pos="720"/>
          <w:tab w:val="left" w:pos="1080" w:leader="none"/>
        </w:tabs>
        <w:ind w:hanging="360" w:start="1800" w:end="0"/>
        <w:jc w:val="start"/>
        <w:rPr/>
      </w:pPr>
      <w:r>
        <w:rPr/>
        <w:t xml:space="preserve">This suit seeks a declaration that the Government of Maharashtra’s land acquisition for the project was illegal </w:t>
      </w:r>
      <w:r>
        <w:rPr>
          <w:b/>
          <w:bCs/>
        </w:rPr>
        <w:t>and that DPC should be prevented from possessing the subject property.</w:t>
      </w:r>
    </w:p>
    <w:p>
      <w:pPr>
        <w:pStyle w:val="BodyText"/>
        <w:numPr>
          <w:ilvl w:val="0"/>
          <w:numId w:val="59"/>
        </w:numPr>
        <w:tabs>
          <w:tab w:val="clear" w:pos="720"/>
          <w:tab w:val="left" w:pos="1080" w:leader="none"/>
        </w:tabs>
        <w:ind w:hanging="360" w:start="1800" w:end="0"/>
        <w:jc w:val="start"/>
        <w:rPr/>
      </w:pPr>
      <w:r>
        <w:rPr>
          <w:b/>
          <w:bCs/>
        </w:rPr>
        <w:t>In fact, the subject property was acquired by the Maharshtra Industrial Development Corporation (“MIDC”), not by EIPL or DPC.</w:t>
      </w:r>
    </w:p>
    <w:p>
      <w:pPr>
        <w:pStyle w:val="BodyText"/>
        <w:numPr>
          <w:ilvl w:val="0"/>
          <w:numId w:val="134"/>
        </w:numPr>
        <w:tabs>
          <w:tab w:val="clear" w:pos="720"/>
          <w:tab w:val="left" w:pos="1080" w:leader="none"/>
          <w:tab w:val="left" w:pos="1170" w:leader="none"/>
          <w:tab w:val="left" w:pos="1800" w:leader="none"/>
          <w:tab w:val="left" w:pos="7740" w:leader="none"/>
          <w:tab w:val="left" w:pos="8370" w:leader="none"/>
        </w:tabs>
        <w:ind w:hanging="360" w:start="1800" w:end="0"/>
        <w:jc w:val="start"/>
        <w:rPr/>
      </w:pPr>
      <w:r>
        <w:rPr/>
        <w:t xml:space="preserve">The Bombay High Court </w:t>
      </w:r>
      <w:r>
        <w:rPr>
          <w:b/>
          <w:bCs/>
        </w:rPr>
        <w:t xml:space="preserve">had previously </w:t>
      </w:r>
      <w:r>
        <w:rPr/>
        <w:t xml:space="preserve">held that the acquisition of land </w:t>
      </w:r>
      <w:r>
        <w:rPr>
          <w:b/>
          <w:bCs/>
        </w:rPr>
        <w:t xml:space="preserve">for the project </w:t>
      </w:r>
      <w:r>
        <w:rPr/>
        <w:t>was legal and valid</w:t>
      </w:r>
      <w:r>
        <w:rPr>
          <w:b/>
          <w:bCs/>
        </w:rPr>
        <w:t xml:space="preserve">.  </w:t>
      </w:r>
    </w:p>
    <w:p>
      <w:pPr>
        <w:pStyle w:val="BodyText"/>
        <w:numPr>
          <w:ilvl w:val="0"/>
          <w:numId w:val="134"/>
        </w:numPr>
        <w:tabs>
          <w:tab w:val="clear" w:pos="720"/>
          <w:tab w:val="left" w:pos="1080" w:leader="none"/>
          <w:tab w:val="left" w:pos="1170" w:leader="none"/>
          <w:tab w:val="left" w:pos="1800" w:leader="none"/>
          <w:tab w:val="left" w:pos="7740" w:leader="none"/>
          <w:tab w:val="left" w:pos="8370" w:leader="none"/>
        </w:tabs>
        <w:ind w:hanging="360" w:start="1800" w:end="0"/>
        <w:jc w:val="start"/>
        <w:rPr/>
      </w:pPr>
      <w:r>
        <w:rPr>
          <w:b/>
          <w:bCs/>
        </w:rPr>
        <w:t>DPC filed a motion to join the MIDC and GOM as parties.  The court granted this motion and placed the burden on the plaintiff to bring these entities into the case.</w:t>
      </w:r>
    </w:p>
    <w:p>
      <w:pPr>
        <w:pStyle w:val="BodyText"/>
        <w:numPr>
          <w:ilvl w:val="0"/>
          <w:numId w:val="125"/>
        </w:numPr>
        <w:tabs>
          <w:tab w:val="clear" w:pos="720"/>
          <w:tab w:val="left" w:pos="1080" w:leader="none"/>
          <w:tab w:val="left" w:pos="1170" w:leader="none"/>
          <w:tab w:val="left" w:pos="1800" w:leader="none"/>
          <w:tab w:val="left" w:pos="7740" w:leader="none"/>
          <w:tab w:val="left" w:pos="8370" w:leader="none"/>
        </w:tabs>
        <w:ind w:hanging="360" w:start="1800" w:end="0"/>
        <w:jc w:val="start"/>
        <w:rPr/>
      </w:pPr>
      <w:r>
        <w:rPr>
          <w:b/>
          <w:bCs/>
        </w:rPr>
        <w:t>This</w:t>
      </w:r>
      <w:r>
        <w:rPr/>
        <w:t xml:space="preserve"> matter </w:t>
      </w:r>
      <w:r>
        <w:rPr>
          <w:b/>
          <w:bCs/>
        </w:rPr>
        <w:t>has been</w:t>
      </w:r>
      <w:r>
        <w:rPr/>
        <w:t xml:space="preserve"> set, on </w:t>
      </w:r>
      <w:r>
        <w:rPr>
          <w:b/>
          <w:bCs/>
        </w:rPr>
        <w:t xml:space="preserve">several occasions, </w:t>
      </w:r>
      <w:r>
        <w:rPr/>
        <w:t xml:space="preserve">for submission of witnesses, </w:t>
      </w:r>
      <w:r>
        <w:rPr>
          <w:b/>
          <w:bCs/>
        </w:rPr>
        <w:t>however,</w:t>
      </w:r>
      <w:r>
        <w:rPr/>
        <w:t xml:space="preserve"> the list of witnesses was not submitted </w:t>
      </w:r>
      <w:r>
        <w:rPr>
          <w:b/>
          <w:bCs/>
        </w:rPr>
        <w:t>because the plaintiff has failed to join MIDC and GOM.</w:t>
      </w:r>
      <w:r>
        <w:br w:type="page"/>
      </w:r>
    </w:p>
    <w:p>
      <w:pPr>
        <w:pStyle w:val="BodyText"/>
        <w:tabs>
          <w:tab w:val="clear" w:pos="720"/>
          <w:tab w:val="left" w:pos="1080" w:leader="none"/>
          <w:tab w:val="left" w:pos="1170" w:leader="none"/>
          <w:tab w:val="left" w:pos="7740" w:leader="none"/>
          <w:tab w:val="left" w:pos="8370" w:leader="none"/>
        </w:tabs>
        <w:ind w:start="1440" w:end="0"/>
        <w:jc w:val="start"/>
        <w:rPr/>
      </w:pPr>
      <w:r>
        <w:rPr>
          <w:b/>
          <w:u w:val="single"/>
        </w:rPr>
        <w:t>Abdul Hamid Abbas Chougale v. DPC et al.</w:t>
      </w:r>
      <w:r>
        <w:rPr>
          <w:b/>
        </w:rPr>
        <w:tab/>
        <w:t>(Updated)</w:t>
      </w:r>
    </w:p>
    <w:p>
      <w:pPr>
        <w:pStyle w:val="BodyText"/>
        <w:tabs>
          <w:tab w:val="clear" w:pos="720"/>
          <w:tab w:val="left" w:pos="1080" w:leader="none"/>
          <w:tab w:val="left" w:pos="1170" w:leader="none"/>
          <w:tab w:val="left" w:pos="7740" w:leader="none"/>
          <w:tab w:val="left" w:pos="8370" w:leader="none"/>
        </w:tabs>
        <w:ind w:start="1440" w:end="0"/>
        <w:rPr/>
      </w:pPr>
      <w:r>
        <w:rPr/>
        <w:t>(Senior Division Court at Ratnagiri) (Sudhir P. Chitale) (Challenge to land acquisition procedures) (Enron’s Interest: 50%)</w:t>
      </w:r>
    </w:p>
    <w:p>
      <w:pPr>
        <w:pStyle w:val="BodyText"/>
        <w:tabs>
          <w:tab w:val="clear" w:pos="720"/>
          <w:tab w:val="left" w:pos="1080" w:leader="none"/>
          <w:tab w:val="left" w:pos="1170" w:leader="none"/>
          <w:tab w:val="left" w:pos="7740" w:leader="none"/>
          <w:tab w:val="left" w:pos="8370" w:leader="none"/>
        </w:tabs>
        <w:ind w:start="720" w:end="0"/>
        <w:rPr/>
      </w:pPr>
      <w:r>
        <w:rPr/>
      </w:r>
    </w:p>
    <w:p>
      <w:pPr>
        <w:pStyle w:val="BodyText"/>
        <w:numPr>
          <w:ilvl w:val="0"/>
          <w:numId w:val="99"/>
        </w:numPr>
        <w:tabs>
          <w:tab w:val="clear" w:pos="720"/>
          <w:tab w:val="left" w:pos="1080" w:leader="none"/>
        </w:tabs>
        <w:ind w:hanging="360" w:start="1800" w:end="0"/>
        <w:jc w:val="start"/>
        <w:rPr/>
      </w:pPr>
      <w:r>
        <w:rPr/>
        <w:t>This suit was filed in February 1995,</w:t>
      </w:r>
      <w:r>
        <w:rPr>
          <w:b/>
        </w:rPr>
        <w:t xml:space="preserve"> </w:t>
      </w:r>
      <w:r>
        <w:rPr/>
        <w:t xml:space="preserve">by a local landowner challenging the procedure by which his land was acquired by the </w:t>
      </w:r>
      <w:r>
        <w:rPr>
          <w:b/>
          <w:bCs/>
        </w:rPr>
        <w:t>MIDC</w:t>
      </w:r>
      <w:r>
        <w:rPr/>
        <w:t xml:space="preserve">.  </w:t>
      </w:r>
    </w:p>
    <w:p>
      <w:pPr>
        <w:pStyle w:val="BodyText"/>
        <w:numPr>
          <w:ilvl w:val="0"/>
          <w:numId w:val="99"/>
        </w:numPr>
        <w:tabs>
          <w:tab w:val="clear" w:pos="720"/>
          <w:tab w:val="left" w:pos="1080" w:leader="none"/>
        </w:tabs>
        <w:ind w:hanging="360" w:start="1800" w:end="0"/>
        <w:jc w:val="start"/>
        <w:rPr/>
      </w:pPr>
      <w:r>
        <w:rPr/>
        <w:t xml:space="preserve">Initially, the plaintiff sought and obtained an </w:t>
      </w:r>
      <w:r>
        <w:rPr>
          <w:i/>
        </w:rPr>
        <w:t>ex parte</w:t>
      </w:r>
      <w:r>
        <w:rPr/>
        <w:t xml:space="preserve"> injunction restraining DPC and the Phase I construction contractor from conducting land clearance operations on land formerly belonging to him.  </w:t>
      </w:r>
    </w:p>
    <w:p>
      <w:pPr>
        <w:pStyle w:val="BodyText"/>
        <w:numPr>
          <w:ilvl w:val="0"/>
          <w:numId w:val="99"/>
        </w:numPr>
        <w:tabs>
          <w:tab w:val="clear" w:pos="720"/>
          <w:tab w:val="left" w:pos="1080" w:leader="none"/>
        </w:tabs>
        <w:ind w:hanging="360" w:start="1800" w:end="0"/>
        <w:jc w:val="start"/>
        <w:rPr/>
      </w:pPr>
      <w:r>
        <w:rPr/>
        <w:t xml:space="preserve">Following discharge of this injunction, the plaintiff appealed to the Bombay High Court, and, in April 1995, the Bombay High Court dismissed the appeal and directed: (i) the </w:t>
      </w:r>
      <w:r>
        <w:rPr>
          <w:b/>
          <w:bCs/>
        </w:rPr>
        <w:t xml:space="preserve">MIDC </w:t>
      </w:r>
      <w:r>
        <w:rPr/>
        <w:t xml:space="preserve">to pay the petitioner the compensation which had been assessed </w:t>
      </w:r>
      <w:r>
        <w:rPr>
          <w:b/>
          <w:bCs/>
        </w:rPr>
        <w:t>by the state</w:t>
      </w:r>
      <w:r>
        <w:rPr/>
        <w:t xml:space="preserve">; and (ii) the special land acquisition officer at Chiplun to expeditiously refer any claim by the plaintiff for additional compensation to the district collector.  </w:t>
      </w:r>
    </w:p>
    <w:p>
      <w:pPr>
        <w:pStyle w:val="BodyText"/>
        <w:numPr>
          <w:ilvl w:val="0"/>
          <w:numId w:val="99"/>
        </w:numPr>
        <w:tabs>
          <w:tab w:val="clear" w:pos="720"/>
          <w:tab w:val="left" w:pos="1080" w:leader="none"/>
        </w:tabs>
        <w:ind w:hanging="360" w:start="1800" w:end="0"/>
        <w:jc w:val="start"/>
        <w:rPr/>
      </w:pPr>
      <w:r>
        <w:rPr/>
        <w:t>In 1998,</w:t>
      </w:r>
      <w:r>
        <w:rPr>
          <w:b/>
        </w:rPr>
        <w:t xml:space="preserve"> </w:t>
      </w:r>
      <w:r>
        <w:rPr/>
        <w:t xml:space="preserve">the plaintiff then sought to amend his suit seeking compensation, basing his claim on a revised rate of calculation for land and trees. </w:t>
      </w:r>
    </w:p>
    <w:p>
      <w:pPr>
        <w:pStyle w:val="BodyText"/>
        <w:numPr>
          <w:ilvl w:val="0"/>
          <w:numId w:val="99"/>
        </w:numPr>
        <w:tabs>
          <w:tab w:val="clear" w:pos="720"/>
          <w:tab w:val="left" w:pos="1080" w:leader="none"/>
        </w:tabs>
        <w:ind w:hanging="360" w:start="1800" w:end="0"/>
        <w:jc w:val="start"/>
        <w:rPr/>
      </w:pPr>
      <w:r>
        <w:rPr/>
        <w:t>DPC filed its written statement and</w:t>
      </w:r>
      <w:r>
        <w:rPr>
          <w:b/>
        </w:rPr>
        <w:t xml:space="preserve"> </w:t>
      </w:r>
      <w:r>
        <w:rPr/>
        <w:t xml:space="preserve">opposed the proposed amendment. </w:t>
      </w:r>
    </w:p>
    <w:p>
      <w:pPr>
        <w:pStyle w:val="BodyText"/>
        <w:numPr>
          <w:ilvl w:val="0"/>
          <w:numId w:val="59"/>
        </w:numPr>
        <w:tabs>
          <w:tab w:val="clear" w:pos="720"/>
          <w:tab w:val="left" w:pos="1080" w:leader="none"/>
        </w:tabs>
        <w:ind w:hanging="360" w:start="1800" w:end="0"/>
        <w:jc w:val="start"/>
        <w:rPr>
          <w:b/>
        </w:rPr>
      </w:pPr>
      <w:r>
        <w:rPr/>
        <w:t xml:space="preserve">On August 10, 2000, the plaintiff's amendment application was dismissed </w:t>
      </w:r>
      <w:r>
        <w:rPr>
          <w:b/>
          <w:bCs/>
        </w:rPr>
        <w:t>and, therefore, only the initial claim for injunction is pending.</w:t>
      </w:r>
      <w:r>
        <w:rPr/>
        <w:t xml:space="preserve">  </w:t>
      </w:r>
    </w:p>
    <w:p>
      <w:pPr>
        <w:pStyle w:val="BodyText"/>
        <w:numPr>
          <w:ilvl w:val="0"/>
          <w:numId w:val="59"/>
        </w:numPr>
        <w:tabs>
          <w:tab w:val="clear" w:pos="720"/>
          <w:tab w:val="left" w:pos="1080" w:leader="none"/>
        </w:tabs>
        <w:ind w:hanging="360" w:start="1800" w:end="0"/>
        <w:jc w:val="start"/>
        <w:rPr/>
      </w:pPr>
      <w:r>
        <w:rPr/>
        <w:t xml:space="preserve">This case has been adjourned </w:t>
      </w:r>
      <w:r>
        <w:rPr>
          <w:b/>
          <w:bCs/>
        </w:rPr>
        <w:t>until mid-April.</w:t>
      </w:r>
    </w:p>
    <w:p>
      <w:pPr>
        <w:pStyle w:val="BodyText"/>
        <w:tabs>
          <w:tab w:val="clear" w:pos="720"/>
          <w:tab w:val="left" w:pos="1080" w:leader="none"/>
          <w:tab w:val="left" w:pos="1170" w:leader="none"/>
          <w:tab w:val="left" w:pos="7740" w:leader="none"/>
          <w:tab w:val="left" w:pos="8370" w:leader="none"/>
        </w:tabs>
        <w:ind w:start="720" w:end="0"/>
        <w:rPr/>
      </w:pPr>
      <w:r>
        <w:rPr/>
      </w:r>
    </w:p>
    <w:p>
      <w:pPr>
        <w:pStyle w:val="BodyText"/>
        <w:tabs>
          <w:tab w:val="clear" w:pos="720"/>
          <w:tab w:val="left" w:pos="1080" w:leader="none"/>
          <w:tab w:val="left" w:pos="1170" w:leader="none"/>
          <w:tab w:val="left" w:pos="7740" w:leader="none"/>
        </w:tabs>
        <w:ind w:start="1440" w:end="0"/>
        <w:rPr/>
      </w:pPr>
      <w:r>
        <w:rPr>
          <w:b/>
          <w:u w:val="single"/>
        </w:rPr>
        <w:t>Ravindra Bhave v. DPC</w:t>
      </w:r>
      <w:r>
        <w:rPr>
          <w:b/>
        </w:rPr>
        <w:tab/>
        <w:t>(Updated)</w:t>
      </w:r>
    </w:p>
    <w:p>
      <w:pPr>
        <w:pStyle w:val="BodyText"/>
        <w:tabs>
          <w:tab w:val="clear" w:pos="720"/>
          <w:tab w:val="left" w:pos="1080" w:leader="none"/>
          <w:tab w:val="left" w:pos="1170" w:leader="none"/>
          <w:tab w:val="left" w:pos="7740" w:leader="none"/>
        </w:tabs>
        <w:ind w:start="1440" w:end="0"/>
        <w:rPr>
          <w:b/>
        </w:rPr>
      </w:pPr>
      <w:r>
        <w:rPr/>
        <w:t>(7</w:t>
      </w:r>
      <w:r>
        <w:rPr>
          <w:vertAlign w:val="superscript"/>
        </w:rPr>
        <w:t>th</w:t>
      </w:r>
      <w:r>
        <w:rPr/>
        <w:t xml:space="preserve"> Labour Court, Bombay)(K.M. Naik &amp; Co.) (Backpay of less than $100,000 and reinstatement) (Enron’s Interest: 50%)</w:t>
      </w:r>
    </w:p>
    <w:p>
      <w:pPr>
        <w:pStyle w:val="BodyText"/>
        <w:tabs>
          <w:tab w:val="clear" w:pos="720"/>
          <w:tab w:val="left" w:pos="1080" w:leader="none"/>
          <w:tab w:val="left" w:pos="1170" w:leader="none"/>
          <w:tab w:val="left" w:pos="7740" w:leader="none"/>
          <w:tab w:val="left" w:pos="8370" w:leader="none"/>
        </w:tabs>
        <w:ind w:start="720" w:end="0"/>
        <w:rPr>
          <w:b/>
        </w:rPr>
      </w:pPr>
      <w:r>
        <w:rPr>
          <w:b/>
        </w:rPr>
      </w:r>
    </w:p>
    <w:p>
      <w:pPr>
        <w:pStyle w:val="BodyText"/>
        <w:numPr>
          <w:ilvl w:val="0"/>
          <w:numId w:val="47"/>
        </w:numPr>
        <w:tabs>
          <w:tab w:val="clear" w:pos="720"/>
          <w:tab w:val="left" w:pos="1080" w:leader="none"/>
          <w:tab w:val="left" w:pos="1800" w:leader="none"/>
          <w:tab w:val="left" w:pos="7740" w:leader="none"/>
          <w:tab w:val="left" w:pos="8370" w:leader="none"/>
        </w:tabs>
        <w:ind w:hanging="360" w:start="1800" w:end="0"/>
        <w:jc w:val="start"/>
        <w:rPr/>
      </w:pPr>
      <w:r>
        <w:rPr/>
        <w:t xml:space="preserve">Plaintiff claims he was wrongfully dismissed by DPC.  </w:t>
      </w:r>
    </w:p>
    <w:p>
      <w:pPr>
        <w:pStyle w:val="BodyText"/>
        <w:numPr>
          <w:ilvl w:val="0"/>
          <w:numId w:val="67"/>
        </w:numPr>
        <w:tabs>
          <w:tab w:val="clear" w:pos="720"/>
          <w:tab w:val="left" w:pos="1080" w:leader="none"/>
        </w:tabs>
        <w:ind w:hanging="360" w:start="1800" w:end="0"/>
        <w:jc w:val="start"/>
        <w:rPr/>
      </w:pPr>
      <w:r>
        <w:rPr/>
        <w:t xml:space="preserve">DPC denied the plaintiff’s claims, arguing </w:t>
      </w:r>
      <w:r>
        <w:rPr>
          <w:i/>
        </w:rPr>
        <w:t>inter alia</w:t>
      </w:r>
      <w:r>
        <w:rPr/>
        <w:t xml:space="preserve"> that plaintiff was appointed as a site representative and not as a “workman” under the Industrial Disputes Act. </w:t>
      </w:r>
    </w:p>
    <w:p>
      <w:pPr>
        <w:pStyle w:val="BodyText"/>
        <w:numPr>
          <w:ilvl w:val="0"/>
          <w:numId w:val="67"/>
        </w:numPr>
        <w:tabs>
          <w:tab w:val="clear" w:pos="720"/>
          <w:tab w:val="left" w:pos="1080" w:leader="none"/>
        </w:tabs>
        <w:ind w:hanging="360" w:start="1800" w:end="0"/>
        <w:jc w:val="start"/>
        <w:rPr/>
      </w:pPr>
      <w:r>
        <w:rPr/>
        <w:t xml:space="preserve">Subsequently, Bhave requested that he be paid six months' salary and be reinstated.  He then served a notice on the company claiming that his resignation was a result of coercion. </w:t>
      </w:r>
    </w:p>
    <w:p>
      <w:pPr>
        <w:pStyle w:val="BodyText"/>
        <w:numPr>
          <w:ilvl w:val="0"/>
          <w:numId w:val="67"/>
        </w:numPr>
        <w:tabs>
          <w:tab w:val="clear" w:pos="720"/>
          <w:tab w:val="left" w:pos="1080" w:leader="none"/>
        </w:tabs>
        <w:ind w:hanging="360" w:start="1800" w:end="0"/>
        <w:jc w:val="start"/>
        <w:rPr/>
      </w:pPr>
      <w:r>
        <w:rPr/>
        <w:t xml:space="preserve">The company offered plaintiff a monetary settlement of six months salary, but he insisted on reinstatement.  </w:t>
      </w:r>
    </w:p>
    <w:p>
      <w:pPr>
        <w:pStyle w:val="Normal"/>
        <w:numPr>
          <w:ilvl w:val="0"/>
          <w:numId w:val="19"/>
        </w:numPr>
        <w:tabs>
          <w:tab w:val="clear" w:pos="720"/>
          <w:tab w:val="left" w:pos="1080" w:leader="none"/>
        </w:tabs>
        <w:ind w:hanging="360" w:start="1800" w:end="0"/>
        <w:rPr>
          <w:rFonts w:ascii="Arial" w:hAnsi="Arial" w:cs="Arial"/>
          <w:sz w:val="24"/>
        </w:rPr>
      </w:pPr>
      <w:r>
        <w:rPr>
          <w:rFonts w:cs="Arial" w:ascii="Arial" w:hAnsi="Arial"/>
          <w:sz w:val="24"/>
        </w:rPr>
        <w:t>DPC management has decided not to settle this matter in light of plaintiff’s extravagant demands.</w:t>
      </w:r>
    </w:p>
    <w:p>
      <w:pPr>
        <w:pStyle w:val="Normal"/>
        <w:numPr>
          <w:ilvl w:val="0"/>
          <w:numId w:val="19"/>
        </w:numPr>
        <w:tabs>
          <w:tab w:val="clear" w:pos="720"/>
          <w:tab w:val="left" w:pos="1080" w:leader="none"/>
        </w:tabs>
        <w:ind w:hanging="360" w:start="1800" w:end="0"/>
        <w:rPr>
          <w:rFonts w:ascii="Arial" w:hAnsi="Arial" w:cs="Arial"/>
          <w:sz w:val="24"/>
        </w:rPr>
      </w:pPr>
      <w:r>
        <w:rPr>
          <w:rFonts w:cs="Arial" w:ascii="Arial" w:hAnsi="Arial"/>
          <w:sz w:val="24"/>
        </w:rPr>
        <w:t>On October 4, 1999, DPC filed an application seeking a determination of whether Bhave is a “workman” under the law.</w:t>
      </w:r>
    </w:p>
    <w:p>
      <w:pPr>
        <w:pStyle w:val="Normal"/>
        <w:numPr>
          <w:ilvl w:val="0"/>
          <w:numId w:val="19"/>
        </w:numPr>
        <w:tabs>
          <w:tab w:val="clear" w:pos="720"/>
          <w:tab w:val="left" w:pos="1080" w:leader="none"/>
        </w:tabs>
        <w:ind w:hanging="360" w:start="1800" w:end="0"/>
        <w:rPr>
          <w:rFonts w:ascii="Arial" w:hAnsi="Arial" w:cs="Arial"/>
          <w:sz w:val="24"/>
        </w:rPr>
      </w:pPr>
      <w:r>
        <w:rPr>
          <w:rFonts w:cs="Arial" w:ascii="Arial" w:hAnsi="Arial"/>
          <w:sz w:val="24"/>
        </w:rPr>
        <w:t>Bhave submitted a letter and press clippings to the court to support his claim as a “workman.”</w:t>
      </w:r>
    </w:p>
    <w:p>
      <w:pPr>
        <w:pStyle w:val="Normal"/>
        <w:numPr>
          <w:ilvl w:val="0"/>
          <w:numId w:val="19"/>
        </w:numPr>
        <w:tabs>
          <w:tab w:val="clear" w:pos="720"/>
          <w:tab w:val="left" w:pos="1080" w:leader="none"/>
        </w:tabs>
        <w:ind w:hanging="360" w:start="1800" w:end="0"/>
        <w:rPr>
          <w:rFonts w:ascii="Arial" w:hAnsi="Arial" w:cs="Arial"/>
          <w:sz w:val="24"/>
        </w:rPr>
      </w:pPr>
      <w:r>
        <w:rPr>
          <w:rFonts w:cs="Arial" w:ascii="Arial" w:hAnsi="Arial"/>
          <w:sz w:val="24"/>
        </w:rPr>
        <w:t xml:space="preserve">On December 3, 1999, the parties argued this issue of whether Mr. Bhave was a “workman.”  </w:t>
      </w:r>
    </w:p>
    <w:p>
      <w:pPr>
        <w:pStyle w:val="Normal"/>
        <w:numPr>
          <w:ilvl w:val="0"/>
          <w:numId w:val="19"/>
        </w:numPr>
        <w:tabs>
          <w:tab w:val="clear" w:pos="720"/>
          <w:tab w:val="left" w:pos="1080" w:leader="none"/>
        </w:tabs>
        <w:ind w:hanging="360" w:start="1800" w:end="0"/>
        <w:rPr>
          <w:rFonts w:ascii="Arial" w:hAnsi="Arial" w:cs="Arial"/>
          <w:b/>
          <w:bCs/>
          <w:sz w:val="24"/>
        </w:rPr>
      </w:pPr>
      <w:r>
        <w:rPr>
          <w:rFonts w:cs="Arial" w:ascii="Arial" w:hAnsi="Arial"/>
          <w:b/>
          <w:bCs/>
          <w:sz w:val="24"/>
        </w:rPr>
        <w:t>DPC's witnesses are to be examined in mid-April.</w:t>
      </w:r>
    </w:p>
    <w:p>
      <w:pPr>
        <w:pStyle w:val="Normal"/>
        <w:tabs>
          <w:tab w:val="clear" w:pos="720"/>
          <w:tab w:val="left" w:pos="1080" w:leader="none"/>
        </w:tabs>
        <w:ind w:start="1440" w:end="0"/>
        <w:rPr/>
      </w:pPr>
      <w:r>
        <w:rPr/>
        <w:t xml:space="preserve"> </w:t>
      </w:r>
    </w:p>
    <w:p>
      <w:pPr>
        <w:pStyle w:val="BodyText"/>
        <w:keepNext w:val="true"/>
        <w:keepLines/>
        <w:tabs>
          <w:tab w:val="clear" w:pos="720"/>
          <w:tab w:val="left" w:pos="7740" w:leader="none"/>
        </w:tabs>
        <w:ind w:start="1440" w:end="0"/>
        <w:rPr/>
      </w:pPr>
      <w:r>
        <w:rPr>
          <w:b/>
          <w:u w:val="single"/>
        </w:rPr>
        <w:t>Madhu Akotkar et al. v. DPC et al.</w:t>
      </w:r>
      <w:r>
        <w:rPr>
          <w:b/>
        </w:rPr>
        <w:tab/>
        <w:t>(Updated)</w:t>
      </w:r>
    </w:p>
    <w:p>
      <w:pPr>
        <w:pStyle w:val="BodyText"/>
        <w:keepNext w:val="true"/>
        <w:keepLines/>
        <w:tabs>
          <w:tab w:val="clear" w:pos="720"/>
          <w:tab w:val="left" w:pos="7740" w:leader="none"/>
          <w:tab w:val="left" w:pos="7920" w:leader="none"/>
          <w:tab w:val="left" w:pos="8370" w:leader="none"/>
        </w:tabs>
        <w:ind w:start="1440" w:end="0"/>
        <w:rPr>
          <w:b/>
        </w:rPr>
      </w:pPr>
      <w:r>
        <w:rPr/>
        <w:t>(Bombay High Court) (Bhaishanker Kanga &amp; Girdharlal) (Challenge to project) (Enron’s Interest: 50%)</w:t>
      </w:r>
    </w:p>
    <w:p>
      <w:pPr>
        <w:pStyle w:val="BodyText"/>
        <w:tabs>
          <w:tab w:val="clear" w:pos="720"/>
          <w:tab w:val="left" w:pos="1080" w:leader="none"/>
          <w:tab w:val="left" w:pos="1170" w:leader="none"/>
          <w:tab w:val="left" w:pos="7740" w:leader="none"/>
          <w:tab w:val="left" w:pos="7920" w:leader="none"/>
          <w:tab w:val="left" w:pos="8370" w:leader="none"/>
        </w:tabs>
        <w:ind w:start="720" w:end="0"/>
        <w:rPr>
          <w:b/>
        </w:rPr>
      </w:pPr>
      <w:r>
        <w:rPr>
          <w:b/>
        </w:rPr>
      </w:r>
    </w:p>
    <w:p>
      <w:pPr>
        <w:pStyle w:val="BodyText"/>
        <w:numPr>
          <w:ilvl w:val="0"/>
          <w:numId w:val="132"/>
        </w:numPr>
        <w:tabs>
          <w:tab w:val="clear" w:pos="720"/>
          <w:tab w:val="left" w:pos="1080" w:leader="none"/>
        </w:tabs>
        <w:ind w:hanging="360" w:start="1800" w:end="0"/>
        <w:jc w:val="start"/>
        <w:rPr/>
      </w:pPr>
      <w:r>
        <w:rPr/>
        <w:t xml:space="preserve">Plaintiffs' suit claims that the Dabhol project is against public policy.  </w:t>
      </w:r>
    </w:p>
    <w:p>
      <w:pPr>
        <w:pStyle w:val="BodyText"/>
        <w:numPr>
          <w:ilvl w:val="0"/>
          <w:numId w:val="132"/>
        </w:numPr>
        <w:tabs>
          <w:tab w:val="clear" w:pos="720"/>
          <w:tab w:val="left" w:pos="1080" w:leader="none"/>
        </w:tabs>
        <w:ind w:hanging="360" w:start="1800" w:end="0"/>
        <w:jc w:val="start"/>
        <w:rPr/>
      </w:pPr>
      <w:r>
        <w:rPr/>
        <w:t>DPC has obtained a legal opinion to the effect that all the issues raised in this suit have been considered and rejected in other writ petitions.</w:t>
      </w:r>
    </w:p>
    <w:p>
      <w:pPr>
        <w:pStyle w:val="BodyText"/>
        <w:numPr>
          <w:ilvl w:val="0"/>
          <w:numId w:val="132"/>
        </w:numPr>
        <w:tabs>
          <w:tab w:val="clear" w:pos="720"/>
          <w:tab w:val="left" w:pos="1080" w:leader="none"/>
        </w:tabs>
        <w:ind w:hanging="360" w:start="1800" w:end="0"/>
        <w:jc w:val="start"/>
        <w:rPr/>
      </w:pPr>
      <w:r>
        <w:rPr/>
        <w:t xml:space="preserve">This suit has not yet been listed for a first hearing </w:t>
      </w:r>
      <w:r>
        <w:rPr>
          <w:b/>
          <w:bCs/>
        </w:rPr>
        <w:t>and it will remain dormant until it is listed.</w:t>
      </w:r>
    </w:p>
    <w:p>
      <w:pPr>
        <w:pStyle w:val="BodyText"/>
        <w:tabs>
          <w:tab w:val="clear" w:pos="720"/>
          <w:tab w:val="left" w:pos="1080" w:leader="none"/>
          <w:tab w:val="left" w:pos="1170" w:leader="none"/>
          <w:tab w:val="left" w:pos="7740" w:leader="none"/>
          <w:tab w:val="left" w:pos="8370" w:leader="none"/>
        </w:tabs>
        <w:ind w:start="720" w:end="0"/>
        <w:rPr/>
      </w:pPr>
      <w:r>
        <w:rPr/>
      </w:r>
    </w:p>
    <w:p>
      <w:pPr>
        <w:pStyle w:val="BodyText"/>
        <w:keepNext w:val="true"/>
        <w:keepLines/>
        <w:tabs>
          <w:tab w:val="clear" w:pos="720"/>
          <w:tab w:val="left" w:pos="7740" w:leader="none"/>
        </w:tabs>
        <w:ind w:start="1440" w:end="0"/>
        <w:rPr/>
      </w:pPr>
      <w:r>
        <w:rPr>
          <w:b/>
          <w:u w:val="single"/>
        </w:rPr>
        <w:t>Abdul Ajeej Mastan et al. v. DPC</w:t>
      </w:r>
      <w:r>
        <w:rPr>
          <w:b/>
        </w:rPr>
        <w:tab/>
        <w:t>(Not Updated)</w:t>
      </w:r>
    </w:p>
    <w:p>
      <w:pPr>
        <w:pStyle w:val="BodyText"/>
        <w:keepNext w:val="true"/>
        <w:keepLines/>
        <w:tabs>
          <w:tab w:val="clear" w:pos="720"/>
          <w:tab w:val="left" w:pos="1080" w:leader="none"/>
          <w:tab w:val="left" w:pos="1170" w:leader="none"/>
          <w:tab w:val="left" w:pos="7740" w:leader="none"/>
          <w:tab w:val="left" w:pos="7920" w:leader="none"/>
          <w:tab w:val="left" w:pos="8370" w:leader="none"/>
        </w:tabs>
        <w:ind w:start="1440" w:end="0"/>
        <w:rPr>
          <w:b/>
        </w:rPr>
      </w:pPr>
      <w:r>
        <w:rPr/>
        <w:t>(Civil Judge Junior Division, Chiplun) (Nayan Wadkar) (Injunction to prevent construction of jetty) (Enron’s Interest: 50%)</w:t>
      </w:r>
    </w:p>
    <w:p>
      <w:pPr>
        <w:pStyle w:val="BodyText"/>
        <w:keepNext w:val="true"/>
        <w:keepLines/>
        <w:tabs>
          <w:tab w:val="clear" w:pos="720"/>
          <w:tab w:val="left" w:pos="1080" w:leader="none"/>
          <w:tab w:val="left" w:pos="1170" w:leader="none"/>
          <w:tab w:val="left" w:pos="7740" w:leader="none"/>
          <w:tab w:val="left" w:pos="7920" w:leader="none"/>
          <w:tab w:val="left" w:pos="8370" w:leader="none"/>
        </w:tabs>
        <w:ind w:start="720" w:end="0"/>
        <w:rPr>
          <w:b/>
        </w:rPr>
      </w:pPr>
      <w:r>
        <w:rPr>
          <w:b/>
        </w:rPr>
      </w:r>
    </w:p>
    <w:p>
      <w:pPr>
        <w:pStyle w:val="BodyText"/>
        <w:keepNext w:val="true"/>
        <w:keepLines/>
        <w:numPr>
          <w:ilvl w:val="0"/>
          <w:numId w:val="25"/>
        </w:numPr>
        <w:tabs>
          <w:tab w:val="clear" w:pos="720"/>
          <w:tab w:val="left" w:pos="1080" w:leader="none"/>
        </w:tabs>
        <w:ind w:hanging="360" w:start="1800" w:end="0"/>
        <w:rPr/>
      </w:pPr>
      <w:r>
        <w:rPr/>
        <w:t xml:space="preserve">This suit is for an injunction against the construction of the “construction jetty” at the site.  This jetty has been constructed and is in operation.  </w:t>
      </w:r>
    </w:p>
    <w:p>
      <w:pPr>
        <w:pStyle w:val="BodyText"/>
        <w:keepNext w:val="true"/>
        <w:keepLines/>
        <w:numPr>
          <w:ilvl w:val="0"/>
          <w:numId w:val="25"/>
        </w:numPr>
        <w:tabs>
          <w:tab w:val="clear" w:pos="720"/>
          <w:tab w:val="left" w:pos="1080" w:leader="none"/>
        </w:tabs>
        <w:ind w:hanging="360" w:start="1800" w:end="0"/>
        <w:rPr/>
      </w:pPr>
      <w:r>
        <w:rPr/>
        <w:t xml:space="preserve">DPC challenged the court’s jurisdiction and moved to transfer this case to the district court.  </w:t>
      </w:r>
    </w:p>
    <w:p>
      <w:pPr>
        <w:pStyle w:val="BodyText"/>
        <w:numPr>
          <w:ilvl w:val="0"/>
          <w:numId w:val="25"/>
        </w:numPr>
        <w:tabs>
          <w:tab w:val="clear" w:pos="720"/>
          <w:tab w:val="left" w:pos="1080" w:leader="none"/>
        </w:tabs>
        <w:ind w:hanging="360" w:start="1800" w:end="0"/>
        <w:rPr/>
      </w:pPr>
      <w:r>
        <w:rPr/>
        <w:t xml:space="preserve">DPC filed another application requesting the court to join the Union of India and State of Maharashtra as necessary or proper parties.  </w:t>
      </w:r>
    </w:p>
    <w:p>
      <w:pPr>
        <w:pStyle w:val="BodyText"/>
        <w:numPr>
          <w:ilvl w:val="0"/>
          <w:numId w:val="25"/>
        </w:numPr>
        <w:tabs>
          <w:tab w:val="clear" w:pos="720"/>
          <w:tab w:val="left" w:pos="1080" w:leader="none"/>
        </w:tabs>
        <w:ind w:hanging="360" w:start="1800" w:end="0"/>
        <w:rPr/>
      </w:pPr>
      <w:r>
        <w:rPr/>
        <w:t xml:space="preserve">On March 15, 1997, the judge determined that it was necessary to decide the issue of jurisdiction as a preliminary issue.  In the meantime an application was submitted seeking to implead the GOM as a necessary party.  </w:t>
      </w:r>
    </w:p>
    <w:p>
      <w:pPr>
        <w:pStyle w:val="BodyText"/>
        <w:numPr>
          <w:ilvl w:val="0"/>
          <w:numId w:val="25"/>
        </w:numPr>
        <w:tabs>
          <w:tab w:val="clear" w:pos="720"/>
          <w:tab w:val="left" w:pos="1080" w:leader="none"/>
        </w:tabs>
        <w:ind w:hanging="360" w:start="1800" w:end="0"/>
        <w:rPr/>
      </w:pPr>
      <w:r>
        <w:rPr/>
        <w:t>No date has been set for a hearing in this matter.</w:t>
      </w:r>
    </w:p>
    <w:p>
      <w:pPr>
        <w:pStyle w:val="BodyText"/>
        <w:tabs>
          <w:tab w:val="clear" w:pos="720"/>
          <w:tab w:val="left" w:pos="1080" w:leader="none"/>
          <w:tab w:val="left" w:pos="1170" w:leader="none"/>
          <w:tab w:val="left" w:pos="7740" w:leader="none"/>
          <w:tab w:val="left" w:pos="7920" w:leader="none"/>
          <w:tab w:val="left" w:pos="8370" w:leader="none"/>
        </w:tabs>
        <w:ind w:start="720" w:end="0"/>
        <w:rPr/>
      </w:pPr>
      <w:r>
        <w:rPr/>
      </w:r>
    </w:p>
    <w:p>
      <w:pPr>
        <w:pStyle w:val="BodyText"/>
        <w:keepNext w:val="true"/>
        <w:keepLines/>
        <w:tabs>
          <w:tab w:val="clear" w:pos="720"/>
          <w:tab w:val="left" w:pos="7740" w:leader="none"/>
        </w:tabs>
        <w:ind w:start="1440" w:end="0"/>
        <w:rPr>
          <w:b/>
          <w:u w:val="single"/>
        </w:rPr>
      </w:pPr>
      <w:r>
        <w:rPr>
          <w:b/>
          <w:u w:val="single"/>
        </w:rPr>
        <w:t>DPC v. Group Gram Panchayat Sahakari</w:t>
      </w:r>
      <w:r>
        <w:rPr>
          <w:b/>
        </w:rPr>
        <w:tab/>
        <w:t>(Updated)</w:t>
      </w:r>
    </w:p>
    <w:p>
      <w:pPr>
        <w:pStyle w:val="BodyText"/>
        <w:keepNext w:val="true"/>
        <w:keepLines/>
        <w:tabs>
          <w:tab w:val="clear" w:pos="720"/>
          <w:tab w:val="left" w:pos="7740" w:leader="none"/>
          <w:tab w:val="left" w:pos="7920" w:leader="none"/>
          <w:tab w:val="left" w:pos="8370" w:leader="none"/>
        </w:tabs>
        <w:ind w:start="1440" w:end="0"/>
        <w:rPr/>
      </w:pPr>
      <w:r>
        <w:rPr/>
        <w:t>(Bombay High Court) (Bhaishanker Kanga and Girdharlal) (Enron’s Interest: 50%)</w:t>
      </w:r>
    </w:p>
    <w:p>
      <w:pPr>
        <w:pStyle w:val="BodyText"/>
        <w:keepNext w:val="true"/>
        <w:keepLines/>
        <w:tabs>
          <w:tab w:val="clear" w:pos="720"/>
          <w:tab w:val="left" w:pos="1080" w:leader="none"/>
          <w:tab w:val="left" w:pos="1170" w:leader="none"/>
          <w:tab w:val="left" w:pos="7740" w:leader="none"/>
          <w:tab w:val="left" w:pos="7920" w:leader="none"/>
          <w:tab w:val="left" w:pos="8370" w:leader="none"/>
        </w:tabs>
        <w:ind w:start="720" w:end="0"/>
        <w:rPr/>
      </w:pPr>
      <w:r>
        <w:rPr/>
      </w:r>
    </w:p>
    <w:p>
      <w:pPr>
        <w:pStyle w:val="BodyText"/>
        <w:keepNext w:val="true"/>
        <w:keepLines/>
        <w:numPr>
          <w:ilvl w:val="0"/>
          <w:numId w:val="26"/>
        </w:numPr>
        <w:tabs>
          <w:tab w:val="clear" w:pos="720"/>
          <w:tab w:val="left" w:pos="1080" w:leader="none"/>
        </w:tabs>
        <w:ind w:hanging="360" w:start="1800" w:end="0"/>
        <w:jc w:val="start"/>
        <w:rPr/>
      </w:pPr>
      <w:r>
        <w:rPr/>
        <w:t xml:space="preserve">Persons from the village of Panchayat allege that DPC constructed buildings without prior permission of the </w:t>
      </w:r>
      <w:r>
        <w:rPr>
          <w:b/>
          <w:bCs/>
        </w:rPr>
        <w:t>local authorities.</w:t>
      </w:r>
    </w:p>
    <w:p>
      <w:pPr>
        <w:pStyle w:val="BodyText"/>
        <w:numPr>
          <w:ilvl w:val="0"/>
          <w:numId w:val="26"/>
        </w:numPr>
        <w:tabs>
          <w:tab w:val="clear" w:pos="720"/>
          <w:tab w:val="left" w:pos="1080" w:leader="none"/>
        </w:tabs>
        <w:ind w:hanging="360" w:start="1800" w:end="0"/>
        <w:jc w:val="start"/>
        <w:rPr/>
      </w:pPr>
      <w:r>
        <w:rPr/>
        <w:t xml:space="preserve">DPC has filed a writ challenging their notice </w:t>
      </w:r>
      <w:r>
        <w:rPr>
          <w:b/>
          <w:bCs/>
        </w:rPr>
        <w:t xml:space="preserve">claiming that the local authorities </w:t>
      </w:r>
      <w:r>
        <w:rPr/>
        <w:t xml:space="preserve">have no jurisdiction in such matters once land has been acquired by the government for development as “industrial areas” under the Maharashtra Industrial Development Act.  </w:t>
      </w:r>
    </w:p>
    <w:p>
      <w:pPr>
        <w:pStyle w:val="BodyText"/>
        <w:numPr>
          <w:ilvl w:val="0"/>
          <w:numId w:val="26"/>
        </w:numPr>
        <w:tabs>
          <w:tab w:val="clear" w:pos="720"/>
          <w:tab w:val="left" w:pos="1080" w:leader="none"/>
        </w:tabs>
        <w:ind w:hanging="360" w:start="1800" w:end="0"/>
        <w:jc w:val="start"/>
        <w:rPr>
          <w:b/>
          <w:bCs/>
        </w:rPr>
      </w:pPr>
      <w:r>
        <w:rPr>
          <w:b/>
          <w:bCs/>
        </w:rPr>
        <w:t>DPC awaits a hearing date so that it can ask the court for an order bringing this matter to an end.</w:t>
      </w:r>
    </w:p>
    <w:p>
      <w:pPr>
        <w:pStyle w:val="BodyText"/>
        <w:tabs>
          <w:tab w:val="clear" w:pos="720"/>
          <w:tab w:val="left" w:pos="1080" w:leader="none"/>
          <w:tab w:val="left" w:pos="1170" w:leader="none"/>
          <w:tab w:val="left" w:pos="7740" w:leader="none"/>
          <w:tab w:val="left" w:pos="8370" w:leader="none"/>
        </w:tabs>
        <w:ind w:start="720" w:end="0"/>
        <w:rPr>
          <w:b/>
          <w:bCs/>
        </w:rPr>
      </w:pPr>
      <w:r>
        <w:rPr>
          <w:b/>
          <w:bCs/>
        </w:rPr>
      </w:r>
    </w:p>
    <w:p>
      <w:pPr>
        <w:pStyle w:val="BodyText"/>
        <w:keepNext w:val="true"/>
        <w:keepLines/>
        <w:tabs>
          <w:tab w:val="clear" w:pos="720"/>
          <w:tab w:val="left" w:pos="7740" w:leader="none"/>
        </w:tabs>
        <w:ind w:start="1440" w:end="0"/>
        <w:rPr/>
      </w:pPr>
      <w:r>
        <w:rPr>
          <w:b/>
          <w:u w:val="single"/>
        </w:rPr>
        <w:t>DPC v. The Union of India et al.</w:t>
      </w:r>
      <w:r>
        <w:rPr>
          <w:b/>
        </w:rPr>
        <w:tab/>
        <w:t>(Updated)</w:t>
      </w:r>
    </w:p>
    <w:p>
      <w:pPr>
        <w:pStyle w:val="BodyText"/>
        <w:keepNext w:val="true"/>
        <w:keepLines/>
        <w:tabs>
          <w:tab w:val="clear" w:pos="720"/>
          <w:tab w:val="left" w:pos="1080" w:leader="none"/>
          <w:tab w:val="left" w:pos="1170" w:leader="none"/>
          <w:tab w:val="left" w:pos="7740" w:leader="none"/>
          <w:tab w:val="left" w:pos="7920" w:leader="none"/>
          <w:tab w:val="left" w:pos="8370" w:leader="none"/>
        </w:tabs>
        <w:ind w:start="1440" w:end="0"/>
        <w:rPr>
          <w:b/>
        </w:rPr>
      </w:pPr>
      <w:r>
        <w:rPr/>
        <w:t>(Appellate Authority-Commissioner of Customs) (Bhaishanker Kanga and Girdharlal) ($8 million) (Enron’s Interest: 50%)</w:t>
      </w:r>
    </w:p>
    <w:p>
      <w:pPr>
        <w:pStyle w:val="BodyText"/>
        <w:keepNext w:val="true"/>
        <w:keepLines/>
        <w:tabs>
          <w:tab w:val="clear" w:pos="720"/>
          <w:tab w:val="left" w:pos="1080" w:leader="none"/>
          <w:tab w:val="left" w:pos="1170" w:leader="none"/>
          <w:tab w:val="left" w:pos="7740" w:leader="none"/>
          <w:tab w:val="left" w:pos="7920" w:leader="none"/>
          <w:tab w:val="left" w:pos="8370" w:leader="none"/>
        </w:tabs>
        <w:ind w:start="720" w:end="0"/>
        <w:rPr>
          <w:b/>
        </w:rPr>
      </w:pPr>
      <w:r>
        <w:rPr>
          <w:b/>
        </w:rPr>
      </w:r>
    </w:p>
    <w:p>
      <w:pPr>
        <w:pStyle w:val="BodyText"/>
        <w:keepNext w:val="true"/>
        <w:keepLines/>
        <w:numPr>
          <w:ilvl w:val="0"/>
          <w:numId w:val="70"/>
        </w:numPr>
        <w:tabs>
          <w:tab w:val="clear" w:pos="720"/>
          <w:tab w:val="left" w:pos="1080" w:leader="none"/>
        </w:tabs>
        <w:ind w:hanging="360" w:start="1800" w:end="0"/>
        <w:jc w:val="start"/>
        <w:rPr/>
      </w:pPr>
      <w:r>
        <w:rPr/>
        <w:t xml:space="preserve">There has been an ongoing dispute between DPC and the customs authority regarding classification of the </w:t>
      </w:r>
      <w:r>
        <w:rPr>
          <w:b/>
          <w:bCs/>
        </w:rPr>
        <w:t xml:space="preserve">site’s </w:t>
      </w:r>
      <w:r>
        <w:rPr/>
        <w:t xml:space="preserve">single point </w:t>
      </w:r>
      <w:r>
        <w:rPr>
          <w:b/>
          <w:bCs/>
        </w:rPr>
        <w:t xml:space="preserve">off-shore </w:t>
      </w:r>
      <w:r>
        <w:rPr/>
        <w:t xml:space="preserve">mooring (“SPM”) as a project import eligible for concessional duty.  </w:t>
      </w:r>
    </w:p>
    <w:p>
      <w:pPr>
        <w:pStyle w:val="BodyText"/>
        <w:numPr>
          <w:ilvl w:val="0"/>
          <w:numId w:val="70"/>
        </w:numPr>
        <w:tabs>
          <w:tab w:val="clear" w:pos="720"/>
          <w:tab w:val="left" w:pos="1080" w:leader="none"/>
        </w:tabs>
        <w:ind w:hanging="360" w:start="1800" w:end="0"/>
        <w:jc w:val="start"/>
        <w:rPr/>
      </w:pPr>
      <w:r>
        <w:rPr/>
        <w:t xml:space="preserve">On January 22, 1999, the assistant commissioner of customs denied DPC the benefit of </w:t>
      </w:r>
      <w:r>
        <w:rPr>
          <w:b/>
          <w:bCs/>
        </w:rPr>
        <w:t xml:space="preserve">the special, lower duty rate applicable to the project </w:t>
      </w:r>
      <w:r>
        <w:rPr/>
        <w:t xml:space="preserve">and directed DPC to pay the duty difference amounting to approximately $8 million.  </w:t>
      </w:r>
    </w:p>
    <w:p>
      <w:pPr>
        <w:pStyle w:val="BodyText"/>
        <w:numPr>
          <w:ilvl w:val="0"/>
          <w:numId w:val="70"/>
        </w:numPr>
        <w:tabs>
          <w:tab w:val="clear" w:pos="720"/>
          <w:tab w:val="left" w:pos="1080" w:leader="none"/>
        </w:tabs>
        <w:ind w:hanging="360" w:start="1800" w:end="0"/>
        <w:jc w:val="start"/>
        <w:rPr/>
      </w:pPr>
      <w:r>
        <w:rPr/>
        <w:t xml:space="preserve">On March 11, 1999, DPC filed a writ in the Bombay High Court challenging the order.  </w:t>
      </w:r>
    </w:p>
    <w:p>
      <w:pPr>
        <w:pStyle w:val="BodyText"/>
        <w:numPr>
          <w:ilvl w:val="0"/>
          <w:numId w:val="70"/>
        </w:numPr>
        <w:tabs>
          <w:tab w:val="clear" w:pos="720"/>
          <w:tab w:val="left" w:pos="1080" w:leader="none"/>
        </w:tabs>
        <w:ind w:hanging="360" w:start="1800" w:end="0"/>
        <w:jc w:val="start"/>
        <w:rPr/>
      </w:pPr>
      <w:r>
        <w:rPr/>
        <w:t>On April 7, 1999, DPC filed this appeal.</w:t>
      </w:r>
    </w:p>
    <w:p>
      <w:pPr>
        <w:pStyle w:val="BodyText"/>
        <w:numPr>
          <w:ilvl w:val="0"/>
          <w:numId w:val="70"/>
        </w:numPr>
        <w:tabs>
          <w:tab w:val="clear" w:pos="720"/>
          <w:tab w:val="left" w:pos="1080" w:leader="none"/>
        </w:tabs>
        <w:ind w:hanging="360" w:start="1800" w:end="0"/>
        <w:jc w:val="start"/>
        <w:rPr/>
      </w:pPr>
      <w:r>
        <w:rPr/>
        <w:t xml:space="preserve">On August 17, 1999, DPC’s counsel argued against the </w:t>
      </w:r>
      <w:r>
        <w:rPr>
          <w:b/>
          <w:bCs/>
        </w:rPr>
        <w:t xml:space="preserve">levy </w:t>
      </w:r>
      <w:r>
        <w:rPr/>
        <w:t xml:space="preserve">of the </w:t>
      </w:r>
      <w:r>
        <w:rPr>
          <w:b/>
          <w:bCs/>
        </w:rPr>
        <w:t xml:space="preserve">additional duty and although </w:t>
      </w:r>
      <w:r>
        <w:rPr/>
        <w:t xml:space="preserve">DPC was </w:t>
      </w:r>
      <w:r>
        <w:rPr>
          <w:b/>
          <w:bCs/>
        </w:rPr>
        <w:t xml:space="preserve">initially </w:t>
      </w:r>
      <w:r>
        <w:rPr/>
        <w:t>successful in getting the customs authorities to waive the Rs 5 crores cash deposit requirement</w:t>
      </w:r>
      <w:r>
        <w:rPr>
          <w:b/>
          <w:bCs/>
        </w:rPr>
        <w:t>, however, this amount was ultimately paid.</w:t>
      </w:r>
    </w:p>
    <w:p>
      <w:pPr>
        <w:pStyle w:val="BodyText"/>
        <w:numPr>
          <w:ilvl w:val="0"/>
          <w:numId w:val="70"/>
        </w:numPr>
        <w:tabs>
          <w:tab w:val="clear" w:pos="720"/>
          <w:tab w:val="left" w:pos="1080" w:leader="none"/>
        </w:tabs>
        <w:ind w:hanging="360" w:start="1800" w:end="0"/>
        <w:jc w:val="start"/>
        <w:rPr/>
      </w:pPr>
      <w:r>
        <w:rPr/>
        <w:t xml:space="preserve">On February 28, 2000, the appeal from the assistant commissioner's order was heard and the court accepted DPC’s contention that the SPM is indeed an integral part of the project and should be granted </w:t>
      </w:r>
      <w:r>
        <w:rPr>
          <w:b/>
          <w:bCs/>
        </w:rPr>
        <w:t xml:space="preserve">the benefit of the lower </w:t>
      </w:r>
      <w:r>
        <w:rPr/>
        <w:t xml:space="preserve">duty.  The court also remanded the matter to the assistant commissioner </w:t>
      </w:r>
      <w:r>
        <w:rPr>
          <w:b/>
          <w:bCs/>
        </w:rPr>
        <w:t>to confirm the higher court’s findings.</w:t>
      </w:r>
    </w:p>
    <w:p>
      <w:pPr>
        <w:pStyle w:val="BodyText"/>
        <w:numPr>
          <w:ilvl w:val="0"/>
          <w:numId w:val="70"/>
        </w:numPr>
        <w:tabs>
          <w:tab w:val="clear" w:pos="720"/>
          <w:tab w:val="left" w:pos="1080" w:leader="none"/>
        </w:tabs>
        <w:ind w:hanging="360" w:start="1800" w:end="0"/>
        <w:jc w:val="start"/>
        <w:rPr/>
      </w:pPr>
      <w:r>
        <w:rPr/>
        <w:t xml:space="preserve">An appeal has been submitted by outside counsel </w:t>
      </w:r>
      <w:r>
        <w:rPr>
          <w:b/>
          <w:bCs/>
        </w:rPr>
        <w:t>because the higher duty has been applied.</w:t>
      </w:r>
      <w:r>
        <w:rPr/>
        <w:t xml:space="preserve">  Customs has also submitted their appeal.</w:t>
      </w:r>
    </w:p>
    <w:p>
      <w:pPr>
        <w:pStyle w:val="BodyText"/>
        <w:tabs>
          <w:tab w:val="clear" w:pos="720"/>
          <w:tab w:val="left" w:pos="1080" w:leader="none"/>
          <w:tab w:val="left" w:pos="1170" w:leader="none"/>
          <w:tab w:val="left" w:pos="7740" w:leader="none"/>
          <w:tab w:val="left" w:pos="8370" w:leader="none"/>
        </w:tabs>
        <w:ind w:start="720" w:end="0"/>
        <w:rPr/>
      </w:pPr>
      <w:r>
        <w:rPr/>
      </w:r>
    </w:p>
    <w:p>
      <w:pPr>
        <w:pStyle w:val="BodyText"/>
        <w:keepNext w:val="true"/>
        <w:keepLines/>
        <w:tabs>
          <w:tab w:val="clear" w:pos="720"/>
          <w:tab w:val="left" w:pos="7740" w:leader="none"/>
        </w:tabs>
        <w:ind w:start="1440" w:end="0"/>
        <w:rPr/>
      </w:pPr>
      <w:r>
        <w:rPr>
          <w:b/>
          <w:u w:val="single"/>
        </w:rPr>
        <w:t>Enron India Private Limited and DPC v.</w:t>
      </w:r>
      <w:r>
        <w:rPr>
          <w:b/>
        </w:rPr>
        <w:tab/>
        <w:t>(Updated)</w:t>
      </w:r>
    </w:p>
    <w:p>
      <w:pPr>
        <w:pStyle w:val="BodyText"/>
        <w:keepNext w:val="true"/>
        <w:keepLines/>
        <w:tabs>
          <w:tab w:val="clear" w:pos="720"/>
          <w:tab w:val="left" w:pos="7740" w:leader="none"/>
          <w:tab w:val="left" w:pos="8100" w:leader="none"/>
          <w:tab w:val="left" w:pos="8370" w:leader="none"/>
        </w:tabs>
        <w:ind w:start="1440" w:end="0"/>
        <w:rPr/>
      </w:pPr>
      <w:r>
        <w:rPr>
          <w:b/>
          <w:u w:val="single"/>
        </w:rPr>
        <w:t xml:space="preserve">Shri Damaji Yashwant Vaidya et al. </w:t>
      </w:r>
      <w:r>
        <w:rPr>
          <w:b/>
        </w:rPr>
        <w:t>(2 suits)</w:t>
      </w:r>
    </w:p>
    <w:p>
      <w:pPr>
        <w:pStyle w:val="BodyText"/>
        <w:keepNext w:val="true"/>
        <w:keepLines/>
        <w:tabs>
          <w:tab w:val="clear" w:pos="720"/>
          <w:tab w:val="left" w:pos="1080" w:leader="none"/>
          <w:tab w:val="left" w:pos="1170" w:leader="none"/>
          <w:tab w:val="left" w:pos="7740" w:leader="none"/>
          <w:tab w:val="left" w:pos="7920" w:leader="none"/>
          <w:tab w:val="left" w:pos="8370" w:leader="none"/>
        </w:tabs>
        <w:ind w:start="1440" w:end="0"/>
        <w:rPr/>
      </w:pPr>
      <w:r>
        <w:rPr/>
        <w:t>(Ratnagiri Court) (Sudhir P. Chitale) (Injunctive Relief) (Enron’s Interest: 50%)</w:t>
      </w:r>
    </w:p>
    <w:p>
      <w:pPr>
        <w:pStyle w:val="BodyText2"/>
        <w:tabs>
          <w:tab w:val="clear" w:pos="1080"/>
          <w:tab w:val="clear" w:pos="7920"/>
          <w:tab w:val="clear" w:pos="8370"/>
          <w:tab w:val="left" w:pos="7740" w:leader="none"/>
        </w:tabs>
        <w:ind w:start="1440" w:end="0"/>
        <w:rPr/>
      </w:pPr>
      <w:r>
        <w:rPr>
          <w:u w:val="single"/>
        </w:rPr>
        <w:t>Seema Pandit v. EIPL, Damaji Vaidya et al.</w:t>
      </w:r>
      <w:r>
        <w:rPr/>
        <w:t xml:space="preserve"> </w:t>
      </w:r>
    </w:p>
    <w:p>
      <w:pPr>
        <w:pStyle w:val="BodyText"/>
        <w:keepNext w:val="true"/>
        <w:keepLines/>
        <w:tabs>
          <w:tab w:val="clear" w:pos="720"/>
          <w:tab w:val="left" w:pos="1080" w:leader="none"/>
          <w:tab w:val="left" w:pos="1170" w:leader="none"/>
          <w:tab w:val="left" w:pos="7740" w:leader="none"/>
          <w:tab w:val="left" w:pos="7920" w:leader="none"/>
          <w:tab w:val="left" w:pos="8370" w:leader="none"/>
        </w:tabs>
        <w:ind w:start="1440" w:end="0"/>
        <w:rPr>
          <w:b/>
        </w:rPr>
      </w:pPr>
      <w:r>
        <w:rPr/>
        <w:t>(Ratnagiri Court) (Sudhir P. Chitale) (Injunctive Relief) (Enron’s Interest: 50%)</w:t>
      </w:r>
    </w:p>
    <w:p>
      <w:pPr>
        <w:pStyle w:val="BodyText"/>
        <w:keepNext w:val="true"/>
        <w:keepLines/>
        <w:ind w:start="720" w:end="0"/>
        <w:jc w:val="start"/>
        <w:rPr>
          <w:b/>
        </w:rPr>
      </w:pPr>
      <w:r>
        <w:rPr>
          <w:b/>
        </w:rPr>
      </w:r>
    </w:p>
    <w:p>
      <w:pPr>
        <w:pStyle w:val="BodyText"/>
        <w:numPr>
          <w:ilvl w:val="0"/>
          <w:numId w:val="160"/>
        </w:numPr>
        <w:tabs>
          <w:tab w:val="clear" w:pos="720"/>
          <w:tab w:val="left" w:pos="1080" w:leader="none"/>
        </w:tabs>
        <w:ind w:hanging="360" w:start="1800" w:end="0"/>
        <w:jc w:val="start"/>
        <w:rPr/>
      </w:pPr>
      <w:r>
        <w:rPr/>
        <w:t xml:space="preserve">DPC learned that a dispute had arisen among the defendants regarding a power of attorney </w:t>
      </w:r>
      <w:r>
        <w:rPr>
          <w:b/>
          <w:bCs/>
        </w:rPr>
        <w:t xml:space="preserve">executed in connection with </w:t>
      </w:r>
      <w:r>
        <w:rPr/>
        <w:t>the property leased by them to DPC.  DPC thought the defendants might interfere with the leased property</w:t>
      </w:r>
      <w:r>
        <w:rPr>
          <w:b/>
          <w:bCs/>
        </w:rPr>
        <w:t xml:space="preserve">, and on April 21, 1999, </w:t>
      </w:r>
      <w:r>
        <w:rPr/>
        <w:t>filed this suit and application for injunction.</w:t>
      </w:r>
    </w:p>
    <w:p>
      <w:pPr>
        <w:pStyle w:val="BodyText"/>
        <w:numPr>
          <w:ilvl w:val="0"/>
          <w:numId w:val="160"/>
        </w:numPr>
        <w:tabs>
          <w:tab w:val="clear" w:pos="720"/>
          <w:tab w:val="left" w:pos="1080" w:leader="none"/>
        </w:tabs>
        <w:ind w:hanging="360" w:start="1800" w:end="0"/>
        <w:jc w:val="start"/>
        <w:rPr/>
      </w:pPr>
      <w:r>
        <w:rPr/>
        <w:t xml:space="preserve">On April 21, 1999, the court granted an </w:t>
      </w:r>
      <w:r>
        <w:rPr>
          <w:i/>
        </w:rPr>
        <w:t>ex parte</w:t>
      </w:r>
      <w:r>
        <w:rPr/>
        <w:t xml:space="preserve"> temporary injunction restraining defendants from interfering with DPC’s possession.</w:t>
      </w:r>
    </w:p>
    <w:p>
      <w:pPr>
        <w:pStyle w:val="BodyText"/>
        <w:numPr>
          <w:ilvl w:val="0"/>
          <w:numId w:val="160"/>
        </w:numPr>
        <w:tabs>
          <w:tab w:val="clear" w:pos="720"/>
          <w:tab w:val="left" w:pos="1080" w:leader="none"/>
        </w:tabs>
        <w:ind w:hanging="360" w:start="1800" w:end="0"/>
        <w:jc w:val="start"/>
        <w:rPr>
          <w:b/>
          <w:bCs/>
        </w:rPr>
      </w:pPr>
      <w:r>
        <w:rPr/>
        <w:t xml:space="preserve">Defendants filed an application for a counter-injunction </w:t>
      </w:r>
      <w:r>
        <w:rPr>
          <w:b/>
          <w:bCs/>
        </w:rPr>
        <w:t xml:space="preserve">which has been reset on numerous occasions.  </w:t>
      </w:r>
      <w:r>
        <w:br w:type="page"/>
      </w:r>
    </w:p>
    <w:p>
      <w:pPr>
        <w:pStyle w:val="BodyText"/>
        <w:tabs>
          <w:tab w:val="clear" w:pos="720"/>
          <w:tab w:val="left" w:pos="1080" w:leader="none"/>
        </w:tabs>
        <w:ind w:start="1440" w:end="0"/>
        <w:jc w:val="start"/>
        <w:rPr/>
      </w:pPr>
      <w:r>
        <w:rPr>
          <w:b/>
          <w:u w:val="single"/>
        </w:rPr>
        <w:t>Anjanvel Gramastha Mandal et al. v.</w:t>
      </w:r>
      <w:r>
        <w:rPr>
          <w:b/>
        </w:rPr>
        <w:tab/>
        <w:t>(Updated)</w:t>
      </w:r>
    </w:p>
    <w:p>
      <w:pPr>
        <w:pStyle w:val="BodyText"/>
        <w:tabs>
          <w:tab w:val="clear" w:pos="720"/>
          <w:tab w:val="left" w:pos="7740" w:leader="none"/>
          <w:tab w:val="left" w:pos="8370" w:leader="none"/>
        </w:tabs>
        <w:ind w:start="1440" w:end="0"/>
        <w:rPr>
          <w:b/>
          <w:u w:val="single"/>
        </w:rPr>
      </w:pPr>
      <w:r>
        <w:rPr>
          <w:b/>
          <w:u w:val="single"/>
        </w:rPr>
        <w:t>DPC et al.  (Contempt Petition No. 29235 of 1999)</w:t>
      </w:r>
    </w:p>
    <w:p>
      <w:pPr>
        <w:pStyle w:val="BodyText"/>
        <w:tabs>
          <w:tab w:val="clear" w:pos="720"/>
          <w:tab w:val="left" w:pos="1080" w:leader="none"/>
          <w:tab w:val="left" w:pos="1170" w:leader="none"/>
          <w:tab w:val="left" w:pos="7740" w:leader="none"/>
          <w:tab w:val="left" w:pos="7920" w:leader="none"/>
          <w:tab w:val="left" w:pos="8370" w:leader="none"/>
        </w:tabs>
        <w:ind w:start="1440" w:end="0"/>
        <w:rPr/>
      </w:pPr>
      <w:r>
        <w:rPr/>
        <w:t>(Bombay High Court) (Bhaishanker Kanga &amp; Girdharlal) (Contempt petition) (Enron’s Interest: 50%)</w:t>
      </w:r>
    </w:p>
    <w:p>
      <w:pPr>
        <w:pStyle w:val="BodyText"/>
        <w:tabs>
          <w:tab w:val="clear" w:pos="720"/>
          <w:tab w:val="left" w:pos="1080" w:leader="none"/>
          <w:tab w:val="left" w:pos="1170" w:leader="none"/>
          <w:tab w:val="left" w:pos="7740" w:leader="none"/>
          <w:tab w:val="left" w:pos="8370" w:leader="none"/>
        </w:tabs>
        <w:ind w:start="720" w:end="0"/>
        <w:rPr/>
      </w:pPr>
      <w:r>
        <w:rPr/>
      </w:r>
    </w:p>
    <w:p>
      <w:pPr>
        <w:pStyle w:val="BodyText"/>
        <w:numPr>
          <w:ilvl w:val="0"/>
          <w:numId w:val="130"/>
        </w:numPr>
        <w:tabs>
          <w:tab w:val="clear" w:pos="720"/>
          <w:tab w:val="left" w:pos="1080" w:leader="none"/>
        </w:tabs>
        <w:ind w:hanging="360" w:start="1800" w:end="0"/>
        <w:jc w:val="start"/>
        <w:rPr/>
      </w:pPr>
      <w:r>
        <w:rPr/>
        <w:t xml:space="preserve">This contempt petition was filed in September, 1999 in connection with the orders in two prior Writs, No. 2735 of 1994 and No. 4625 of 1998. </w:t>
      </w:r>
    </w:p>
    <w:p>
      <w:pPr>
        <w:pStyle w:val="BodyText"/>
        <w:numPr>
          <w:ilvl w:val="0"/>
          <w:numId w:val="130"/>
        </w:numPr>
        <w:tabs>
          <w:tab w:val="clear" w:pos="720"/>
          <w:tab w:val="left" w:pos="1080" w:leader="none"/>
        </w:tabs>
        <w:ind w:hanging="360" w:start="1800" w:end="0"/>
        <w:jc w:val="start"/>
        <w:rPr/>
      </w:pPr>
      <w:r>
        <w:rPr/>
        <w:t xml:space="preserve">The sole allegation is that DPC has not complied with the High Court’s directives to give employment to 200 land-affected persons.  </w:t>
      </w:r>
      <w:r>
        <w:rPr>
          <w:b/>
          <w:bCs/>
        </w:rPr>
        <w:t>DPC claimed that it had complied and that the only amounts not paid were those that were in dispute and that DPC would pay these amounts once the disputes as to whom they should be paid were settled.</w:t>
      </w:r>
    </w:p>
    <w:p>
      <w:pPr>
        <w:pStyle w:val="BodyText"/>
        <w:numPr>
          <w:ilvl w:val="0"/>
          <w:numId w:val="130"/>
        </w:numPr>
        <w:tabs>
          <w:tab w:val="clear" w:pos="720"/>
          <w:tab w:val="left" w:pos="1080" w:leader="none"/>
        </w:tabs>
        <w:ind w:hanging="360" w:start="1800" w:end="0"/>
        <w:jc w:val="start"/>
        <w:rPr>
          <w:bCs/>
        </w:rPr>
      </w:pPr>
      <w:r>
        <w:rPr>
          <w:bCs/>
        </w:rPr>
        <w:t xml:space="preserve">On January 22, 2001, the court heard the contempt petition and directed DPC to deposit the </w:t>
      </w:r>
      <w:r>
        <w:rPr>
          <w:b/>
        </w:rPr>
        <w:t>remaining amounts.  DPC complied.  This matter will not appear on next month’s report.</w:t>
      </w:r>
    </w:p>
    <w:p>
      <w:pPr>
        <w:pStyle w:val="BodyText"/>
        <w:ind w:start="1440" w:end="0"/>
        <w:jc w:val="start"/>
        <w:rPr>
          <w:bCs/>
        </w:rPr>
      </w:pPr>
      <w:r>
        <w:rPr>
          <w:bCs/>
        </w:rPr>
      </w:r>
    </w:p>
    <w:p>
      <w:pPr>
        <w:pStyle w:val="Normal"/>
        <w:tabs>
          <w:tab w:val="clear" w:pos="720"/>
          <w:tab w:val="left" w:pos="1440" w:leader="none"/>
          <w:tab w:val="left" w:pos="7740" w:leader="none"/>
        </w:tabs>
        <w:ind w:start="1440" w:end="0"/>
        <w:jc w:val="both"/>
        <w:rPr/>
      </w:pPr>
      <w:r>
        <w:rPr>
          <w:rFonts w:cs="Arial" w:ascii="Arial" w:hAnsi="Arial"/>
          <w:b/>
          <w:sz w:val="24"/>
          <w:u w:val="single"/>
        </w:rPr>
        <w:t xml:space="preserve">Rami Dhondu Bhambid v. EIPL et al. </w:t>
      </w:r>
      <w:r>
        <w:rPr>
          <w:rFonts w:cs="Arial" w:ascii="Arial" w:hAnsi="Arial"/>
          <w:b/>
          <w:sz w:val="24"/>
        </w:rPr>
        <w:tab/>
        <w:t>(Updated)</w:t>
      </w:r>
    </w:p>
    <w:p>
      <w:pPr>
        <w:pStyle w:val="BodyText"/>
        <w:tabs>
          <w:tab w:val="clear" w:pos="720"/>
          <w:tab w:val="left" w:pos="1080" w:leader="none"/>
          <w:tab w:val="left" w:pos="1170" w:leader="none"/>
          <w:tab w:val="left" w:pos="7740" w:leader="none"/>
          <w:tab w:val="left" w:pos="7920" w:leader="none"/>
          <w:tab w:val="left" w:pos="8370" w:leader="none"/>
        </w:tabs>
        <w:ind w:start="1440" w:end="0"/>
        <w:rPr/>
      </w:pPr>
      <w:r>
        <w:rPr/>
        <w:t xml:space="preserve">(Dapoli Court) (Sudhir P. Chitale) (Permanent Injunction) </w:t>
      </w:r>
    </w:p>
    <w:p>
      <w:pPr>
        <w:pStyle w:val="Normal"/>
        <w:ind w:start="1440" w:end="0"/>
        <w:jc w:val="both"/>
        <w:rPr>
          <w:rFonts w:ascii="Arial" w:hAnsi="Arial" w:cs="Arial"/>
          <w:b/>
          <w:sz w:val="24"/>
        </w:rPr>
      </w:pPr>
      <w:r>
        <w:rPr>
          <w:rFonts w:cs="Arial" w:ascii="Arial" w:hAnsi="Arial"/>
          <w:b/>
          <w:sz w:val="24"/>
        </w:rPr>
      </w:r>
    </w:p>
    <w:p>
      <w:pPr>
        <w:pStyle w:val="Normal"/>
        <w:numPr>
          <w:ilvl w:val="0"/>
          <w:numId w:val="63"/>
        </w:numPr>
        <w:tabs>
          <w:tab w:val="clear" w:pos="720"/>
          <w:tab w:val="left" w:pos="1080" w:leader="none"/>
        </w:tabs>
        <w:ind w:hanging="360" w:start="1800" w:end="0"/>
        <w:jc w:val="both"/>
        <w:rPr>
          <w:rFonts w:ascii="Arial" w:hAnsi="Arial" w:cs="Arial"/>
          <w:sz w:val="24"/>
        </w:rPr>
      </w:pPr>
      <w:r>
        <w:rPr>
          <w:rFonts w:cs="Arial" w:ascii="Arial" w:hAnsi="Arial"/>
          <w:sz w:val="24"/>
        </w:rPr>
        <w:t xml:space="preserve">Plaintiff filed this lawsuit alleging that the he did not consent or receive compensation for land acquired by EIPL for quarrying purposes.  </w:t>
      </w:r>
    </w:p>
    <w:p>
      <w:pPr>
        <w:pStyle w:val="Normal"/>
        <w:numPr>
          <w:ilvl w:val="0"/>
          <w:numId w:val="63"/>
        </w:numPr>
        <w:tabs>
          <w:tab w:val="clear" w:pos="720"/>
          <w:tab w:val="left" w:pos="1080" w:leader="none"/>
        </w:tabs>
        <w:ind w:hanging="360" w:start="1800" w:end="0"/>
        <w:jc w:val="both"/>
        <w:rPr>
          <w:rFonts w:ascii="Arial" w:hAnsi="Arial" w:cs="Arial"/>
          <w:sz w:val="24"/>
        </w:rPr>
      </w:pPr>
      <w:r>
        <w:rPr>
          <w:rFonts w:cs="Arial" w:ascii="Arial" w:hAnsi="Arial"/>
          <w:sz w:val="24"/>
        </w:rPr>
        <w:t xml:space="preserve">The lease deed was executed between EIPL and the plaintiff's family members whose names appeared on the land records as those in possession of the land.  </w:t>
      </w:r>
    </w:p>
    <w:p>
      <w:pPr>
        <w:pStyle w:val="Normal"/>
        <w:numPr>
          <w:ilvl w:val="0"/>
          <w:numId w:val="158"/>
        </w:numPr>
        <w:tabs>
          <w:tab w:val="clear" w:pos="720"/>
          <w:tab w:val="left" w:pos="1080" w:leader="none"/>
        </w:tabs>
        <w:ind w:hanging="360" w:start="1800" w:end="0"/>
        <w:jc w:val="both"/>
        <w:rPr>
          <w:rFonts w:ascii="Arial" w:hAnsi="Arial" w:cs="Arial"/>
          <w:sz w:val="24"/>
        </w:rPr>
      </w:pPr>
      <w:r>
        <w:rPr>
          <w:rFonts w:cs="Arial" w:ascii="Arial" w:hAnsi="Arial"/>
          <w:sz w:val="24"/>
        </w:rPr>
        <w:t xml:space="preserve">Plaintiff seeks a permanent injunction against EIPL, which would prevent EIPL from carrying out quarrying operations on the subject property.  </w:t>
      </w:r>
    </w:p>
    <w:p>
      <w:pPr>
        <w:pStyle w:val="BodyText"/>
        <w:numPr>
          <w:ilvl w:val="0"/>
          <w:numId w:val="121"/>
        </w:numPr>
        <w:tabs>
          <w:tab w:val="clear" w:pos="720"/>
          <w:tab w:val="left" w:pos="1080" w:leader="none"/>
        </w:tabs>
        <w:ind w:hanging="360" w:start="1800" w:end="0"/>
        <w:rPr/>
      </w:pPr>
      <w:r>
        <w:rPr/>
        <w:t>On April 27, 2000, the court granted DPC's application requiring that all defendants be served before the first hearing on plaintiff’s motion seeking a temporary injunction.</w:t>
      </w:r>
    </w:p>
    <w:p>
      <w:pPr>
        <w:pStyle w:val="BodyText"/>
        <w:numPr>
          <w:ilvl w:val="0"/>
          <w:numId w:val="121"/>
        </w:numPr>
        <w:tabs>
          <w:tab w:val="clear" w:pos="720"/>
          <w:tab w:val="left" w:pos="1080" w:leader="none"/>
        </w:tabs>
        <w:ind w:hanging="360" w:start="1800" w:end="0"/>
        <w:rPr/>
      </w:pPr>
      <w:r>
        <w:rPr/>
        <w:t xml:space="preserve">DPC has submitted its argument </w:t>
      </w:r>
      <w:r>
        <w:rPr>
          <w:b/>
          <w:bCs/>
        </w:rPr>
        <w:t xml:space="preserve">and the judge has not yet ruled. </w:t>
      </w:r>
    </w:p>
    <w:p>
      <w:pPr>
        <w:pStyle w:val="BodyText"/>
        <w:ind w:start="720" w:end="0"/>
        <w:jc w:val="start"/>
        <w:rPr/>
      </w:pPr>
      <w:r>
        <w:rPr/>
      </w:r>
    </w:p>
    <w:p>
      <w:pPr>
        <w:pStyle w:val="Normal"/>
        <w:keepNext w:val="true"/>
        <w:keepLines/>
        <w:tabs>
          <w:tab w:val="clear" w:pos="720"/>
          <w:tab w:val="left" w:pos="1440" w:leader="none"/>
          <w:tab w:val="left" w:pos="7740" w:leader="none"/>
        </w:tabs>
        <w:ind w:start="1440" w:end="0"/>
        <w:jc w:val="both"/>
        <w:rPr/>
      </w:pPr>
      <w:r>
        <w:rPr>
          <w:rFonts w:cs="Arial" w:ascii="Arial" w:hAnsi="Arial"/>
          <w:b/>
          <w:sz w:val="24"/>
          <w:u w:val="single"/>
        </w:rPr>
        <w:t>Madhukar Gopal Narvankar v. EIPL et al.</w:t>
      </w:r>
      <w:r>
        <w:rPr>
          <w:rFonts w:cs="Arial" w:ascii="Arial" w:hAnsi="Arial"/>
          <w:b/>
          <w:sz w:val="24"/>
        </w:rPr>
        <w:tab/>
        <w:t>(Updated)</w:t>
      </w:r>
    </w:p>
    <w:p>
      <w:pPr>
        <w:pStyle w:val="BodyText"/>
        <w:keepNext w:val="true"/>
        <w:keepLines/>
        <w:tabs>
          <w:tab w:val="clear" w:pos="720"/>
          <w:tab w:val="left" w:pos="1080" w:leader="none"/>
          <w:tab w:val="left" w:pos="1170" w:leader="none"/>
          <w:tab w:val="left" w:pos="7740" w:leader="none"/>
          <w:tab w:val="left" w:pos="7920" w:leader="none"/>
          <w:tab w:val="left" w:pos="8370" w:leader="none"/>
        </w:tabs>
        <w:ind w:start="1440" w:end="0"/>
        <w:rPr>
          <w:b/>
        </w:rPr>
      </w:pPr>
      <w:r>
        <w:rPr/>
        <w:t>(Dapoli Court) (Sudhir P. Chitale) (Permanent Injunction)</w:t>
      </w:r>
    </w:p>
    <w:p>
      <w:pPr>
        <w:pStyle w:val="Normal"/>
        <w:keepNext w:val="true"/>
        <w:keepLines/>
        <w:ind w:start="1440" w:end="0"/>
        <w:jc w:val="both"/>
        <w:rPr>
          <w:rFonts w:ascii="Arial" w:hAnsi="Arial" w:cs="Arial"/>
          <w:b/>
          <w:sz w:val="24"/>
        </w:rPr>
      </w:pPr>
      <w:r>
        <w:rPr>
          <w:rFonts w:cs="Arial" w:ascii="Arial" w:hAnsi="Arial"/>
          <w:b/>
          <w:sz w:val="24"/>
        </w:rPr>
      </w:r>
    </w:p>
    <w:p>
      <w:pPr>
        <w:pStyle w:val="Normal"/>
        <w:keepNext w:val="true"/>
        <w:keepLines/>
        <w:numPr>
          <w:ilvl w:val="0"/>
          <w:numId w:val="63"/>
        </w:numPr>
        <w:tabs>
          <w:tab w:val="clear" w:pos="720"/>
          <w:tab w:val="left" w:pos="1080" w:leader="none"/>
        </w:tabs>
        <w:ind w:hanging="360" w:start="1800" w:end="0"/>
        <w:rPr>
          <w:rFonts w:ascii="Arial" w:hAnsi="Arial" w:cs="Arial"/>
          <w:sz w:val="24"/>
        </w:rPr>
      </w:pPr>
      <w:r>
        <w:rPr>
          <w:rFonts w:cs="Arial" w:ascii="Arial" w:hAnsi="Arial"/>
          <w:sz w:val="24"/>
        </w:rPr>
        <w:t xml:space="preserve">Plaintiff filed this lawsuit alleging that he did not consent or receive compensation for land acquired by EIPL for quarrying purposes.  </w:t>
      </w:r>
    </w:p>
    <w:p>
      <w:pPr>
        <w:pStyle w:val="Normal"/>
        <w:numPr>
          <w:ilvl w:val="0"/>
          <w:numId w:val="63"/>
        </w:numPr>
        <w:tabs>
          <w:tab w:val="clear" w:pos="720"/>
          <w:tab w:val="left" w:pos="1080" w:leader="none"/>
        </w:tabs>
        <w:ind w:hanging="360" w:start="1800" w:end="0"/>
        <w:rPr>
          <w:rFonts w:ascii="Arial" w:hAnsi="Arial" w:cs="Arial"/>
          <w:sz w:val="24"/>
        </w:rPr>
      </w:pPr>
      <w:r>
        <w:rPr>
          <w:rFonts w:cs="Arial" w:ascii="Arial" w:hAnsi="Arial"/>
          <w:sz w:val="24"/>
        </w:rPr>
        <w:t xml:space="preserve">The lease deed was executed between EIPL and the plaintiff's family members, whose names appeared on the land records as those in possession of the land.  </w:t>
      </w:r>
    </w:p>
    <w:p>
      <w:pPr>
        <w:pStyle w:val="Normal"/>
        <w:numPr>
          <w:ilvl w:val="0"/>
          <w:numId w:val="158"/>
        </w:numPr>
        <w:tabs>
          <w:tab w:val="clear" w:pos="720"/>
          <w:tab w:val="left" w:pos="1080" w:leader="none"/>
        </w:tabs>
        <w:ind w:hanging="360" w:start="1800" w:end="0"/>
        <w:rPr>
          <w:rFonts w:ascii="Arial" w:hAnsi="Arial" w:cs="Arial"/>
          <w:sz w:val="24"/>
        </w:rPr>
      </w:pPr>
      <w:r>
        <w:rPr>
          <w:rFonts w:cs="Arial" w:ascii="Arial" w:hAnsi="Arial"/>
          <w:sz w:val="24"/>
        </w:rPr>
        <w:t xml:space="preserve">Plaintiff seeks a permanent injunction against EIPL, which would prevent EIPL from carrying out quarrying operations on the subject property.  </w:t>
      </w:r>
    </w:p>
    <w:p>
      <w:pPr>
        <w:pStyle w:val="BodyText"/>
        <w:numPr>
          <w:ilvl w:val="0"/>
          <w:numId w:val="121"/>
        </w:numPr>
        <w:tabs>
          <w:tab w:val="clear" w:pos="720"/>
          <w:tab w:val="left" w:pos="1080" w:leader="none"/>
        </w:tabs>
        <w:ind w:hanging="360" w:start="1800" w:end="0"/>
        <w:jc w:val="start"/>
        <w:rPr/>
      </w:pPr>
      <w:r>
        <w:rPr/>
        <w:t>On April 27, 2000, the court granted DPC's application requiring that all defendants be served before the first hearing on plaintiff’s motion seeking a temporary injunction.</w:t>
      </w:r>
    </w:p>
    <w:p>
      <w:pPr>
        <w:pStyle w:val="BodyText"/>
        <w:numPr>
          <w:ilvl w:val="0"/>
          <w:numId w:val="121"/>
        </w:numPr>
        <w:tabs>
          <w:tab w:val="clear" w:pos="720"/>
          <w:tab w:val="left" w:pos="1080" w:leader="none"/>
        </w:tabs>
        <w:ind w:hanging="360" w:start="1800" w:end="0"/>
        <w:rPr/>
      </w:pPr>
      <w:r>
        <w:rPr/>
        <w:t xml:space="preserve">DPC has submitted its argument </w:t>
      </w:r>
      <w:r>
        <w:rPr>
          <w:b/>
          <w:bCs/>
        </w:rPr>
        <w:t>and the judge has not yet ruled.</w:t>
      </w:r>
    </w:p>
    <w:p>
      <w:pPr>
        <w:pStyle w:val="BodyText"/>
        <w:ind w:start="720" w:end="0"/>
        <w:jc w:val="start"/>
        <w:rPr/>
      </w:pPr>
      <w:r>
        <w:rPr/>
      </w:r>
    </w:p>
    <w:p>
      <w:pPr>
        <w:pStyle w:val="Heading5"/>
        <w:keepLines/>
        <w:tabs>
          <w:tab w:val="clear" w:pos="720"/>
          <w:tab w:val="left" w:pos="7740" w:leader="none"/>
        </w:tabs>
        <w:ind w:hanging="0" w:start="1440" w:end="0"/>
        <w:rPr>
          <w:u w:val="single"/>
        </w:rPr>
      </w:pPr>
      <w:r>
        <w:rPr>
          <w:u w:val="single"/>
        </w:rPr>
        <w:t>G.C. Singh et al. v. Government of India,</w:t>
      </w:r>
      <w:r>
        <w:rPr/>
        <w:tab/>
        <w:t>(New)</w:t>
      </w:r>
    </w:p>
    <w:p>
      <w:pPr>
        <w:pStyle w:val="Heading9"/>
        <w:keepLines/>
        <w:tabs>
          <w:tab w:val="clear" w:pos="720"/>
          <w:tab w:val="left" w:pos="7740" w:leader="none"/>
          <w:tab w:val="left" w:pos="8370" w:leader="none"/>
        </w:tabs>
        <w:ind w:hanging="0" w:start="1440" w:end="0"/>
        <w:jc w:val="start"/>
        <w:rPr>
          <w:b/>
          <w:bCs/>
          <w:u w:val="single"/>
        </w:rPr>
      </w:pPr>
      <w:r>
        <w:rPr>
          <w:b/>
          <w:bCs/>
          <w:u w:val="single"/>
        </w:rPr>
        <w:t>et al. including DPC</w:t>
      </w:r>
    </w:p>
    <w:p>
      <w:pPr>
        <w:pStyle w:val="Heading9"/>
        <w:keepLines/>
        <w:tabs>
          <w:tab w:val="clear" w:pos="720"/>
          <w:tab w:val="left" w:pos="7740" w:leader="none"/>
          <w:tab w:val="left" w:pos="8370" w:leader="none"/>
        </w:tabs>
        <w:ind w:hanging="0" w:start="1440" w:end="0"/>
        <w:jc w:val="start"/>
        <w:rPr/>
      </w:pPr>
      <w:r>
        <w:rPr/>
        <w:t>(Bombay High Court, Nagpur Bench) (Atul Rajadhyaksha)</w:t>
      </w:r>
    </w:p>
    <w:p>
      <w:pPr>
        <w:pStyle w:val="Heading9"/>
        <w:keepLines/>
        <w:tabs>
          <w:tab w:val="clear" w:pos="720"/>
          <w:tab w:val="left" w:pos="7740" w:leader="none"/>
          <w:tab w:val="left" w:pos="8370" w:leader="none"/>
        </w:tabs>
        <w:ind w:hanging="0" w:start="1440" w:end="0"/>
        <w:jc w:val="start"/>
        <w:rPr/>
      </w:pPr>
      <w:r>
        <w:rPr/>
      </w:r>
    </w:p>
    <w:p>
      <w:pPr>
        <w:pStyle w:val="BodyText"/>
        <w:numPr>
          <w:ilvl w:val="0"/>
          <w:numId w:val="82"/>
        </w:numPr>
        <w:jc w:val="start"/>
        <w:rPr/>
      </w:pPr>
      <w:r>
        <w:rPr/>
        <w:t xml:space="preserve">Petitioners filed this public interest lawsuit seeking </w:t>
      </w:r>
      <w:r>
        <w:rPr>
          <w:i/>
          <w:iCs/>
        </w:rPr>
        <w:t xml:space="preserve">inter alia </w:t>
      </w:r>
      <w:r>
        <w:rPr/>
        <w:t xml:space="preserve">to require MSEB to limit the tariff charged and amounts paid for power generated at the facility.  </w:t>
      </w:r>
    </w:p>
    <w:p>
      <w:pPr>
        <w:pStyle w:val="BodyText"/>
        <w:numPr>
          <w:ilvl w:val="0"/>
          <w:numId w:val="82"/>
        </w:numPr>
        <w:jc w:val="start"/>
        <w:rPr/>
      </w:pPr>
      <w:r>
        <w:rPr/>
        <w:t>On March 8, 2001, the court admitted the petition, without providing DPC the opportunity to be heard, and filed an interim order to show cause why the relief sought by petitioners should not be granted.</w:t>
      </w:r>
    </w:p>
    <w:p>
      <w:pPr>
        <w:pStyle w:val="BodyText"/>
        <w:numPr>
          <w:ilvl w:val="0"/>
          <w:numId w:val="82"/>
        </w:numPr>
        <w:jc w:val="start"/>
        <w:rPr/>
      </w:pPr>
      <w:r>
        <w:rPr/>
        <w:t>On April 9, 2001, DPC will have the opportunity to present its defense and argue why the court should not grant petitioners the relief sought.</w:t>
      </w:r>
    </w:p>
    <w:p>
      <w:pPr>
        <w:pStyle w:val="BodyText"/>
        <w:numPr>
          <w:ilvl w:val="0"/>
          <w:numId w:val="82"/>
        </w:numPr>
        <w:jc w:val="start"/>
        <w:rPr/>
      </w:pPr>
      <w:r>
        <w:rPr/>
        <w:t xml:space="preserve">DPC intends to seek dismissal of the petitioners’ claims based on </w:t>
      </w:r>
      <w:r>
        <w:rPr>
          <w:i/>
          <w:iCs/>
        </w:rPr>
        <w:t xml:space="preserve">res judicata </w:t>
      </w:r>
      <w:r>
        <w:rPr/>
        <w:t xml:space="preserve">or </w:t>
      </w:r>
      <w:r>
        <w:rPr>
          <w:b/>
          <w:bCs/>
        </w:rPr>
        <w:t xml:space="preserve">constrictive </w:t>
      </w:r>
      <w:r>
        <w:rPr>
          <w:i/>
          <w:iCs/>
        </w:rPr>
        <w:t>res judicata</w:t>
      </w:r>
      <w:r>
        <w:rPr>
          <w:b/>
          <w:bCs/>
        </w:rPr>
        <w:t>.</w:t>
      </w:r>
    </w:p>
    <w:p>
      <w:pPr>
        <w:pStyle w:val="BodyText"/>
        <w:ind w:start="720" w:end="0"/>
        <w:jc w:val="start"/>
        <w:rPr/>
      </w:pPr>
      <w:r>
        <w:rPr/>
      </w:r>
    </w:p>
    <w:p>
      <w:pPr>
        <w:pStyle w:val="BodyText"/>
        <w:keepNext w:val="true"/>
        <w:keepLines/>
        <w:tabs>
          <w:tab w:val="clear" w:pos="720"/>
          <w:tab w:val="left" w:pos="1440" w:leader="none"/>
          <w:tab w:val="left" w:pos="7740" w:leader="none"/>
        </w:tabs>
        <w:ind w:start="1440" w:end="0"/>
        <w:jc w:val="start"/>
        <w:rPr/>
      </w:pPr>
      <w:r>
        <w:rPr>
          <w:b/>
          <w:u w:val="single"/>
        </w:rPr>
        <w:t>Subdivisional Officer Litigation</w:t>
      </w:r>
      <w:r>
        <w:rPr>
          <w:b/>
        </w:rPr>
        <w:tab/>
        <w:t>(New)</w:t>
      </w:r>
    </w:p>
    <w:p>
      <w:pPr>
        <w:pStyle w:val="BodyText"/>
        <w:tabs>
          <w:tab w:val="clear" w:pos="720"/>
          <w:tab w:val="left" w:pos="1440" w:leader="none"/>
          <w:tab w:val="left" w:pos="7740" w:leader="none"/>
        </w:tabs>
        <w:ind w:start="1440" w:end="0"/>
        <w:jc w:val="start"/>
        <w:rPr>
          <w:b/>
        </w:rPr>
      </w:pPr>
      <w:r>
        <w:rPr>
          <w:b/>
        </w:rPr>
      </w:r>
    </w:p>
    <w:p>
      <w:pPr>
        <w:pStyle w:val="BodyText"/>
        <w:numPr>
          <w:ilvl w:val="0"/>
          <w:numId w:val="30"/>
        </w:numPr>
        <w:tabs>
          <w:tab w:val="clear" w:pos="720"/>
          <w:tab w:val="left" w:pos="1440" w:leader="none"/>
          <w:tab w:val="left" w:pos="1800" w:leader="none"/>
          <w:tab w:val="left" w:pos="7740" w:leader="none"/>
        </w:tabs>
        <w:ind w:hanging="360" w:start="1800" w:end="0"/>
        <w:jc w:val="start"/>
        <w:rPr/>
      </w:pPr>
      <w:r>
        <w:rPr/>
        <w:t>To facilitate its quarrying operations DPC leased various properties around the site.  Leases are recorded with the land records office.</w:t>
      </w:r>
    </w:p>
    <w:p>
      <w:pPr>
        <w:pStyle w:val="BodyText"/>
        <w:numPr>
          <w:ilvl w:val="0"/>
          <w:numId w:val="30"/>
        </w:numPr>
        <w:tabs>
          <w:tab w:val="clear" w:pos="720"/>
          <w:tab w:val="left" w:pos="1440" w:leader="none"/>
          <w:tab w:val="left" w:pos="1800" w:leader="none"/>
          <w:tab w:val="left" w:pos="7740" w:leader="none"/>
        </w:tabs>
        <w:ind w:hanging="360" w:start="1800" w:end="0"/>
        <w:jc w:val="start"/>
        <w:rPr/>
      </w:pPr>
      <w:r>
        <w:rPr/>
        <w:t>In 12 cases, a sub-divisional officer cancelled the lease recordations of the DPC leases’.  Although this does not extinguish the lease, it lays a foundation for the landowners’ to file suit against DPC to have the lease extinguished.  This would curtail DPC’s ability to continue quarrying operations.</w:t>
      </w:r>
    </w:p>
    <w:p>
      <w:pPr>
        <w:pStyle w:val="BodyText"/>
        <w:numPr>
          <w:ilvl w:val="0"/>
          <w:numId w:val="30"/>
        </w:numPr>
        <w:tabs>
          <w:tab w:val="clear" w:pos="720"/>
          <w:tab w:val="left" w:pos="1440" w:leader="none"/>
          <w:tab w:val="left" w:pos="1800" w:leader="none"/>
          <w:tab w:val="left" w:pos="7740" w:leader="none"/>
        </w:tabs>
        <w:ind w:hanging="360" w:start="1800" w:end="0"/>
        <w:jc w:val="start"/>
        <w:rPr/>
      </w:pPr>
      <w:r>
        <w:rPr/>
        <w:t xml:space="preserve">After the Subdivisional Officer’s orders the Tahsidar (the revenue office of this district’s subdivision) sought to have title of the land vested in the state. </w:t>
      </w:r>
    </w:p>
    <w:p>
      <w:pPr>
        <w:pStyle w:val="BodyText"/>
        <w:numPr>
          <w:ilvl w:val="0"/>
          <w:numId w:val="30"/>
        </w:numPr>
        <w:tabs>
          <w:tab w:val="clear" w:pos="720"/>
          <w:tab w:val="left" w:pos="1440" w:leader="none"/>
          <w:tab w:val="left" w:pos="1800" w:leader="none"/>
          <w:tab w:val="left" w:pos="7740" w:leader="none"/>
        </w:tabs>
        <w:ind w:hanging="360" w:start="1800" w:end="0"/>
        <w:jc w:val="start"/>
        <w:rPr/>
      </w:pPr>
      <w:r>
        <w:rPr/>
        <w:t xml:space="preserve">In response to the Tahsidar’s efforts, DPC </w:t>
      </w:r>
      <w:r>
        <w:rPr>
          <w:b/>
          <w:bCs/>
        </w:rPr>
        <w:t xml:space="preserve">has </w:t>
      </w:r>
      <w:r>
        <w:rPr/>
        <w:t xml:space="preserve">filed 12 separate writ petitions seeking not only to enjoin the Tahsildar’s actions but also to have the actions of the Subdivisional Officer declared invalid.  </w:t>
      </w:r>
      <w:r>
        <w:rPr>
          <w:b/>
          <w:bCs/>
        </w:rPr>
        <w:t>These matters are set to be heard in April; however, we expect that the only activity will be that the court requires that notice be served on the respondents.</w:t>
      </w:r>
    </w:p>
    <w:p>
      <w:pPr>
        <w:pStyle w:val="BodyText"/>
        <w:ind w:start="720" w:end="0"/>
        <w:jc w:val="start"/>
        <w:rPr/>
      </w:pPr>
      <w:r>
        <w:rPr/>
      </w:r>
    </w:p>
    <w:p>
      <w:pPr>
        <w:pStyle w:val="BodyText"/>
        <w:keepNext w:val="true"/>
        <w:keepLines/>
        <w:tabs>
          <w:tab w:val="clear" w:pos="720"/>
          <w:tab w:val="left" w:pos="1440" w:leader="none"/>
          <w:tab w:val="left" w:pos="7740" w:leader="none"/>
        </w:tabs>
        <w:ind w:start="1440" w:end="0"/>
        <w:jc w:val="start"/>
        <w:rPr/>
      </w:pPr>
      <w:r>
        <w:rPr>
          <w:b/>
          <w:u w:val="single"/>
        </w:rPr>
        <w:t>DPC v. The Government of India</w:t>
      </w:r>
      <w:r>
        <w:rPr>
          <w:b/>
        </w:rPr>
        <w:tab/>
        <w:t>(New)</w:t>
      </w:r>
    </w:p>
    <w:p>
      <w:pPr>
        <w:pStyle w:val="BodyText"/>
        <w:tabs>
          <w:tab w:val="clear" w:pos="720"/>
          <w:tab w:val="left" w:pos="1440" w:leader="none"/>
          <w:tab w:val="left" w:pos="7740" w:leader="none"/>
        </w:tabs>
        <w:ind w:start="1440" w:end="0"/>
        <w:jc w:val="start"/>
        <w:rPr>
          <w:bCs/>
        </w:rPr>
      </w:pPr>
      <w:r>
        <w:rPr>
          <w:bCs/>
        </w:rPr>
        <w:t>(UNCITRAL Arbitration, London England)  (Linklaters Alliance, Chris Walker)  (Rs. 102 crores/$32 million)</w:t>
      </w:r>
    </w:p>
    <w:p>
      <w:pPr>
        <w:pStyle w:val="BodyText"/>
        <w:tabs>
          <w:tab w:val="clear" w:pos="720"/>
          <w:tab w:val="left" w:pos="1440" w:leader="none"/>
          <w:tab w:val="left" w:pos="7740" w:leader="none"/>
        </w:tabs>
        <w:ind w:start="1440" w:end="0"/>
        <w:jc w:val="start"/>
        <w:rPr>
          <w:bCs/>
        </w:rPr>
      </w:pPr>
      <w:r>
        <w:rPr>
          <w:bCs/>
        </w:rPr>
      </w:r>
    </w:p>
    <w:p>
      <w:pPr>
        <w:pStyle w:val="BodyText"/>
        <w:numPr>
          <w:ilvl w:val="0"/>
          <w:numId w:val="97"/>
        </w:numPr>
        <w:tabs>
          <w:tab w:val="clear" w:pos="720"/>
        </w:tabs>
        <w:ind w:hanging="360" w:start="1800" w:end="0"/>
        <w:jc w:val="start"/>
        <w:rPr>
          <w:bCs/>
        </w:rPr>
      </w:pPr>
      <w:r>
        <w:rPr>
          <w:bCs/>
        </w:rPr>
        <w:t>On April 4, 2001 DPC issued a Notice of Concillation and a Notice of Arbitration to the Government of India (“GOI”) in connection with the GOI’s failure to honor its payment guarantee for amounts due from Maharashtra State Electricity Board (“MSEB”) to DPC in December 2000.</w:t>
      </w:r>
    </w:p>
    <w:p>
      <w:pPr>
        <w:pStyle w:val="BodyText"/>
        <w:numPr>
          <w:ilvl w:val="0"/>
          <w:numId w:val="97"/>
        </w:numPr>
        <w:tabs>
          <w:tab w:val="clear" w:pos="720"/>
        </w:tabs>
        <w:ind w:hanging="360" w:start="1800" w:end="0"/>
        <w:jc w:val="start"/>
        <w:rPr>
          <w:bCs/>
        </w:rPr>
      </w:pPr>
      <w:r>
        <w:rPr>
          <w:bCs/>
        </w:rPr>
        <w:t>The GOI refused to honor its guarantee because DPC and the MSEB have a dispute as to the amounts due.</w:t>
      </w:r>
    </w:p>
    <w:p>
      <w:pPr>
        <w:pStyle w:val="BodyText"/>
        <w:numPr>
          <w:ilvl w:val="0"/>
          <w:numId w:val="97"/>
        </w:numPr>
        <w:tabs>
          <w:tab w:val="clear" w:pos="720"/>
        </w:tabs>
        <w:ind w:hanging="360" w:start="1800" w:end="0"/>
        <w:jc w:val="start"/>
        <w:rPr>
          <w:bCs/>
        </w:rPr>
      </w:pPr>
      <w:r>
        <w:rPr>
          <w:bCs/>
        </w:rPr>
        <w:t>The GOI Guarantee requires that the parties engage in a 60 day concilliation process before beginning arbitration.  Although DPC invited the GOI to waive this period, GOI declined to do so.</w:t>
      </w:r>
    </w:p>
    <w:p>
      <w:pPr>
        <w:pStyle w:val="BodyText"/>
        <w:ind w:start="1800" w:end="0"/>
        <w:jc w:val="start"/>
        <w:rPr>
          <w:bCs/>
        </w:rPr>
      </w:pPr>
      <w:r>
        <w:rPr>
          <w:bCs/>
        </w:rPr>
      </w:r>
    </w:p>
    <w:p>
      <w:pPr>
        <w:pStyle w:val="BodyText"/>
        <w:keepNext w:val="true"/>
        <w:keepLines/>
        <w:tabs>
          <w:tab w:val="clear" w:pos="720"/>
          <w:tab w:val="left" w:pos="1440" w:leader="none"/>
          <w:tab w:val="left" w:pos="7740" w:leader="none"/>
        </w:tabs>
        <w:ind w:start="1440" w:end="0"/>
        <w:jc w:val="start"/>
        <w:rPr/>
      </w:pPr>
      <w:r>
        <w:rPr>
          <w:b/>
          <w:u w:val="single"/>
        </w:rPr>
        <w:t>DPC v. The States of Maharastra</w:t>
      </w:r>
      <w:r>
        <w:rPr>
          <w:b/>
        </w:rPr>
        <w:tab/>
        <w:t>(New)</w:t>
      </w:r>
    </w:p>
    <w:p>
      <w:pPr>
        <w:pStyle w:val="BodyText"/>
        <w:keepNext w:val="true"/>
        <w:keepLines/>
        <w:tabs>
          <w:tab w:val="clear" w:pos="720"/>
          <w:tab w:val="left" w:pos="1440" w:leader="none"/>
          <w:tab w:val="left" w:pos="7740" w:leader="none"/>
        </w:tabs>
        <w:ind w:start="1440" w:end="0"/>
        <w:jc w:val="start"/>
        <w:rPr>
          <w:bCs/>
        </w:rPr>
      </w:pPr>
      <w:r>
        <w:rPr>
          <w:bCs/>
        </w:rPr>
        <w:t>(UNCITRAL Arbitration, London England)  (Linklaters Alliance, Chris Walker)  (Enforcement of State Support Agreement)</w:t>
      </w:r>
    </w:p>
    <w:p>
      <w:pPr>
        <w:pStyle w:val="BodyText"/>
        <w:ind w:start="1440" w:end="0"/>
        <w:jc w:val="start"/>
        <w:rPr>
          <w:bCs/>
        </w:rPr>
      </w:pPr>
      <w:r>
        <w:rPr>
          <w:bCs/>
        </w:rPr>
      </w:r>
    </w:p>
    <w:p>
      <w:pPr>
        <w:pStyle w:val="BodyText"/>
        <w:numPr>
          <w:ilvl w:val="0"/>
          <w:numId w:val="40"/>
        </w:numPr>
        <w:tabs>
          <w:tab w:val="clear" w:pos="720"/>
        </w:tabs>
        <w:ind w:hanging="360" w:start="1800" w:end="0"/>
        <w:jc w:val="start"/>
        <w:rPr>
          <w:bCs/>
        </w:rPr>
      </w:pPr>
      <w:r>
        <w:rPr>
          <w:bCs/>
        </w:rPr>
        <w:t>On April 10, 2001, DPC issued a Notice of Arbitration to the Government of Maharastra (“GOM”) Seeking to enforce the terms of a State Support Agreement and Supplemental State Support Agreement which DPC claims the GOM violated.</w:t>
      </w:r>
    </w:p>
    <w:p>
      <w:pPr>
        <w:pStyle w:val="BodyText"/>
        <w:numPr>
          <w:ilvl w:val="0"/>
          <w:numId w:val="40"/>
        </w:numPr>
        <w:tabs>
          <w:tab w:val="clear" w:pos="720"/>
        </w:tabs>
        <w:ind w:hanging="360" w:start="1800" w:end="0"/>
        <w:jc w:val="start"/>
        <w:rPr>
          <w:bCs/>
        </w:rPr>
      </w:pPr>
      <w:r>
        <w:rPr>
          <w:bCs/>
        </w:rPr>
        <w:t>Specifically, DPC claims that the GOM has engaged in a number of activities which are contrary to its obligation to support and further the operation of Phase I of the Project and the development of Phase II.</w:t>
      </w:r>
    </w:p>
    <w:p>
      <w:pPr>
        <w:pStyle w:val="BodyText"/>
        <w:numPr>
          <w:ilvl w:val="0"/>
          <w:numId w:val="40"/>
        </w:numPr>
        <w:tabs>
          <w:tab w:val="clear" w:pos="720"/>
        </w:tabs>
        <w:ind w:hanging="360" w:start="1800" w:end="0"/>
        <w:jc w:val="start"/>
        <w:rPr>
          <w:bCs/>
        </w:rPr>
      </w:pPr>
      <w:r>
        <w:rPr>
          <w:bCs/>
        </w:rPr>
        <w:t>The MSEB must designate its arbitrator by May 10, 2001.</w:t>
      </w:r>
    </w:p>
    <w:p>
      <w:pPr>
        <w:pStyle w:val="BodyText"/>
        <w:ind w:start="1440" w:end="0"/>
        <w:jc w:val="start"/>
        <w:rPr>
          <w:bCs/>
        </w:rPr>
      </w:pPr>
      <w:r>
        <w:rPr>
          <w:bCs/>
        </w:rPr>
      </w:r>
    </w:p>
    <w:p>
      <w:pPr>
        <w:pStyle w:val="BodyText"/>
        <w:tabs>
          <w:tab w:val="clear" w:pos="720"/>
          <w:tab w:val="right" w:pos="9000" w:leader="none"/>
        </w:tabs>
        <w:ind w:start="1440" w:end="0"/>
        <w:jc w:val="start"/>
        <w:rPr>
          <w:b/>
          <w:u w:val="single"/>
        </w:rPr>
      </w:pPr>
      <w:r>
        <w:rPr>
          <w:b/>
          <w:u w:val="single"/>
        </w:rPr>
        <w:t>DPC v. Government of Maharastra</w:t>
      </w:r>
      <w:r>
        <w:rPr>
          <w:b/>
        </w:rPr>
        <w:tab/>
        <w:t>(New)</w:t>
      </w:r>
    </w:p>
    <w:p>
      <w:pPr>
        <w:pStyle w:val="BodyText"/>
        <w:ind w:start="1440" w:end="0"/>
        <w:jc w:val="start"/>
        <w:rPr>
          <w:bCs/>
        </w:rPr>
      </w:pPr>
      <w:r>
        <w:rPr>
          <w:bCs/>
        </w:rPr>
        <w:t xml:space="preserve">(UNCITRAL Arbitration, London England)  (Linklaters Alliance, Chris Walker)  (Rs. 240 crores/$55 million) </w:t>
      </w:r>
    </w:p>
    <w:p>
      <w:pPr>
        <w:pStyle w:val="BodyText"/>
        <w:ind w:start="1440" w:end="0"/>
        <w:jc w:val="start"/>
        <w:rPr>
          <w:bCs/>
        </w:rPr>
      </w:pPr>
      <w:r>
        <w:rPr>
          <w:bCs/>
        </w:rPr>
      </w:r>
    </w:p>
    <w:p>
      <w:pPr>
        <w:pStyle w:val="BodyText"/>
        <w:numPr>
          <w:ilvl w:val="0"/>
          <w:numId w:val="14"/>
        </w:numPr>
        <w:tabs>
          <w:tab w:val="clear" w:pos="720"/>
        </w:tabs>
        <w:ind w:hanging="360" w:start="1800" w:end="0"/>
        <w:jc w:val="start"/>
        <w:rPr>
          <w:bCs/>
        </w:rPr>
      </w:pPr>
      <w:r>
        <w:rPr>
          <w:bCs/>
        </w:rPr>
        <w:t>On April 11, 2001, DPC issued a Notice of Arbitration to the Government of Maharastra (“GOM”) based on the GOM’s failure to honor its payment guarantee for amounts due from MSEB to DPC for December 2000, January 2001 and accrued interest.</w:t>
      </w:r>
    </w:p>
    <w:p>
      <w:pPr>
        <w:pStyle w:val="BodyText"/>
        <w:numPr>
          <w:ilvl w:val="0"/>
          <w:numId w:val="14"/>
        </w:numPr>
        <w:tabs>
          <w:tab w:val="clear" w:pos="720"/>
        </w:tabs>
        <w:ind w:hanging="360" w:start="1800" w:end="0"/>
        <w:jc w:val="start"/>
        <w:rPr>
          <w:bCs/>
        </w:rPr>
      </w:pPr>
      <w:r>
        <w:rPr>
          <w:bCs/>
        </w:rPr>
        <w:t>The GOM has 30 days to identify its arbitrator.</w:t>
      </w:r>
    </w:p>
    <w:p>
      <w:pPr>
        <w:pStyle w:val="BodyText"/>
        <w:tabs>
          <w:tab w:val="clear" w:pos="720"/>
          <w:tab w:val="left" w:pos="1440" w:leader="none"/>
          <w:tab w:val="left" w:pos="7740" w:leader="none"/>
        </w:tabs>
        <w:ind w:start="1440" w:end="0"/>
        <w:jc w:val="start"/>
        <w:rPr>
          <w:bCs/>
        </w:rPr>
      </w:pPr>
      <w:r>
        <w:rPr>
          <w:bCs/>
        </w:rPr>
      </w:r>
    </w:p>
    <w:p>
      <w:pPr>
        <w:pStyle w:val="BodyText"/>
        <w:tabs>
          <w:tab w:val="clear" w:pos="720"/>
          <w:tab w:val="right" w:pos="9090" w:leader="none"/>
        </w:tabs>
        <w:ind w:start="1440" w:end="0"/>
        <w:jc w:val="start"/>
        <w:rPr>
          <w:b/>
          <w:u w:val="single"/>
        </w:rPr>
      </w:pPr>
      <w:r>
        <w:rPr>
          <w:b/>
          <w:u w:val="single"/>
        </w:rPr>
        <w:t>DPC v Maharastra State Electricity Board</w:t>
      </w:r>
      <w:r>
        <w:rPr>
          <w:b/>
        </w:rPr>
        <w:tab/>
        <w:t>(New)</w:t>
      </w:r>
    </w:p>
    <w:p>
      <w:pPr>
        <w:pStyle w:val="BodyText"/>
        <w:ind w:start="1440" w:end="0"/>
        <w:jc w:val="start"/>
        <w:rPr>
          <w:bCs/>
        </w:rPr>
      </w:pPr>
      <w:r>
        <w:rPr>
          <w:bCs/>
        </w:rPr>
        <w:t>(UNCITRAL Arbitration, London England)  (Linklaters Alliance, Chris Walker)  (Rs. 240 crores/$55 million)</w:t>
      </w:r>
    </w:p>
    <w:p>
      <w:pPr>
        <w:pStyle w:val="BodyText"/>
        <w:ind w:start="1440" w:end="0"/>
        <w:jc w:val="start"/>
        <w:rPr>
          <w:bCs/>
        </w:rPr>
      </w:pPr>
      <w:r>
        <w:rPr>
          <w:bCs/>
        </w:rPr>
      </w:r>
    </w:p>
    <w:p>
      <w:pPr>
        <w:pStyle w:val="BodyText"/>
        <w:numPr>
          <w:ilvl w:val="0"/>
          <w:numId w:val="14"/>
        </w:numPr>
        <w:tabs>
          <w:tab w:val="clear" w:pos="720"/>
        </w:tabs>
        <w:ind w:hanging="360" w:start="1800" w:end="0"/>
        <w:jc w:val="start"/>
        <w:rPr>
          <w:bCs/>
        </w:rPr>
      </w:pPr>
      <w:r>
        <w:rPr>
          <w:bCs/>
        </w:rPr>
        <w:t>On April 12, 2001, DPC issued a Notice of Arbitration to the Maharastra State Electricity Board (“MSEB”) based on the MSEB’s failure to pay its bills for December 2000, January 2001 and accrued interest.</w:t>
      </w:r>
    </w:p>
    <w:p>
      <w:pPr>
        <w:pStyle w:val="BodyText"/>
        <w:numPr>
          <w:ilvl w:val="0"/>
          <w:numId w:val="14"/>
        </w:numPr>
        <w:tabs>
          <w:tab w:val="clear" w:pos="720"/>
        </w:tabs>
        <w:ind w:hanging="360" w:start="1800" w:end="0"/>
        <w:jc w:val="start"/>
        <w:rPr>
          <w:bCs/>
        </w:rPr>
      </w:pPr>
      <w:r>
        <w:rPr>
          <w:bCs/>
        </w:rPr>
        <w:t>The MSEB has 30 days to identify its arbitrator.</w:t>
      </w:r>
    </w:p>
    <w:p>
      <w:pPr>
        <w:pStyle w:val="BodyText"/>
        <w:tabs>
          <w:tab w:val="clear" w:pos="720"/>
          <w:tab w:val="left" w:pos="1440" w:leader="none"/>
          <w:tab w:val="left" w:pos="7740" w:leader="none"/>
        </w:tabs>
        <w:ind w:start="1440" w:end="0"/>
        <w:jc w:val="start"/>
        <w:rPr>
          <w:bCs/>
        </w:rPr>
      </w:pPr>
      <w:r>
        <w:rPr>
          <w:bCs/>
        </w:rPr>
      </w:r>
    </w:p>
    <w:p>
      <w:pPr>
        <w:pStyle w:val="BodyText"/>
        <w:keepNext w:val="true"/>
        <w:keepLines/>
        <w:numPr>
          <w:ilvl w:val="0"/>
          <w:numId w:val="104"/>
        </w:numPr>
        <w:tabs>
          <w:tab w:val="clear" w:pos="720"/>
          <w:tab w:val="left" w:pos="7740" w:leader="none"/>
        </w:tabs>
        <w:jc w:val="start"/>
        <w:rPr>
          <w:sz w:val="28"/>
          <w:u w:val="single"/>
        </w:rPr>
      </w:pPr>
      <w:r>
        <w:rPr>
          <w:b/>
          <w:sz w:val="28"/>
          <w:u w:val="single"/>
        </w:rPr>
        <w:t>Metropolis Gas Company Private Limited (“Met Gas”)</w:t>
      </w:r>
    </w:p>
    <w:p>
      <w:pPr>
        <w:pStyle w:val="BodyText"/>
        <w:keepNext w:val="true"/>
        <w:keepLines/>
        <w:tabs>
          <w:tab w:val="clear" w:pos="720"/>
          <w:tab w:val="left" w:pos="1440" w:leader="none"/>
          <w:tab w:val="left" w:pos="7740" w:leader="none"/>
        </w:tabs>
        <w:ind w:start="720" w:end="0"/>
        <w:jc w:val="center"/>
        <w:rPr>
          <w:sz w:val="28"/>
          <w:u w:val="single"/>
        </w:rPr>
      </w:pPr>
      <w:r>
        <w:rPr>
          <w:sz w:val="28"/>
          <w:u w:val="single"/>
        </w:rPr>
      </w:r>
    </w:p>
    <w:p>
      <w:pPr>
        <w:pStyle w:val="BodyText"/>
        <w:keepNext w:val="true"/>
        <w:keepLines/>
        <w:ind w:start="720" w:end="0"/>
        <w:jc w:val="start"/>
        <w:rPr>
          <w:b/>
        </w:rPr>
      </w:pPr>
      <w:r>
        <w:rPr>
          <w:b/>
        </w:rPr>
        <w:t>I.</w:t>
        <w:tab/>
        <w:t>LITIGATION/ARBITRATION</w:t>
      </w:r>
    </w:p>
    <w:p>
      <w:pPr>
        <w:pStyle w:val="BodyText"/>
        <w:keepNext w:val="true"/>
        <w:keepLines/>
        <w:tabs>
          <w:tab w:val="clear" w:pos="720"/>
          <w:tab w:val="left" w:pos="1440" w:leader="none"/>
          <w:tab w:val="left" w:pos="7740" w:leader="none"/>
        </w:tabs>
        <w:ind w:start="720" w:end="0"/>
        <w:jc w:val="start"/>
        <w:rPr>
          <w:b/>
        </w:rPr>
      </w:pPr>
      <w:r>
        <w:rPr>
          <w:b/>
        </w:rPr>
      </w:r>
    </w:p>
    <w:p>
      <w:pPr>
        <w:pStyle w:val="BodyText"/>
        <w:keepNext w:val="true"/>
        <w:keepLines/>
        <w:tabs>
          <w:tab w:val="clear" w:pos="720"/>
          <w:tab w:val="left" w:pos="1440" w:leader="none"/>
          <w:tab w:val="left" w:pos="7740" w:leader="none"/>
        </w:tabs>
        <w:ind w:start="1440" w:end="0"/>
        <w:jc w:val="start"/>
        <w:rPr/>
      </w:pPr>
      <w:r>
        <w:rPr>
          <w:b/>
          <w:u w:val="single"/>
        </w:rPr>
        <w:t>Labour Enforcement Officer, Ministry of Labour</w:t>
      </w:r>
      <w:r>
        <w:rPr>
          <w:b/>
        </w:rPr>
        <w:tab/>
        <w:t>(Updated)</w:t>
      </w:r>
    </w:p>
    <w:p>
      <w:pPr>
        <w:pStyle w:val="BodyText"/>
        <w:keepNext w:val="true"/>
        <w:keepLines/>
        <w:tabs>
          <w:tab w:val="clear" w:pos="720"/>
          <w:tab w:val="left" w:pos="1440" w:leader="none"/>
          <w:tab w:val="left" w:pos="7740" w:leader="none"/>
        </w:tabs>
        <w:ind w:start="1440" w:end="0"/>
        <w:jc w:val="start"/>
        <w:rPr>
          <w:b/>
          <w:u w:val="single"/>
        </w:rPr>
      </w:pPr>
      <w:r>
        <w:rPr>
          <w:b/>
          <w:u w:val="single"/>
        </w:rPr>
        <w:t>Government of India v. Metropolis Gas Company</w:t>
      </w:r>
    </w:p>
    <w:p>
      <w:pPr>
        <w:pStyle w:val="BodyText"/>
        <w:keepNext w:val="true"/>
        <w:keepLines/>
        <w:tabs>
          <w:tab w:val="clear" w:pos="720"/>
          <w:tab w:val="left" w:pos="1440" w:leader="none"/>
          <w:tab w:val="left" w:pos="7740" w:leader="none"/>
        </w:tabs>
        <w:ind w:start="1440" w:end="0"/>
        <w:jc w:val="start"/>
        <w:rPr>
          <w:b/>
          <w:u w:val="single"/>
        </w:rPr>
      </w:pPr>
      <w:r>
        <w:rPr>
          <w:b/>
          <w:u w:val="single"/>
        </w:rPr>
        <w:t>Private Limited</w:t>
      </w:r>
    </w:p>
    <w:p>
      <w:pPr>
        <w:pStyle w:val="BodyText"/>
        <w:keepNext w:val="true"/>
        <w:keepLines/>
        <w:tabs>
          <w:tab w:val="clear" w:pos="720"/>
          <w:tab w:val="left" w:pos="1080" w:leader="none"/>
          <w:tab w:val="left" w:pos="1170" w:leader="none"/>
          <w:tab w:val="left" w:pos="7740" w:leader="none"/>
          <w:tab w:val="left" w:pos="7920" w:leader="none"/>
          <w:tab w:val="left" w:pos="8370" w:leader="none"/>
        </w:tabs>
        <w:ind w:start="1440" w:end="0"/>
        <w:rPr/>
      </w:pPr>
      <w:r>
        <w:rPr/>
        <w:t>(13</w:t>
      </w:r>
      <w:r>
        <w:rPr>
          <w:vertAlign w:val="superscript"/>
        </w:rPr>
        <w:t>th</w:t>
      </w:r>
      <w:r>
        <w:rPr/>
        <w:t xml:space="preserve"> Metropolitan Magistrate Court, Mumbai) (Amity Desai)</w:t>
      </w:r>
    </w:p>
    <w:p>
      <w:pPr>
        <w:pStyle w:val="BodyText"/>
        <w:keepNext w:val="true"/>
        <w:keepLines/>
        <w:tabs>
          <w:tab w:val="clear" w:pos="720"/>
          <w:tab w:val="left" w:pos="1440" w:leader="none"/>
          <w:tab w:val="left" w:pos="7740" w:leader="none"/>
        </w:tabs>
        <w:ind w:start="1440" w:end="0"/>
        <w:jc w:val="start"/>
        <w:rPr/>
      </w:pPr>
      <w:r>
        <w:rPr/>
      </w:r>
    </w:p>
    <w:p>
      <w:pPr>
        <w:pStyle w:val="BodyText"/>
        <w:keepNext w:val="true"/>
        <w:keepLines/>
        <w:numPr>
          <w:ilvl w:val="0"/>
          <w:numId w:val="159"/>
        </w:numPr>
        <w:tabs>
          <w:tab w:val="clear" w:pos="720"/>
          <w:tab w:val="left" w:pos="1800" w:leader="none"/>
          <w:tab w:val="left" w:pos="7740" w:leader="none"/>
        </w:tabs>
        <w:ind w:hanging="360" w:start="1800" w:end="0"/>
        <w:jc w:val="start"/>
        <w:rPr/>
      </w:pPr>
      <w:r>
        <w:rPr/>
        <w:t>A criminal case was filed against P. Secular, R. Haddam, and contractors for allegedly violating certain labor regulations by hiring contractors prohibited by the regulations.</w:t>
      </w:r>
    </w:p>
    <w:p>
      <w:pPr>
        <w:pStyle w:val="BodyText"/>
        <w:numPr>
          <w:ilvl w:val="0"/>
          <w:numId w:val="86"/>
        </w:numPr>
        <w:tabs>
          <w:tab w:val="clear" w:pos="720"/>
          <w:tab w:val="left" w:pos="1800" w:leader="none"/>
          <w:tab w:val="left" w:pos="7740" w:leader="none"/>
        </w:tabs>
        <w:ind w:hanging="360" w:start="1800" w:end="0"/>
        <w:jc w:val="start"/>
        <w:rPr/>
      </w:pPr>
      <w:r>
        <w:rPr/>
        <w:t>It is Met gas’ position that it did not engage the services of the contractors and that the subject regulations do not apply.</w:t>
      </w:r>
    </w:p>
    <w:p>
      <w:pPr>
        <w:pStyle w:val="BodyText"/>
        <w:numPr>
          <w:ilvl w:val="0"/>
          <w:numId w:val="100"/>
        </w:numPr>
        <w:tabs>
          <w:tab w:val="clear" w:pos="720"/>
          <w:tab w:val="left" w:pos="1800" w:leader="none"/>
          <w:tab w:val="left" w:pos="7740" w:leader="none"/>
        </w:tabs>
        <w:ind w:hanging="360" w:start="1800" w:end="0"/>
        <w:jc w:val="start"/>
        <w:rPr/>
      </w:pPr>
      <w:r>
        <w:rPr/>
        <w:t xml:space="preserve">A plea for exemption from personal appearance </w:t>
      </w:r>
      <w:r>
        <w:rPr>
          <w:b/>
          <w:bCs/>
        </w:rPr>
        <w:t>of the two officers personally named was temporarily granted and is set to be heard late in April.</w:t>
      </w:r>
    </w:p>
    <w:p>
      <w:pPr>
        <w:pStyle w:val="BodyText"/>
        <w:tabs>
          <w:tab w:val="clear" w:pos="720"/>
          <w:tab w:val="left" w:pos="1440" w:leader="none"/>
          <w:tab w:val="left" w:pos="7740" w:leader="none"/>
        </w:tabs>
        <w:ind w:start="720" w:end="0"/>
        <w:jc w:val="start"/>
        <w:rPr/>
      </w:pPr>
      <w:r>
        <w:rPr/>
      </w:r>
    </w:p>
    <w:p>
      <w:pPr>
        <w:pStyle w:val="BodyText"/>
        <w:tabs>
          <w:tab w:val="clear" w:pos="720"/>
          <w:tab w:val="left" w:pos="1440" w:leader="none"/>
          <w:tab w:val="left" w:pos="7740" w:leader="none"/>
        </w:tabs>
        <w:ind w:start="1440" w:end="0"/>
        <w:jc w:val="start"/>
        <w:rPr/>
      </w:pPr>
      <w:r>
        <w:rPr>
          <w:b/>
          <w:u w:val="single"/>
        </w:rPr>
        <w:t>Labour Enforcement Officer, Ministry of Labour</w:t>
      </w:r>
      <w:r>
        <w:rPr>
          <w:b/>
        </w:rPr>
        <w:tab/>
        <w:t>(Not Updated)</w:t>
      </w:r>
    </w:p>
    <w:p>
      <w:pPr>
        <w:pStyle w:val="BodyText"/>
        <w:tabs>
          <w:tab w:val="clear" w:pos="720"/>
          <w:tab w:val="left" w:pos="1440" w:leader="none"/>
          <w:tab w:val="left" w:pos="7740" w:leader="none"/>
        </w:tabs>
        <w:ind w:start="1440" w:end="0"/>
        <w:jc w:val="start"/>
        <w:rPr>
          <w:b/>
          <w:u w:val="single"/>
        </w:rPr>
      </w:pPr>
      <w:r>
        <w:rPr>
          <w:b/>
          <w:u w:val="single"/>
        </w:rPr>
        <w:t>Government of India v. Metropolis Gas Company</w:t>
      </w:r>
    </w:p>
    <w:p>
      <w:pPr>
        <w:pStyle w:val="BodyText"/>
        <w:tabs>
          <w:tab w:val="clear" w:pos="720"/>
          <w:tab w:val="left" w:pos="1440" w:leader="none"/>
          <w:tab w:val="left" w:pos="7740" w:leader="none"/>
        </w:tabs>
        <w:ind w:start="1440" w:end="0"/>
        <w:jc w:val="start"/>
        <w:rPr>
          <w:b/>
          <w:u w:val="single"/>
        </w:rPr>
      </w:pPr>
      <w:r>
        <w:rPr>
          <w:b/>
          <w:u w:val="single"/>
        </w:rPr>
        <w:t>Private Limited</w:t>
      </w:r>
    </w:p>
    <w:p>
      <w:pPr>
        <w:pStyle w:val="BodyText"/>
        <w:tabs>
          <w:tab w:val="clear" w:pos="720"/>
          <w:tab w:val="left" w:pos="1080" w:leader="none"/>
          <w:tab w:val="left" w:pos="1170" w:leader="none"/>
          <w:tab w:val="left" w:pos="7740" w:leader="none"/>
          <w:tab w:val="left" w:pos="7920" w:leader="none"/>
          <w:tab w:val="left" w:pos="8370" w:leader="none"/>
        </w:tabs>
        <w:ind w:start="1440" w:end="0"/>
        <w:rPr/>
      </w:pPr>
      <w:r>
        <w:rPr/>
        <w:t>(13</w:t>
      </w:r>
      <w:r>
        <w:rPr>
          <w:vertAlign w:val="superscript"/>
        </w:rPr>
        <w:t>th</w:t>
      </w:r>
      <w:r>
        <w:rPr/>
        <w:t xml:space="preserve"> Metropolitan Magistrate Court, Mumbai) (Amity Desai)</w:t>
      </w:r>
    </w:p>
    <w:p>
      <w:pPr>
        <w:pStyle w:val="BodyText"/>
        <w:tabs>
          <w:tab w:val="clear" w:pos="720"/>
          <w:tab w:val="left" w:pos="1440" w:leader="none"/>
          <w:tab w:val="left" w:pos="7740" w:leader="none"/>
        </w:tabs>
        <w:ind w:start="1440" w:end="0"/>
        <w:jc w:val="start"/>
        <w:rPr/>
      </w:pPr>
      <w:r>
        <w:rPr/>
      </w:r>
    </w:p>
    <w:p>
      <w:pPr>
        <w:pStyle w:val="BodyText"/>
        <w:numPr>
          <w:ilvl w:val="0"/>
          <w:numId w:val="72"/>
        </w:numPr>
        <w:tabs>
          <w:tab w:val="clear" w:pos="720"/>
          <w:tab w:val="left" w:pos="1080" w:leader="none"/>
        </w:tabs>
        <w:ind w:hanging="360" w:start="1800" w:end="0"/>
        <w:jc w:val="start"/>
        <w:rPr/>
      </w:pPr>
      <w:r>
        <w:rPr/>
        <w:t>A criminal case was filed against P. Secular, R. Haddam, and contractors for allegedly violating certain labor regulations by hiring contractors prohibited by the regulations.</w:t>
      </w:r>
    </w:p>
    <w:p>
      <w:pPr>
        <w:pStyle w:val="BodyText"/>
        <w:numPr>
          <w:ilvl w:val="0"/>
          <w:numId w:val="72"/>
        </w:numPr>
        <w:tabs>
          <w:tab w:val="clear" w:pos="720"/>
          <w:tab w:val="left" w:pos="1080" w:leader="none"/>
        </w:tabs>
        <w:ind w:hanging="360" w:start="1800" w:end="0"/>
        <w:jc w:val="start"/>
        <w:rPr/>
      </w:pPr>
      <w:r>
        <w:rPr/>
        <w:t>It is Met gas’ position that it did not engage the services of the contractors and that the subject regulations do not apply.</w:t>
      </w:r>
    </w:p>
    <w:p>
      <w:pPr>
        <w:pStyle w:val="BodyText"/>
        <w:numPr>
          <w:ilvl w:val="0"/>
          <w:numId w:val="120"/>
        </w:numPr>
        <w:tabs>
          <w:tab w:val="clear" w:pos="720"/>
          <w:tab w:val="left" w:pos="1800" w:leader="none"/>
          <w:tab w:val="left" w:pos="7740" w:leader="none"/>
        </w:tabs>
        <w:ind w:hanging="360" w:start="1800" w:end="0"/>
        <w:jc w:val="start"/>
        <w:rPr/>
      </w:pPr>
      <w:r>
        <w:rPr/>
        <w:t>At the November 13, 2000 hearing, the court granted the exemption from personal appearance for P. Sreekumar and Rajendra Dhadda.</w:t>
      </w:r>
      <w:r>
        <w:br w:type="page"/>
      </w:r>
    </w:p>
    <w:p>
      <w:pPr>
        <w:pStyle w:val="BodyText"/>
        <w:tabs>
          <w:tab w:val="clear" w:pos="720"/>
          <w:tab w:val="left" w:pos="7740" w:leader="none"/>
        </w:tabs>
        <w:ind w:start="720" w:end="0"/>
        <w:jc w:val="start"/>
        <w:rPr/>
      </w:pPr>
      <w:r>
        <w:rPr/>
      </w:r>
    </w:p>
    <w:p>
      <w:pPr>
        <w:pStyle w:val="Normal"/>
        <w:rPr>
          <w:rFonts w:ascii="Arial" w:hAnsi="Arial" w:cs="Arial"/>
          <w:b/>
          <w:sz w:val="28"/>
          <w:u w:val="single"/>
        </w:rPr>
      </w:pPr>
      <w:r>
        <w:rPr>
          <w:rFonts w:cs="Arial" w:ascii="Arial" w:hAnsi="Arial"/>
          <w:b/>
          <w:sz w:val="28"/>
          <w:u w:val="single"/>
        </w:rPr>
        <w:t>MOROCCO</w:t>
      </w:r>
    </w:p>
    <w:p>
      <w:pPr>
        <w:pStyle w:val="Normal"/>
        <w:rPr>
          <w:rFonts w:ascii="Arial" w:hAnsi="Arial" w:cs="Arial"/>
          <w:b/>
          <w:sz w:val="28"/>
          <w:u w:val="single"/>
        </w:rPr>
      </w:pPr>
      <w:r>
        <w:rPr>
          <w:rFonts w:cs="Arial" w:ascii="Arial" w:hAnsi="Arial"/>
          <w:b/>
          <w:sz w:val="28"/>
          <w:u w:val="single"/>
        </w:rPr>
      </w:r>
    </w:p>
    <w:p>
      <w:pPr>
        <w:pStyle w:val="BodyText3"/>
        <w:keepNext w:val="true"/>
        <w:keepLines/>
        <w:numPr>
          <w:ilvl w:val="0"/>
          <w:numId w:val="126"/>
        </w:numPr>
        <w:tabs>
          <w:tab w:val="clear" w:pos="1440"/>
          <w:tab w:val="clear" w:pos="8370"/>
        </w:tabs>
        <w:rPr>
          <w:b/>
          <w:sz w:val="28"/>
          <w:u w:val="single"/>
        </w:rPr>
      </w:pPr>
      <w:r>
        <w:rPr>
          <w:b/>
          <w:sz w:val="28"/>
          <w:u w:val="single"/>
        </w:rPr>
        <w:t>Enron International Morocco Limited</w:t>
      </w:r>
    </w:p>
    <w:p>
      <w:pPr>
        <w:pStyle w:val="Normal"/>
        <w:jc w:val="both"/>
        <w:rPr>
          <w:rFonts w:ascii="Arial" w:hAnsi="Arial" w:cs="Arial"/>
          <w:b/>
          <w:sz w:val="24"/>
          <w:u w:val="single"/>
        </w:rPr>
      </w:pPr>
      <w:r>
        <w:rPr>
          <w:rFonts w:cs="Arial" w:ascii="Arial" w:hAnsi="Arial"/>
          <w:b/>
          <w:sz w:val="24"/>
          <w:u w:val="single"/>
        </w:rPr>
      </w:r>
    </w:p>
    <w:p>
      <w:pPr>
        <w:pStyle w:val="Heading5"/>
        <w:numPr>
          <w:ilvl w:val="0"/>
          <w:numId w:val="162"/>
        </w:numPr>
        <w:tabs>
          <w:tab w:val="clear" w:pos="720"/>
          <w:tab w:val="left" w:pos="1440" w:leader="none"/>
        </w:tabs>
        <w:ind w:hanging="720" w:start="1440" w:end="0"/>
        <w:rPr/>
      </w:pPr>
      <w:r>
        <w:rPr/>
        <w:t>LITIGATION/ARBITRATION</w:t>
      </w:r>
    </w:p>
    <w:p>
      <w:pPr>
        <w:pStyle w:val="Heading5"/>
        <w:ind w:hanging="0" w:start="720" w:end="0"/>
        <w:rPr/>
      </w:pPr>
      <w:r>
        <w:rPr/>
      </w:r>
    </w:p>
    <w:p>
      <w:pPr>
        <w:pStyle w:val="Normal"/>
        <w:ind w:start="1440" w:end="0"/>
        <w:rPr>
          <w:rFonts w:ascii="Arial" w:hAnsi="Arial" w:cs="Arial"/>
          <w:sz w:val="24"/>
        </w:rPr>
      </w:pPr>
      <w:r>
        <w:rPr>
          <w:rFonts w:cs="Arial" w:ascii="Arial" w:hAnsi="Arial"/>
          <w:sz w:val="24"/>
        </w:rPr>
        <w:t>None</w:t>
      </w:r>
    </w:p>
    <w:p>
      <w:pPr>
        <w:pStyle w:val="Normal"/>
        <w:ind w:start="1440" w:end="0"/>
        <w:rPr>
          <w:rFonts w:ascii="Arial" w:hAnsi="Arial" w:cs="Arial"/>
          <w:sz w:val="24"/>
        </w:rPr>
      </w:pPr>
      <w:r>
        <w:rPr>
          <w:rFonts w:cs="Arial" w:ascii="Arial" w:hAnsi="Arial"/>
          <w:sz w:val="24"/>
        </w:rPr>
      </w:r>
    </w:p>
    <w:p>
      <w:pPr>
        <w:pStyle w:val="Normal"/>
        <w:ind w:start="1440" w:end="0"/>
        <w:rPr>
          <w:rFonts w:ascii="Arial" w:hAnsi="Arial" w:cs="Arial"/>
          <w:sz w:val="24"/>
        </w:rPr>
      </w:pPr>
      <w:r>
        <w:rPr>
          <w:rFonts w:cs="Arial" w:ascii="Arial" w:hAnsi="Arial"/>
          <w:sz w:val="24"/>
        </w:rPr>
      </w:r>
    </w:p>
    <w:p>
      <w:pPr>
        <w:pStyle w:val="Heading5"/>
        <w:ind w:hanging="0" w:start="720" w:end="0"/>
        <w:rPr/>
      </w:pPr>
      <w:r>
        <w:rPr/>
        <w:t>II.</w:t>
        <w:tab/>
        <w:t>CLAIMS/DISPUTES</w:t>
      </w:r>
    </w:p>
    <w:p>
      <w:pPr>
        <w:pStyle w:val="Normal"/>
        <w:ind w:start="720" w:end="0"/>
        <w:rPr>
          <w:rFonts w:ascii="Arial" w:hAnsi="Arial" w:cs="Arial"/>
          <w:b/>
          <w:sz w:val="24"/>
        </w:rPr>
      </w:pPr>
      <w:r>
        <w:rPr>
          <w:rFonts w:cs="Arial" w:ascii="Arial" w:hAnsi="Arial"/>
          <w:b/>
          <w:sz w:val="24"/>
        </w:rPr>
      </w:r>
    </w:p>
    <w:p>
      <w:pPr>
        <w:pStyle w:val="Normal"/>
        <w:tabs>
          <w:tab w:val="clear" w:pos="720"/>
          <w:tab w:val="left" w:pos="7740" w:leader="none"/>
        </w:tabs>
        <w:ind w:start="1440" w:end="0"/>
        <w:rPr>
          <w:rFonts w:ascii="Arial" w:hAnsi="Arial" w:cs="Arial"/>
          <w:b/>
          <w:sz w:val="24"/>
        </w:rPr>
      </w:pPr>
      <w:r>
        <w:rPr>
          <w:rFonts w:cs="Arial" w:ascii="Arial" w:hAnsi="Arial"/>
          <w:b/>
          <w:sz w:val="24"/>
        </w:rPr>
        <w:t>Laraquai and Commune de Tangier Dispute</w:t>
        <w:tab/>
        <w:t>(Not Updated)</w:t>
      </w:r>
    </w:p>
    <w:p>
      <w:pPr>
        <w:pStyle w:val="BodyText"/>
        <w:tabs>
          <w:tab w:val="clear" w:pos="720"/>
          <w:tab w:val="left" w:pos="1080" w:leader="none"/>
          <w:tab w:val="left" w:pos="1170" w:leader="none"/>
          <w:tab w:val="left" w:pos="7740" w:leader="none"/>
          <w:tab w:val="left" w:pos="8370" w:leader="none"/>
        </w:tabs>
        <w:ind w:start="1440" w:end="0"/>
        <w:rPr/>
      </w:pPr>
      <w:r>
        <w:rPr/>
        <w:t>(Michel Bejot)</w:t>
      </w:r>
    </w:p>
    <w:p>
      <w:pPr>
        <w:pStyle w:val="BodyText"/>
        <w:tabs>
          <w:tab w:val="clear" w:pos="720"/>
          <w:tab w:val="left" w:pos="1080" w:leader="none"/>
          <w:tab w:val="left" w:pos="1170" w:leader="none"/>
          <w:tab w:val="left" w:pos="7740" w:leader="none"/>
          <w:tab w:val="left" w:pos="8370" w:leader="none"/>
        </w:tabs>
        <w:ind w:start="1440" w:end="0"/>
        <w:rPr/>
      </w:pPr>
      <w:r>
        <w:rPr/>
      </w:r>
    </w:p>
    <w:p>
      <w:pPr>
        <w:pStyle w:val="Normal"/>
        <w:numPr>
          <w:ilvl w:val="0"/>
          <w:numId w:val="71"/>
        </w:numPr>
        <w:tabs>
          <w:tab w:val="clear" w:pos="720"/>
          <w:tab w:val="left" w:pos="1800" w:leader="none"/>
        </w:tabs>
        <w:ind w:hanging="360" w:start="1800" w:end="0"/>
        <w:rPr/>
      </w:pPr>
      <w:r>
        <w:rPr>
          <w:rFonts w:cs="Arial" w:ascii="Arial" w:hAnsi="Arial"/>
          <w:sz w:val="24"/>
        </w:rPr>
        <w:t>Azurix Tangiers Ltd., Azurix Tetouan Ltd. (the Azurix Consortium Companies), Enron International Morocco Ltd and Enron Morocco Ltd. (the Enron Consortium Companies) were participating in bids for Tangiers and Tetouan concessions in late 1999.</w:t>
      </w:r>
    </w:p>
    <w:p>
      <w:pPr>
        <w:pStyle w:val="Normal"/>
        <w:numPr>
          <w:ilvl w:val="0"/>
          <w:numId w:val="71"/>
        </w:numPr>
        <w:tabs>
          <w:tab w:val="clear" w:pos="720"/>
          <w:tab w:val="left" w:pos="1800" w:leader="none"/>
        </w:tabs>
        <w:ind w:hanging="360" w:start="1800" w:end="0"/>
        <w:rPr/>
      </w:pPr>
      <w:r>
        <w:rPr>
          <w:rFonts w:cs="Arial" w:ascii="Arial" w:hAnsi="Arial"/>
          <w:sz w:val="24"/>
        </w:rPr>
        <w:t>Azurix Tangiers and Azurix Tetouan Ltd. decided to discontinue their bids for the Tangiers and Tetouan concessions.</w:t>
      </w:r>
    </w:p>
    <w:p>
      <w:pPr>
        <w:pStyle w:val="Normal"/>
        <w:numPr>
          <w:ilvl w:val="0"/>
          <w:numId w:val="71"/>
        </w:numPr>
        <w:tabs>
          <w:tab w:val="clear" w:pos="720"/>
          <w:tab w:val="left" w:pos="1800" w:leader="none"/>
        </w:tabs>
        <w:ind w:hanging="360" w:start="1800" w:end="0"/>
        <w:rPr/>
      </w:pPr>
      <w:r>
        <w:rPr>
          <w:rFonts w:cs="Arial" w:ascii="Arial" w:hAnsi="Arial"/>
          <w:sz w:val="24"/>
        </w:rPr>
        <w:t>Laraquai alleges they have been damaged by this</w:t>
      </w:r>
      <w:r>
        <w:rPr>
          <w:rFonts w:cs="Arial" w:ascii="Arial" w:hAnsi="Arial"/>
          <w:b/>
          <w:bCs/>
          <w:sz w:val="24"/>
        </w:rPr>
        <w:t xml:space="preserve"> </w:t>
      </w:r>
      <w:r>
        <w:rPr>
          <w:rFonts w:cs="Arial" w:ascii="Arial" w:hAnsi="Arial"/>
          <w:sz w:val="24"/>
        </w:rPr>
        <w:t>withdrawal and may seek arbitration.</w:t>
      </w:r>
    </w:p>
    <w:p>
      <w:pPr>
        <w:pStyle w:val="Normal"/>
        <w:numPr>
          <w:ilvl w:val="0"/>
          <w:numId w:val="71"/>
        </w:numPr>
        <w:tabs>
          <w:tab w:val="clear" w:pos="720"/>
          <w:tab w:val="left" w:pos="1800" w:leader="none"/>
        </w:tabs>
        <w:ind w:hanging="360" w:start="1800" w:end="0"/>
        <w:rPr/>
      </w:pPr>
      <w:r>
        <w:rPr>
          <w:rFonts w:cs="Arial" w:ascii="Arial" w:hAnsi="Arial"/>
          <w:sz w:val="24"/>
        </w:rPr>
        <w:t xml:space="preserve">Enron has agreed to cooperate and participate in a solution to this matter subject to the obligation of Azurix Corp. to indemnify Enron. </w:t>
      </w:r>
    </w:p>
    <w:p>
      <w:pPr>
        <w:pStyle w:val="Normal"/>
        <w:rPr>
          <w:sz w:val="24"/>
        </w:rPr>
      </w:pPr>
      <w:r>
        <w:rPr>
          <w:sz w:val="24"/>
        </w:rPr>
      </w:r>
    </w:p>
    <w:p>
      <w:pPr>
        <w:pStyle w:val="Normal"/>
        <w:rPr>
          <w:sz w:val="24"/>
        </w:rPr>
      </w:pPr>
      <w:r>
        <w:rPr>
          <w:sz w:val="24"/>
        </w:rPr>
      </w:r>
    </w:p>
    <w:p>
      <w:pPr>
        <w:pStyle w:val="Normal"/>
        <w:rPr>
          <w:rFonts w:ascii="Arial" w:hAnsi="Arial" w:cs="Arial"/>
          <w:b/>
          <w:sz w:val="28"/>
          <w:u w:val="single"/>
        </w:rPr>
      </w:pPr>
      <w:r>
        <w:rPr>
          <w:rFonts w:cs="Arial" w:ascii="Arial" w:hAnsi="Arial"/>
          <w:b/>
          <w:sz w:val="28"/>
          <w:u w:val="single"/>
        </w:rPr>
        <w:t>MOZAMBIQUE</w:t>
      </w:r>
    </w:p>
    <w:p>
      <w:pPr>
        <w:pStyle w:val="Normal"/>
        <w:rPr>
          <w:rFonts w:ascii="Arial" w:hAnsi="Arial" w:cs="Arial"/>
          <w:b/>
          <w:sz w:val="28"/>
          <w:u w:val="single"/>
        </w:rPr>
      </w:pPr>
      <w:r>
        <w:rPr>
          <w:rFonts w:cs="Arial" w:ascii="Arial" w:hAnsi="Arial"/>
          <w:b/>
          <w:sz w:val="28"/>
          <w:u w:val="single"/>
        </w:rPr>
      </w:r>
    </w:p>
    <w:p>
      <w:pPr>
        <w:pStyle w:val="BodyText3"/>
        <w:keepNext w:val="true"/>
        <w:keepLines/>
        <w:numPr>
          <w:ilvl w:val="0"/>
          <w:numId w:val="119"/>
        </w:numPr>
        <w:tabs>
          <w:tab w:val="clear" w:pos="1440"/>
          <w:tab w:val="clear" w:pos="8370"/>
        </w:tabs>
        <w:rPr>
          <w:b/>
          <w:sz w:val="28"/>
          <w:u w:val="single"/>
        </w:rPr>
      </w:pPr>
      <w:r>
        <w:rPr>
          <w:b/>
          <w:sz w:val="28"/>
          <w:u w:val="single"/>
        </w:rPr>
        <w:t>Enron Southern Africa Development Ltd.</w:t>
      </w:r>
    </w:p>
    <w:p>
      <w:pPr>
        <w:pStyle w:val="Normal"/>
        <w:jc w:val="both"/>
        <w:rPr>
          <w:rFonts w:ascii="Arial" w:hAnsi="Arial" w:cs="Arial"/>
          <w:b/>
          <w:sz w:val="24"/>
          <w:u w:val="single"/>
        </w:rPr>
      </w:pPr>
      <w:r>
        <w:rPr>
          <w:rFonts w:cs="Arial" w:ascii="Arial" w:hAnsi="Arial"/>
          <w:b/>
          <w:sz w:val="24"/>
          <w:u w:val="single"/>
        </w:rPr>
      </w:r>
    </w:p>
    <w:p>
      <w:pPr>
        <w:pStyle w:val="Heading5"/>
        <w:numPr>
          <w:ilvl w:val="0"/>
          <w:numId w:val="58"/>
        </w:numPr>
        <w:rPr/>
      </w:pPr>
      <w:r>
        <w:rPr/>
        <w:t>LITIGATION/ARBITRATION</w:t>
      </w:r>
    </w:p>
    <w:p>
      <w:pPr>
        <w:pStyle w:val="Heading5"/>
        <w:ind w:hanging="0" w:start="720" w:end="0"/>
        <w:rPr/>
      </w:pPr>
      <w:r>
        <w:rPr/>
      </w:r>
    </w:p>
    <w:p>
      <w:pPr>
        <w:pStyle w:val="Normal"/>
        <w:tabs>
          <w:tab w:val="clear" w:pos="720"/>
          <w:tab w:val="left" w:pos="7740" w:leader="none"/>
        </w:tabs>
        <w:ind w:start="1440" w:end="0"/>
        <w:rPr/>
      </w:pPr>
      <w:r>
        <w:rPr>
          <w:rFonts w:cs="Arial" w:ascii="Arial" w:hAnsi="Arial"/>
          <w:b/>
          <w:sz w:val="24"/>
          <w:u w:val="single"/>
        </w:rPr>
        <w:t>William J. Friedman and Rebecca Friedman,</w:t>
      </w:r>
      <w:r>
        <w:rPr>
          <w:rFonts w:cs="Arial" w:ascii="Arial" w:hAnsi="Arial"/>
          <w:b/>
          <w:sz w:val="24"/>
        </w:rPr>
        <w:tab/>
        <w:t>(Updated)</w:t>
      </w:r>
    </w:p>
    <w:p>
      <w:pPr>
        <w:pStyle w:val="Normal"/>
        <w:tabs>
          <w:tab w:val="clear" w:pos="720"/>
          <w:tab w:val="left" w:pos="7740" w:leader="none"/>
        </w:tabs>
        <w:ind w:start="1440" w:end="0"/>
        <w:rPr>
          <w:rFonts w:ascii="Arial" w:hAnsi="Arial" w:cs="Arial"/>
          <w:b/>
          <w:sz w:val="24"/>
          <w:u w:val="single"/>
        </w:rPr>
      </w:pPr>
      <w:r>
        <w:rPr>
          <w:rFonts w:cs="Arial" w:ascii="Arial" w:hAnsi="Arial"/>
          <w:b/>
          <w:sz w:val="24"/>
          <w:u w:val="single"/>
        </w:rPr>
        <w:t>d/b/a Friedman Associates v. Enron Southern</w:t>
      </w:r>
    </w:p>
    <w:p>
      <w:pPr>
        <w:pStyle w:val="Normal"/>
        <w:tabs>
          <w:tab w:val="clear" w:pos="720"/>
          <w:tab w:val="left" w:pos="7740" w:leader="none"/>
        </w:tabs>
        <w:ind w:start="1440" w:end="0"/>
        <w:rPr>
          <w:rFonts w:ascii="Arial" w:hAnsi="Arial" w:cs="Arial"/>
          <w:b/>
          <w:sz w:val="24"/>
          <w:u w:val="single"/>
        </w:rPr>
      </w:pPr>
      <w:r>
        <w:rPr>
          <w:rFonts w:cs="Arial" w:ascii="Arial" w:hAnsi="Arial"/>
          <w:b/>
          <w:sz w:val="24"/>
          <w:u w:val="single"/>
        </w:rPr>
        <w:t>Africa Development, Ltd. et al</w:t>
      </w:r>
    </w:p>
    <w:p>
      <w:pPr>
        <w:pStyle w:val="BodyText"/>
        <w:tabs>
          <w:tab w:val="clear" w:pos="720"/>
          <w:tab w:val="left" w:pos="1080" w:leader="none"/>
          <w:tab w:val="left" w:pos="1170" w:leader="none"/>
          <w:tab w:val="left" w:pos="7740" w:leader="none"/>
          <w:tab w:val="left" w:pos="8370" w:leader="none"/>
        </w:tabs>
        <w:ind w:start="1440" w:end="0"/>
        <w:rPr/>
      </w:pPr>
      <w:r>
        <w:rPr/>
        <w:t>(133</w:t>
      </w:r>
      <w:r>
        <w:rPr>
          <w:vertAlign w:val="superscript"/>
        </w:rPr>
        <w:t>rd</w:t>
      </w:r>
      <w:r>
        <w:rPr/>
        <w:t xml:space="preserve"> Judicial District Court, Harris County, Texas) (Mark Wawro/Susman Godfrey) ($5-$10 million) </w:t>
      </w:r>
    </w:p>
    <w:p>
      <w:pPr>
        <w:pStyle w:val="Normal"/>
        <w:tabs>
          <w:tab w:val="clear" w:pos="720"/>
          <w:tab w:val="left" w:pos="7380" w:leader="none"/>
        </w:tabs>
        <w:ind w:start="1440" w:end="0"/>
        <w:rPr>
          <w:rFonts w:ascii="Arial" w:hAnsi="Arial" w:cs="Arial"/>
          <w:sz w:val="24"/>
        </w:rPr>
      </w:pPr>
      <w:r>
        <w:rPr>
          <w:rFonts w:cs="Arial" w:ascii="Arial" w:hAnsi="Arial"/>
          <w:sz w:val="24"/>
        </w:rPr>
      </w:r>
    </w:p>
    <w:p>
      <w:pPr>
        <w:pStyle w:val="Normal"/>
        <w:numPr>
          <w:ilvl w:val="0"/>
          <w:numId w:val="51"/>
        </w:numPr>
        <w:tabs>
          <w:tab w:val="clear" w:pos="720"/>
          <w:tab w:val="left" w:pos="1800" w:leader="none"/>
          <w:tab w:val="left" w:pos="7380" w:leader="none"/>
        </w:tabs>
        <w:ind w:hanging="360" w:start="1800" w:end="0"/>
        <w:rPr>
          <w:rFonts w:ascii="Arial" w:hAnsi="Arial" w:cs="Arial"/>
          <w:sz w:val="24"/>
        </w:rPr>
      </w:pPr>
      <w:r>
        <w:rPr>
          <w:rFonts w:cs="Arial" w:ascii="Arial" w:hAnsi="Arial"/>
          <w:sz w:val="24"/>
        </w:rPr>
        <w:t>Friedman Associates claims that it is entitled to compensation under a consulting agreement for work done in connection with the development of the Pande Gas pipeline project in Mozambique.</w:t>
      </w:r>
    </w:p>
    <w:p>
      <w:pPr>
        <w:pStyle w:val="Normal"/>
        <w:numPr>
          <w:ilvl w:val="0"/>
          <w:numId w:val="51"/>
        </w:numPr>
        <w:tabs>
          <w:tab w:val="clear" w:pos="720"/>
          <w:tab w:val="left" w:pos="1800" w:leader="none"/>
          <w:tab w:val="left" w:pos="7380" w:leader="none"/>
        </w:tabs>
        <w:ind w:hanging="360" w:start="1800" w:end="0"/>
        <w:rPr>
          <w:rFonts w:ascii="Arial" w:hAnsi="Arial" w:cs="Arial"/>
          <w:sz w:val="24"/>
        </w:rPr>
      </w:pPr>
      <w:r>
        <w:rPr>
          <w:rFonts w:cs="Arial" w:ascii="Arial" w:hAnsi="Arial"/>
          <w:sz w:val="24"/>
        </w:rPr>
        <w:t>Enron denies this allegation on the ground that Friedman Associates received all compensation to which it was entitled.</w:t>
      </w:r>
    </w:p>
    <w:p>
      <w:pPr>
        <w:pStyle w:val="Normal"/>
        <w:numPr>
          <w:ilvl w:val="0"/>
          <w:numId w:val="51"/>
        </w:numPr>
        <w:tabs>
          <w:tab w:val="clear" w:pos="720"/>
          <w:tab w:val="left" w:pos="1800" w:leader="none"/>
          <w:tab w:val="left" w:pos="7380" w:leader="none"/>
        </w:tabs>
        <w:ind w:hanging="360" w:start="1800" w:end="0"/>
        <w:rPr>
          <w:rFonts w:ascii="Arial" w:hAnsi="Arial" w:cs="Arial"/>
          <w:sz w:val="24"/>
        </w:rPr>
      </w:pPr>
      <w:r>
        <w:rPr>
          <w:rFonts w:cs="Arial" w:ascii="Arial" w:hAnsi="Arial"/>
          <w:sz w:val="24"/>
        </w:rPr>
        <w:t>On January 16, 2001 plaintiff filed suit claiming breach of contract.</w:t>
      </w:r>
    </w:p>
    <w:p>
      <w:pPr>
        <w:pStyle w:val="Normal"/>
        <w:numPr>
          <w:ilvl w:val="0"/>
          <w:numId w:val="51"/>
        </w:numPr>
        <w:tabs>
          <w:tab w:val="clear" w:pos="720"/>
          <w:tab w:val="left" w:pos="1800" w:leader="none"/>
          <w:tab w:val="left" w:pos="7380" w:leader="none"/>
        </w:tabs>
        <w:ind w:hanging="360" w:start="1800" w:end="0"/>
        <w:rPr>
          <w:rFonts w:ascii="Arial" w:hAnsi="Arial" w:cs="Arial"/>
          <w:sz w:val="24"/>
        </w:rPr>
      </w:pPr>
      <w:r>
        <w:rPr>
          <w:rFonts w:cs="Arial" w:ascii="Arial" w:hAnsi="Arial"/>
          <w:sz w:val="24"/>
        </w:rPr>
        <w:t xml:space="preserve">Enron has answered and </w:t>
      </w:r>
      <w:r>
        <w:rPr>
          <w:rFonts w:cs="Arial" w:ascii="Arial" w:hAnsi="Arial"/>
          <w:b/>
          <w:bCs/>
          <w:sz w:val="24"/>
        </w:rPr>
        <w:t>discovery is under way.</w:t>
      </w:r>
    </w:p>
    <w:p>
      <w:pPr>
        <w:pStyle w:val="Normal"/>
        <w:numPr>
          <w:ilvl w:val="0"/>
          <w:numId w:val="51"/>
        </w:numPr>
        <w:tabs>
          <w:tab w:val="clear" w:pos="720"/>
          <w:tab w:val="left" w:pos="1800" w:leader="none"/>
          <w:tab w:val="left" w:pos="7380" w:leader="none"/>
        </w:tabs>
        <w:ind w:hanging="360" w:start="1800" w:end="0"/>
        <w:rPr>
          <w:rFonts w:ascii="Arial" w:hAnsi="Arial" w:cs="Arial"/>
          <w:sz w:val="24"/>
        </w:rPr>
      </w:pPr>
      <w:r>
        <w:rPr>
          <w:rFonts w:cs="Arial" w:ascii="Arial" w:hAnsi="Arial"/>
          <w:b/>
          <w:bCs/>
          <w:sz w:val="24"/>
        </w:rPr>
        <w:t>This case is currently set for trial in November 2001.</w:t>
      </w:r>
    </w:p>
    <w:p>
      <w:pPr>
        <w:pStyle w:val="Normal"/>
        <w:tabs>
          <w:tab w:val="clear" w:pos="720"/>
          <w:tab w:val="left" w:pos="540" w:leader="none"/>
        </w:tabs>
        <w:ind w:hanging="540" w:start="540" w:end="0"/>
        <w:rPr>
          <w:rFonts w:ascii="Arial" w:hAnsi="Arial" w:cs="Arial"/>
          <w:sz w:val="24"/>
        </w:rPr>
      </w:pPr>
      <w:r>
        <w:rPr>
          <w:rFonts w:cs="Arial" w:ascii="Arial" w:hAnsi="Arial"/>
          <w:sz w:val="24"/>
        </w:rPr>
      </w:r>
    </w:p>
    <w:p>
      <w:pPr>
        <w:pStyle w:val="Normal"/>
        <w:tabs>
          <w:tab w:val="clear" w:pos="720"/>
          <w:tab w:val="left" w:pos="540" w:leader="none"/>
        </w:tabs>
        <w:ind w:hanging="540" w:start="540" w:end="0"/>
        <w:rPr>
          <w:rFonts w:ascii="Arial" w:hAnsi="Arial" w:cs="Arial"/>
          <w:b/>
          <w:sz w:val="28"/>
          <w:u w:val="single"/>
        </w:rPr>
      </w:pPr>
      <w:r>
        <w:rPr>
          <w:rFonts w:cs="Arial" w:ascii="Arial" w:hAnsi="Arial"/>
          <w:b/>
          <w:sz w:val="28"/>
          <w:u w:val="single"/>
        </w:rPr>
        <w:t>PANAMA</w:t>
      </w:r>
    </w:p>
    <w:p>
      <w:pPr>
        <w:pStyle w:val="Normal"/>
        <w:tabs>
          <w:tab w:val="clear" w:pos="720"/>
          <w:tab w:val="left" w:pos="540" w:leader="none"/>
        </w:tabs>
        <w:ind w:hanging="540" w:start="540" w:end="0"/>
        <w:rPr>
          <w:rFonts w:ascii="Arial" w:hAnsi="Arial" w:cs="Arial"/>
          <w:b/>
          <w:sz w:val="24"/>
          <w:u w:val="single"/>
        </w:rPr>
      </w:pPr>
      <w:r>
        <w:rPr>
          <w:rFonts w:cs="Arial" w:ascii="Arial" w:hAnsi="Arial"/>
          <w:b/>
          <w:sz w:val="24"/>
          <w:u w:val="single"/>
        </w:rPr>
      </w:r>
    </w:p>
    <w:p>
      <w:pPr>
        <w:pStyle w:val="Heading1"/>
        <w:numPr>
          <w:ilvl w:val="0"/>
          <w:numId w:val="2"/>
        </w:numPr>
        <w:jc w:val="start"/>
        <w:rPr>
          <w:sz w:val="28"/>
          <w:u w:val="single"/>
        </w:rPr>
      </w:pPr>
      <w:r>
        <w:rPr>
          <w:sz w:val="28"/>
          <w:u w:val="single"/>
        </w:rPr>
        <w:t xml:space="preserve">Bahia Las Minas S.A. </w:t>
      </w:r>
    </w:p>
    <w:p>
      <w:pPr>
        <w:pStyle w:val="Normal"/>
        <w:jc w:val="center"/>
        <w:rPr>
          <w:rFonts w:ascii="Arial" w:hAnsi="Arial" w:cs="Arial"/>
          <w:sz w:val="24"/>
          <w:u w:val="single"/>
        </w:rPr>
      </w:pPr>
      <w:r>
        <w:rPr>
          <w:rFonts w:cs="Arial" w:ascii="Arial" w:hAnsi="Arial"/>
          <w:sz w:val="24"/>
          <w:u w:val="single"/>
        </w:rPr>
      </w:r>
    </w:p>
    <w:p>
      <w:pPr>
        <w:pStyle w:val="Heading5"/>
        <w:ind w:hanging="0" w:start="720" w:end="0"/>
        <w:rPr/>
      </w:pPr>
      <w:r>
        <w:rPr/>
        <w:t>I.</w:t>
        <w:tab/>
        <w:t>LITIGATION/ARBITRATION</w:t>
      </w:r>
    </w:p>
    <w:p>
      <w:pPr>
        <w:pStyle w:val="Normal"/>
        <w:tabs>
          <w:tab w:val="clear" w:pos="720"/>
          <w:tab w:val="left" w:pos="7740" w:leader="none"/>
        </w:tabs>
        <w:ind w:start="1440" w:end="0"/>
        <w:rPr>
          <w:rFonts w:ascii="Arial" w:hAnsi="Arial" w:cs="Arial"/>
          <w:b/>
          <w:sz w:val="24"/>
        </w:rPr>
      </w:pPr>
      <w:r>
        <w:rPr>
          <w:rFonts w:cs="Arial" w:ascii="Arial" w:hAnsi="Arial"/>
          <w:b/>
          <w:sz w:val="24"/>
        </w:rPr>
      </w:r>
    </w:p>
    <w:p>
      <w:pPr>
        <w:pStyle w:val="Normal"/>
        <w:tabs>
          <w:tab w:val="clear" w:pos="720"/>
          <w:tab w:val="left" w:pos="7740" w:leader="none"/>
        </w:tabs>
        <w:ind w:start="1440" w:end="0"/>
        <w:rPr>
          <w:rFonts w:ascii="Arial" w:hAnsi="Arial" w:cs="Arial"/>
          <w:b/>
          <w:sz w:val="24"/>
        </w:rPr>
      </w:pPr>
      <w:r>
        <w:rPr>
          <w:rFonts w:cs="Arial" w:ascii="Arial" w:hAnsi="Arial"/>
          <w:b/>
          <w:sz w:val="24"/>
        </w:rPr>
        <w:t>Bahia Las Minas Corp. (BLM) claim against the</w:t>
        <w:tab/>
        <w:t>(Updated)</w:t>
      </w:r>
    </w:p>
    <w:p>
      <w:pPr>
        <w:pStyle w:val="Normal"/>
        <w:tabs>
          <w:tab w:val="clear" w:pos="720"/>
          <w:tab w:val="left" w:pos="7740" w:leader="none"/>
        </w:tabs>
        <w:ind w:start="1440" w:end="0"/>
        <w:rPr>
          <w:rFonts w:ascii="Arial" w:hAnsi="Arial" w:cs="Arial"/>
          <w:b/>
          <w:sz w:val="24"/>
        </w:rPr>
      </w:pPr>
      <w:r>
        <w:rPr>
          <w:rFonts w:cs="Arial" w:ascii="Arial" w:hAnsi="Arial"/>
          <w:b/>
          <w:sz w:val="24"/>
        </w:rPr>
        <w:t>Government of Panama and Related Arbitration</w:t>
      </w:r>
    </w:p>
    <w:p>
      <w:pPr>
        <w:pStyle w:val="BodyTextIndent3"/>
        <w:ind w:hanging="0" w:start="1440" w:end="0"/>
        <w:rPr>
          <w:b w:val="false"/>
          <w:sz w:val="24"/>
        </w:rPr>
      </w:pPr>
      <w:r>
        <w:rPr>
          <w:b w:val="false"/>
          <w:sz w:val="24"/>
        </w:rPr>
        <w:t>(Supreme Court of Panama and arbitration before regulatory body) (Eduardo D’Alba/Arrias, Fabrega &amp; Fabrega) (Enron’s Interest: 51%)</w:t>
      </w:r>
    </w:p>
    <w:p>
      <w:pPr>
        <w:pStyle w:val="Normal"/>
        <w:tabs>
          <w:tab w:val="clear" w:pos="720"/>
          <w:tab w:val="left" w:pos="7740" w:leader="none"/>
        </w:tabs>
        <w:ind w:start="2160" w:end="0"/>
        <w:rPr>
          <w:rFonts w:ascii="Arial" w:hAnsi="Arial" w:cs="Arial"/>
          <w:b/>
          <w:sz w:val="24"/>
        </w:rPr>
      </w:pPr>
      <w:r>
        <w:rPr>
          <w:rFonts w:cs="Arial" w:ascii="Arial" w:hAnsi="Arial"/>
          <w:b/>
          <w:sz w:val="24"/>
        </w:rPr>
      </w:r>
    </w:p>
    <w:p>
      <w:pPr>
        <w:pStyle w:val="Normal"/>
        <w:numPr>
          <w:ilvl w:val="0"/>
          <w:numId w:val="29"/>
        </w:numPr>
        <w:tabs>
          <w:tab w:val="clear" w:pos="720"/>
          <w:tab w:val="left" w:pos="1080" w:leader="none"/>
          <w:tab w:val="left" w:pos="1800" w:leader="none"/>
          <w:tab w:val="left" w:pos="7740" w:leader="none"/>
        </w:tabs>
        <w:ind w:hanging="360" w:start="1800" w:end="0"/>
        <w:rPr>
          <w:rFonts w:ascii="Arial" w:hAnsi="Arial" w:cs="Arial"/>
          <w:sz w:val="24"/>
        </w:rPr>
      </w:pPr>
      <w:r>
        <w:rPr>
          <w:rFonts w:cs="Arial" w:ascii="Arial" w:hAnsi="Arial"/>
          <w:b/>
          <w:bCs/>
          <w:sz w:val="24"/>
        </w:rPr>
        <w:t>EGEMINSA (now known as a result of a name change as BLM)</w:t>
      </w:r>
      <w:r>
        <w:rPr>
          <w:rFonts w:cs="Arial" w:ascii="Arial" w:hAnsi="Arial"/>
          <w:sz w:val="24"/>
        </w:rPr>
        <w:t xml:space="preserve"> is a party to long-term contracts with two distribution companies for the purchase of energy.</w:t>
      </w:r>
    </w:p>
    <w:p>
      <w:pPr>
        <w:pStyle w:val="Normal"/>
        <w:numPr>
          <w:ilvl w:val="0"/>
          <w:numId w:val="83"/>
        </w:numPr>
        <w:tabs>
          <w:tab w:val="clear" w:pos="720"/>
          <w:tab w:val="left" w:pos="1800" w:leader="none"/>
          <w:tab w:val="left" w:pos="7740" w:leader="none"/>
        </w:tabs>
        <w:ind w:hanging="360" w:start="1800" w:end="0"/>
        <w:rPr>
          <w:rFonts w:ascii="Arial" w:hAnsi="Arial" w:cs="Arial"/>
          <w:sz w:val="24"/>
        </w:rPr>
      </w:pPr>
      <w:r>
        <w:rPr>
          <w:rFonts w:cs="Arial" w:ascii="Arial" w:hAnsi="Arial"/>
          <w:sz w:val="24"/>
        </w:rPr>
        <w:t xml:space="preserve">On December 21, 1999, the regulatory arm of the Government of Panama passed three resolutions purportedly addressing price increases in the electricity market resulting from the increase in the world market price of oil and derivative fuels.  </w:t>
      </w:r>
    </w:p>
    <w:p>
      <w:pPr>
        <w:pStyle w:val="Normal"/>
        <w:numPr>
          <w:ilvl w:val="0"/>
          <w:numId w:val="83"/>
        </w:numPr>
        <w:tabs>
          <w:tab w:val="clear" w:pos="720"/>
          <w:tab w:val="left" w:pos="1800" w:leader="none"/>
          <w:tab w:val="left" w:pos="7740" w:leader="none"/>
        </w:tabs>
        <w:ind w:hanging="360" w:start="1800" w:end="0"/>
        <w:rPr>
          <w:rFonts w:ascii="Arial" w:hAnsi="Arial" w:cs="Arial"/>
          <w:sz w:val="24"/>
        </w:rPr>
      </w:pPr>
      <w:r>
        <w:rPr>
          <w:rFonts w:cs="Arial" w:ascii="Arial" w:hAnsi="Arial"/>
          <w:sz w:val="24"/>
        </w:rPr>
        <w:t xml:space="preserve">These resolutions allegedly undercut EGEMINSA's position in the marketplace and interfered with its existing contracts.  </w:t>
      </w:r>
    </w:p>
    <w:p>
      <w:pPr>
        <w:pStyle w:val="Normal"/>
        <w:numPr>
          <w:ilvl w:val="0"/>
          <w:numId w:val="6"/>
        </w:numPr>
        <w:tabs>
          <w:tab w:val="clear" w:pos="720"/>
          <w:tab w:val="left" w:pos="1800" w:leader="none"/>
          <w:tab w:val="left" w:pos="7740" w:leader="none"/>
        </w:tabs>
        <w:ind w:hanging="360" w:start="1800" w:end="0"/>
        <w:rPr>
          <w:rFonts w:ascii="Arial" w:hAnsi="Arial" w:cs="Arial"/>
          <w:sz w:val="24"/>
        </w:rPr>
      </w:pPr>
      <w:r>
        <w:rPr>
          <w:rFonts w:cs="Arial" w:ascii="Arial" w:hAnsi="Arial"/>
          <w:sz w:val="24"/>
        </w:rPr>
        <w:t>In June 2000, the Supreme Court of Panama suspended one of the subject resolutions; however</w:t>
      </w:r>
      <w:r>
        <w:rPr>
          <w:rFonts w:cs="Arial" w:ascii="Arial" w:hAnsi="Arial"/>
          <w:b/>
          <w:sz w:val="24"/>
        </w:rPr>
        <w:t>,</w:t>
      </w:r>
      <w:r>
        <w:rPr>
          <w:rFonts w:cs="Arial" w:ascii="Arial" w:hAnsi="Arial"/>
          <w:sz w:val="24"/>
        </w:rPr>
        <w:t xml:space="preserve"> it </w:t>
      </w:r>
      <w:r>
        <w:rPr>
          <w:rFonts w:cs="Arial" w:ascii="Arial" w:hAnsi="Arial"/>
          <w:b/>
          <w:bCs/>
          <w:sz w:val="24"/>
        </w:rPr>
        <w:t xml:space="preserve">did </w:t>
      </w:r>
      <w:r>
        <w:rPr>
          <w:rFonts w:cs="Arial" w:ascii="Arial" w:hAnsi="Arial"/>
          <w:sz w:val="24"/>
        </w:rPr>
        <w:t>not rule on the merits.</w:t>
      </w:r>
    </w:p>
    <w:p>
      <w:pPr>
        <w:pStyle w:val="Normal"/>
        <w:numPr>
          <w:ilvl w:val="0"/>
          <w:numId w:val="152"/>
        </w:numPr>
        <w:tabs>
          <w:tab w:val="clear" w:pos="720"/>
          <w:tab w:val="left" w:pos="1800" w:leader="none"/>
          <w:tab w:val="left" w:pos="7740" w:leader="none"/>
        </w:tabs>
        <w:ind w:hanging="360" w:start="1800" w:end="0"/>
        <w:rPr>
          <w:rFonts w:ascii="Arial" w:hAnsi="Arial" w:cs="Arial"/>
          <w:sz w:val="24"/>
        </w:rPr>
      </w:pPr>
      <w:r>
        <w:rPr>
          <w:rFonts w:cs="Arial" w:ascii="Arial" w:hAnsi="Arial"/>
          <w:sz w:val="24"/>
        </w:rPr>
        <w:t>The regulatory body’s motion to overturn the suspension was denied on October 2, 2000; however, the regulatory body refused to accept the suspension.</w:t>
      </w:r>
    </w:p>
    <w:p>
      <w:pPr>
        <w:pStyle w:val="Normal"/>
        <w:numPr>
          <w:ilvl w:val="0"/>
          <w:numId w:val="150"/>
        </w:numPr>
        <w:tabs>
          <w:tab w:val="clear" w:pos="720"/>
          <w:tab w:val="left" w:pos="1800" w:leader="none"/>
          <w:tab w:val="left" w:pos="7740" w:leader="none"/>
        </w:tabs>
        <w:ind w:hanging="360" w:start="1800" w:end="0"/>
        <w:rPr>
          <w:rFonts w:ascii="Arial" w:hAnsi="Arial" w:cs="Arial"/>
          <w:sz w:val="24"/>
        </w:rPr>
      </w:pPr>
      <w:r>
        <w:rPr>
          <w:rFonts w:cs="Arial" w:ascii="Arial" w:hAnsi="Arial"/>
          <w:sz w:val="24"/>
        </w:rPr>
        <w:t>On October 6, 2000, EGEMINSA filed a contempt of court proceeding to enforce the supreme court suspension of this resolution.</w:t>
      </w:r>
    </w:p>
    <w:p>
      <w:pPr>
        <w:pStyle w:val="Normal"/>
        <w:numPr>
          <w:ilvl w:val="0"/>
          <w:numId w:val="49"/>
        </w:numPr>
        <w:tabs>
          <w:tab w:val="clear" w:pos="720"/>
          <w:tab w:val="left" w:pos="1800" w:leader="none"/>
          <w:tab w:val="left" w:pos="7740" w:leader="none"/>
        </w:tabs>
        <w:ind w:hanging="360" w:start="1800" w:end="0"/>
        <w:rPr>
          <w:rFonts w:ascii="Arial" w:hAnsi="Arial" w:cs="Arial"/>
          <w:sz w:val="24"/>
        </w:rPr>
      </w:pPr>
      <w:r>
        <w:rPr>
          <w:rFonts w:cs="Arial" w:ascii="Arial" w:hAnsi="Arial"/>
          <w:sz w:val="24"/>
        </w:rPr>
        <w:t xml:space="preserve">In a separate arbitration proceeding before </w:t>
      </w:r>
      <w:r>
        <w:rPr>
          <w:rFonts w:cs="Arial" w:ascii="Arial" w:hAnsi="Arial"/>
          <w:b/>
          <w:bCs/>
          <w:sz w:val="24"/>
        </w:rPr>
        <w:t xml:space="preserve">ENTE, </w:t>
      </w:r>
      <w:r>
        <w:rPr>
          <w:rFonts w:cs="Arial" w:ascii="Arial" w:hAnsi="Arial"/>
          <w:sz w:val="24"/>
        </w:rPr>
        <w:t xml:space="preserve">a regulatory body, EGEMINSA has filed a $17 million claim against Empresa de Distribucion Electrica Metro-Oeste, a counterparty to its Power Purchase Agreement claiming that the parties’ agreement requires that they use good faith to restore the economic equilibrium of their contract and that Empresa de Distribucion did not </w:t>
      </w:r>
      <w:r>
        <w:rPr>
          <w:rFonts w:cs="Arial" w:ascii="Arial" w:hAnsi="Arial"/>
          <w:b/>
          <w:bCs/>
          <w:sz w:val="24"/>
        </w:rPr>
        <w:t xml:space="preserve">do </w:t>
      </w:r>
      <w:r>
        <w:rPr>
          <w:rFonts w:cs="Arial" w:ascii="Arial" w:hAnsi="Arial"/>
          <w:sz w:val="24"/>
        </w:rPr>
        <w:t xml:space="preserve">so after the resolutions described above </w:t>
      </w:r>
      <w:r>
        <w:rPr>
          <w:rFonts w:cs="Arial" w:ascii="Arial" w:hAnsi="Arial"/>
          <w:b/>
          <w:bCs/>
          <w:sz w:val="24"/>
        </w:rPr>
        <w:t xml:space="preserve">were enacted which </w:t>
      </w:r>
      <w:r>
        <w:rPr>
          <w:rFonts w:cs="Arial" w:ascii="Arial" w:hAnsi="Arial"/>
          <w:sz w:val="24"/>
        </w:rPr>
        <w:t>altered this equilibrium.  The claim seeks restoration of the economic</w:t>
      </w:r>
      <w:r>
        <w:rPr>
          <w:rFonts w:cs="Arial" w:ascii="Arial" w:hAnsi="Arial"/>
          <w:b/>
          <w:bCs/>
          <w:sz w:val="24"/>
        </w:rPr>
        <w:t xml:space="preserve"> </w:t>
      </w:r>
      <w:r>
        <w:rPr>
          <w:rFonts w:cs="Arial" w:ascii="Arial" w:hAnsi="Arial"/>
          <w:sz w:val="24"/>
        </w:rPr>
        <w:t xml:space="preserve">equilibrium altered by these resolutions.  </w:t>
      </w:r>
      <w:r>
        <w:rPr>
          <w:rFonts w:cs="Arial" w:ascii="Arial" w:hAnsi="Arial"/>
          <w:b/>
          <w:bCs/>
          <w:sz w:val="24"/>
        </w:rPr>
        <w:t>The arbitration is at the final pleadings phase</w:t>
      </w:r>
      <w:r>
        <w:rPr>
          <w:rFonts w:cs="Arial" w:ascii="Arial" w:hAnsi="Arial"/>
          <w:sz w:val="24"/>
        </w:rPr>
        <w:t xml:space="preserve"> </w:t>
      </w:r>
      <w:r>
        <w:rPr>
          <w:rFonts w:cs="Arial" w:ascii="Arial" w:hAnsi="Arial"/>
          <w:b/>
          <w:bCs/>
          <w:sz w:val="24"/>
        </w:rPr>
        <w:t>and a request for a final decision was made.</w:t>
      </w:r>
    </w:p>
    <w:p>
      <w:pPr>
        <w:pStyle w:val="Normal"/>
        <w:numPr>
          <w:ilvl w:val="0"/>
          <w:numId w:val="49"/>
        </w:numPr>
        <w:tabs>
          <w:tab w:val="clear" w:pos="720"/>
          <w:tab w:val="left" w:pos="1800" w:leader="none"/>
          <w:tab w:val="left" w:pos="7740" w:leader="none"/>
        </w:tabs>
        <w:ind w:hanging="360" w:start="1800" w:end="0"/>
        <w:rPr>
          <w:rFonts w:ascii="Arial" w:hAnsi="Arial" w:cs="Arial"/>
          <w:sz w:val="24"/>
        </w:rPr>
      </w:pPr>
      <w:r>
        <w:rPr>
          <w:rFonts w:cs="Arial" w:ascii="Arial" w:hAnsi="Arial"/>
          <w:b/>
          <w:bCs/>
          <w:sz w:val="24"/>
        </w:rPr>
        <w:t xml:space="preserve">Rather than rule on the merits, ENTE withdrew from the case.  </w:t>
      </w:r>
    </w:p>
    <w:p>
      <w:pPr>
        <w:pStyle w:val="Normal"/>
        <w:numPr>
          <w:ilvl w:val="0"/>
          <w:numId w:val="49"/>
        </w:numPr>
        <w:tabs>
          <w:tab w:val="clear" w:pos="720"/>
          <w:tab w:val="left" w:pos="1800" w:leader="none"/>
          <w:tab w:val="left" w:pos="7740" w:leader="none"/>
        </w:tabs>
        <w:ind w:hanging="360" w:start="1800" w:end="0"/>
        <w:rPr>
          <w:rFonts w:ascii="Arial" w:hAnsi="Arial" w:cs="Arial"/>
          <w:b/>
          <w:bCs/>
          <w:sz w:val="24"/>
        </w:rPr>
      </w:pPr>
      <w:r>
        <w:rPr>
          <w:rFonts w:cs="Arial" w:ascii="Arial" w:hAnsi="Arial"/>
          <w:b/>
          <w:bCs/>
          <w:sz w:val="24"/>
        </w:rPr>
        <w:t xml:space="preserve">On January 3, 2001, EGEMINSA filed a petition for reconsideration requesting the Regulator to determine who will decide the case after ENTE’s withdrawal. </w:t>
      </w:r>
    </w:p>
    <w:p>
      <w:pPr>
        <w:pStyle w:val="Normal"/>
        <w:tabs>
          <w:tab w:val="clear" w:pos="720"/>
          <w:tab w:val="left" w:pos="7740" w:leader="none"/>
        </w:tabs>
        <w:ind w:start="1440" w:end="0"/>
        <w:rPr>
          <w:rFonts w:ascii="Arial" w:hAnsi="Arial" w:cs="Arial"/>
          <w:b/>
          <w:bCs/>
          <w:sz w:val="24"/>
        </w:rPr>
      </w:pPr>
      <w:r>
        <w:rPr>
          <w:rFonts w:cs="Arial" w:ascii="Arial" w:hAnsi="Arial"/>
          <w:b/>
          <w:bCs/>
          <w:sz w:val="24"/>
        </w:rPr>
      </w:r>
    </w:p>
    <w:p>
      <w:pPr>
        <w:pStyle w:val="Normal"/>
        <w:tabs>
          <w:tab w:val="clear" w:pos="720"/>
          <w:tab w:val="left" w:pos="540" w:leader="none"/>
        </w:tabs>
        <w:ind w:hanging="540" w:start="540" w:end="0"/>
        <w:rPr>
          <w:rFonts w:ascii="Arial" w:hAnsi="Arial" w:cs="Arial"/>
          <w:sz w:val="24"/>
        </w:rPr>
      </w:pPr>
      <w:r>
        <w:rPr>
          <w:rFonts w:cs="Arial" w:ascii="Arial" w:hAnsi="Arial"/>
          <w:sz w:val="24"/>
        </w:rPr>
      </w:r>
    </w:p>
    <w:p>
      <w:pPr>
        <w:pStyle w:val="BodyText"/>
        <w:keepNext w:val="true"/>
        <w:keepLines/>
        <w:jc w:val="start"/>
        <w:rPr>
          <w:b/>
          <w:sz w:val="28"/>
          <w:u w:val="single"/>
        </w:rPr>
      </w:pPr>
      <w:r>
        <w:rPr>
          <w:b/>
          <w:sz w:val="28"/>
          <w:u w:val="single"/>
        </w:rPr>
        <w:t>PHILIPPINES</w:t>
      </w:r>
    </w:p>
    <w:p>
      <w:pPr>
        <w:pStyle w:val="BodyText"/>
        <w:keepNext w:val="true"/>
        <w:keepLines/>
        <w:jc w:val="center"/>
        <w:rPr>
          <w:b/>
          <w:sz w:val="28"/>
          <w:u w:val="single"/>
        </w:rPr>
      </w:pPr>
      <w:r>
        <w:rPr>
          <w:b/>
          <w:sz w:val="28"/>
          <w:u w:val="single"/>
        </w:rPr>
      </w:r>
    </w:p>
    <w:p>
      <w:pPr>
        <w:pStyle w:val="BodyText"/>
        <w:keepNext w:val="true"/>
        <w:keepLines/>
        <w:numPr>
          <w:ilvl w:val="0"/>
          <w:numId w:val="116"/>
        </w:numPr>
        <w:jc w:val="start"/>
        <w:rPr>
          <w:b/>
          <w:sz w:val="28"/>
          <w:u w:val="single"/>
        </w:rPr>
      </w:pPr>
      <w:r>
        <w:rPr>
          <w:b/>
          <w:sz w:val="28"/>
          <w:u w:val="single"/>
        </w:rPr>
        <w:t>Batangas Power Corp.</w:t>
      </w:r>
    </w:p>
    <w:p>
      <w:pPr>
        <w:pStyle w:val="BodyText"/>
        <w:keepNext w:val="true"/>
        <w:keepLines/>
        <w:jc w:val="center"/>
        <w:rPr>
          <w:b/>
          <w:sz w:val="26"/>
          <w:u w:val="single"/>
        </w:rPr>
      </w:pPr>
      <w:r>
        <w:rPr>
          <w:b/>
          <w:sz w:val="26"/>
          <w:u w:val="single"/>
        </w:rPr>
      </w:r>
    </w:p>
    <w:p>
      <w:pPr>
        <w:pStyle w:val="BodyText"/>
        <w:keepNext w:val="true"/>
        <w:keepLines/>
        <w:ind w:start="720" w:end="0"/>
        <w:jc w:val="start"/>
        <w:rPr>
          <w:b/>
        </w:rPr>
      </w:pPr>
      <w:r>
        <w:rPr>
          <w:b/>
        </w:rPr>
        <w:t>I.</w:t>
        <w:tab/>
        <w:t>LITIGATION/ARBITRATION</w:t>
      </w:r>
    </w:p>
    <w:p>
      <w:pPr>
        <w:pStyle w:val="Normal"/>
        <w:tabs>
          <w:tab w:val="clear" w:pos="720"/>
          <w:tab w:val="left" w:pos="1170" w:leader="none"/>
          <w:tab w:val="left" w:pos="1440" w:leader="none"/>
          <w:tab w:val="left" w:pos="7740" w:leader="none"/>
          <w:tab w:val="left" w:pos="8370" w:leader="none"/>
        </w:tabs>
        <w:ind w:start="720" w:end="0"/>
        <w:rPr>
          <w:rFonts w:ascii="Arial" w:hAnsi="Arial" w:cs="Arial"/>
          <w:b/>
          <w:sz w:val="24"/>
        </w:rPr>
      </w:pPr>
      <w:r>
        <w:rPr>
          <w:rFonts w:cs="Arial" w:ascii="Arial" w:hAnsi="Arial"/>
          <w:b/>
          <w:sz w:val="24"/>
        </w:rPr>
      </w:r>
    </w:p>
    <w:p>
      <w:pPr>
        <w:pStyle w:val="Normal"/>
        <w:tabs>
          <w:tab w:val="clear" w:pos="720"/>
          <w:tab w:val="left" w:pos="7740" w:leader="none"/>
        </w:tabs>
        <w:ind w:start="1440" w:end="0"/>
        <w:rPr/>
      </w:pPr>
      <w:r>
        <w:rPr>
          <w:rFonts w:cs="Arial" w:ascii="Arial" w:hAnsi="Arial"/>
          <w:b/>
          <w:sz w:val="24"/>
          <w:u w:val="single"/>
        </w:rPr>
        <w:t>Batangas Power Corp. v. Batangas City et al.</w:t>
      </w:r>
      <w:r>
        <w:rPr>
          <w:rFonts w:cs="Arial" w:ascii="Arial" w:hAnsi="Arial"/>
          <w:b/>
          <w:sz w:val="24"/>
        </w:rPr>
        <w:tab/>
        <w:t>(Not Updated)</w:t>
      </w:r>
    </w:p>
    <w:p>
      <w:pPr>
        <w:pStyle w:val="Normal"/>
        <w:tabs>
          <w:tab w:val="clear" w:pos="720"/>
          <w:tab w:val="left" w:pos="7740" w:leader="none"/>
        </w:tabs>
        <w:ind w:start="1440" w:end="0"/>
        <w:rPr>
          <w:rFonts w:ascii="Arial" w:hAnsi="Arial" w:cs="Arial"/>
          <w:sz w:val="24"/>
        </w:rPr>
      </w:pPr>
      <w:r>
        <w:rPr>
          <w:rFonts w:cs="Arial" w:ascii="Arial" w:hAnsi="Arial"/>
          <w:sz w:val="24"/>
        </w:rPr>
        <w:t xml:space="preserve">(Regional Trial Court, Makati City) (Arthur Autea/Baker &amp; McKenzie) (PHP34,551,543/US$834,578) </w:t>
      </w:r>
    </w:p>
    <w:p>
      <w:pPr>
        <w:pStyle w:val="Normal"/>
        <w:tabs>
          <w:tab w:val="clear" w:pos="720"/>
          <w:tab w:val="left" w:pos="1170" w:leader="none"/>
          <w:tab w:val="left" w:pos="1440" w:leader="none"/>
          <w:tab w:val="left" w:pos="7740" w:leader="none"/>
          <w:tab w:val="left" w:pos="8370" w:leader="none"/>
        </w:tabs>
        <w:ind w:start="1440" w:end="0"/>
        <w:rPr>
          <w:rFonts w:ascii="Arial" w:hAnsi="Arial" w:cs="Arial"/>
          <w:sz w:val="24"/>
        </w:rPr>
      </w:pPr>
      <w:r>
        <w:rPr>
          <w:rFonts w:cs="Arial" w:ascii="Arial" w:hAnsi="Arial"/>
          <w:sz w:val="24"/>
        </w:rPr>
      </w:r>
    </w:p>
    <w:p>
      <w:pPr>
        <w:pStyle w:val="Normal"/>
        <w:numPr>
          <w:ilvl w:val="0"/>
          <w:numId w:val="11"/>
        </w:numPr>
        <w:tabs>
          <w:tab w:val="clear" w:pos="720"/>
          <w:tab w:val="left" w:pos="1080" w:leader="none"/>
        </w:tabs>
        <w:ind w:hanging="360" w:start="1800" w:end="0"/>
        <w:rPr>
          <w:rFonts w:ascii="Arial" w:hAnsi="Arial" w:cs="Arial"/>
          <w:sz w:val="24"/>
        </w:rPr>
      </w:pPr>
      <w:r>
        <w:rPr>
          <w:rFonts w:cs="Arial" w:ascii="Arial" w:hAnsi="Arial"/>
          <w:sz w:val="24"/>
        </w:rPr>
        <w:t>The City of Batangas claims BPC owes business taxes, penalties, and other related charges.</w:t>
      </w:r>
    </w:p>
    <w:p>
      <w:pPr>
        <w:pStyle w:val="Normal"/>
        <w:numPr>
          <w:ilvl w:val="0"/>
          <w:numId w:val="11"/>
        </w:numPr>
        <w:tabs>
          <w:tab w:val="clear" w:pos="720"/>
          <w:tab w:val="left" w:pos="1080" w:leader="none"/>
        </w:tabs>
        <w:ind w:hanging="360" w:start="1800" w:end="0"/>
        <w:rPr>
          <w:rFonts w:ascii="Arial" w:hAnsi="Arial" w:cs="Arial"/>
          <w:sz w:val="24"/>
        </w:rPr>
      </w:pPr>
      <w:r>
        <w:rPr>
          <w:rFonts w:cs="Arial" w:ascii="Arial" w:hAnsi="Arial"/>
          <w:sz w:val="24"/>
        </w:rPr>
        <w:t>BPC claims the tax is not owed and, even if owed, it is owed by National Power Corporation ("NPC") under an agreement between NPC and BPC.</w:t>
      </w:r>
    </w:p>
    <w:p>
      <w:pPr>
        <w:pStyle w:val="Normal"/>
        <w:numPr>
          <w:ilvl w:val="0"/>
          <w:numId w:val="11"/>
        </w:numPr>
        <w:tabs>
          <w:tab w:val="clear" w:pos="720"/>
          <w:tab w:val="left" w:pos="1080" w:leader="none"/>
        </w:tabs>
        <w:ind w:hanging="360" w:start="1800" w:end="0"/>
        <w:rPr>
          <w:rFonts w:ascii="Arial" w:hAnsi="Arial" w:cs="Arial"/>
          <w:sz w:val="24"/>
        </w:rPr>
      </w:pPr>
      <w:r>
        <w:rPr>
          <w:rFonts w:cs="Arial" w:ascii="Arial" w:hAnsi="Arial"/>
          <w:sz w:val="24"/>
        </w:rPr>
        <w:t>NPC has acknowledged liability for the tax but has refused to pay it because it claims that its charter exempts it from paying taxes.</w:t>
      </w:r>
    </w:p>
    <w:p>
      <w:pPr>
        <w:pStyle w:val="Normal"/>
        <w:numPr>
          <w:ilvl w:val="0"/>
          <w:numId w:val="11"/>
        </w:numPr>
        <w:tabs>
          <w:tab w:val="clear" w:pos="720"/>
          <w:tab w:val="left" w:pos="1080" w:leader="none"/>
        </w:tabs>
        <w:ind w:hanging="360" w:start="1800" w:end="0"/>
        <w:rPr>
          <w:rFonts w:ascii="Arial" w:hAnsi="Arial" w:cs="Arial"/>
          <w:sz w:val="24"/>
        </w:rPr>
      </w:pPr>
      <w:r>
        <w:rPr>
          <w:rFonts w:cs="Arial" w:ascii="Arial" w:hAnsi="Arial"/>
          <w:sz w:val="24"/>
        </w:rPr>
        <w:t>BPC filed a claim for declaratory relief seeking a declaration that: (I) NPC is exempt from taxes; and (2) the City's tax is an indirect tax.</w:t>
      </w:r>
    </w:p>
    <w:p>
      <w:pPr>
        <w:pStyle w:val="Normal"/>
        <w:numPr>
          <w:ilvl w:val="0"/>
          <w:numId w:val="11"/>
        </w:numPr>
        <w:tabs>
          <w:tab w:val="clear" w:pos="720"/>
          <w:tab w:val="left" w:pos="1080" w:leader="none"/>
        </w:tabs>
        <w:ind w:hanging="360" w:start="1800" w:end="0"/>
        <w:rPr>
          <w:rFonts w:ascii="Arial" w:hAnsi="Arial" w:cs="Arial"/>
          <w:sz w:val="24"/>
        </w:rPr>
      </w:pPr>
      <w:r>
        <w:rPr>
          <w:rFonts w:cs="Arial" w:ascii="Arial" w:hAnsi="Arial"/>
          <w:sz w:val="24"/>
        </w:rPr>
        <w:t>BPC has amended its petition and has added a claim for injunctive relief based on the City's failure to issue a permit to BPC based on BPC's refusal to pay the tax in question.</w:t>
      </w:r>
    </w:p>
    <w:p>
      <w:pPr>
        <w:pStyle w:val="Normal"/>
        <w:numPr>
          <w:ilvl w:val="0"/>
          <w:numId w:val="11"/>
        </w:numPr>
        <w:tabs>
          <w:tab w:val="clear" w:pos="720"/>
          <w:tab w:val="left" w:pos="1080" w:leader="none"/>
        </w:tabs>
        <w:ind w:hanging="360" w:start="1800" w:end="0"/>
        <w:rPr>
          <w:rFonts w:ascii="Arial" w:hAnsi="Arial" w:cs="Arial"/>
          <w:sz w:val="24"/>
        </w:rPr>
      </w:pPr>
      <w:r>
        <w:rPr>
          <w:rFonts w:cs="Arial" w:ascii="Arial" w:hAnsi="Arial"/>
          <w:sz w:val="24"/>
        </w:rPr>
        <w:t>The City has opposed BPC's amended petition.  BPC has replied to this opposition.  We await the court's decision on the City's motion to dismiss BPC's amended petition.</w:t>
      </w:r>
    </w:p>
    <w:p>
      <w:pPr>
        <w:pStyle w:val="Normal"/>
        <w:tabs>
          <w:tab w:val="clear" w:pos="720"/>
          <w:tab w:val="left" w:pos="540" w:leader="none"/>
        </w:tabs>
        <w:ind w:hanging="540" w:start="1260" w:end="0"/>
        <w:rPr>
          <w:rFonts w:ascii="Arial" w:hAnsi="Arial" w:cs="Arial"/>
          <w:sz w:val="24"/>
        </w:rPr>
      </w:pPr>
      <w:r>
        <w:rPr>
          <w:rFonts w:cs="Arial" w:ascii="Arial" w:hAnsi="Arial"/>
          <w:sz w:val="24"/>
        </w:rPr>
      </w:r>
    </w:p>
    <w:p>
      <w:pPr>
        <w:pStyle w:val="Normal"/>
        <w:tabs>
          <w:tab w:val="clear" w:pos="720"/>
          <w:tab w:val="left" w:pos="540" w:leader="none"/>
        </w:tabs>
        <w:ind w:hanging="540" w:start="1260" w:end="0"/>
        <w:rPr>
          <w:rFonts w:ascii="Arial" w:hAnsi="Arial" w:cs="Arial"/>
          <w:sz w:val="24"/>
        </w:rPr>
      </w:pPr>
      <w:r>
        <w:rPr>
          <w:rFonts w:cs="Arial" w:ascii="Arial" w:hAnsi="Arial"/>
          <w:sz w:val="24"/>
        </w:rPr>
      </w:r>
    </w:p>
    <w:p>
      <w:pPr>
        <w:pStyle w:val="BodyText"/>
        <w:keepNext w:val="true"/>
        <w:keepLines/>
        <w:numPr>
          <w:ilvl w:val="0"/>
          <w:numId w:val="116"/>
        </w:numPr>
        <w:jc w:val="start"/>
        <w:rPr>
          <w:b/>
          <w:sz w:val="28"/>
          <w:u w:val="single"/>
        </w:rPr>
      </w:pPr>
      <w:r>
        <w:rPr>
          <w:b/>
          <w:sz w:val="28"/>
          <w:u w:val="single"/>
        </w:rPr>
        <w:t>Subic Power Corp.</w:t>
      </w:r>
    </w:p>
    <w:p>
      <w:pPr>
        <w:pStyle w:val="Normal"/>
        <w:tabs>
          <w:tab w:val="clear" w:pos="720"/>
          <w:tab w:val="left" w:pos="540" w:leader="none"/>
        </w:tabs>
        <w:ind w:hanging="540" w:start="540" w:end="0"/>
        <w:rPr>
          <w:rFonts w:ascii="Arial" w:hAnsi="Arial" w:cs="Arial"/>
          <w:b/>
          <w:sz w:val="24"/>
          <w:u w:val="single"/>
        </w:rPr>
      </w:pPr>
      <w:r>
        <w:rPr>
          <w:rFonts w:cs="Arial" w:ascii="Arial" w:hAnsi="Arial"/>
          <w:b/>
          <w:sz w:val="24"/>
          <w:u w:val="single"/>
        </w:rPr>
      </w:r>
    </w:p>
    <w:p>
      <w:pPr>
        <w:pStyle w:val="BodyText"/>
        <w:keepNext w:val="true"/>
        <w:keepLines/>
        <w:ind w:start="720" w:end="0"/>
        <w:jc w:val="start"/>
        <w:rPr>
          <w:b/>
        </w:rPr>
      </w:pPr>
      <w:r>
        <w:rPr>
          <w:b/>
        </w:rPr>
        <w:t>I.</w:t>
        <w:tab/>
        <w:t>LITIGATION/ARBITRATION</w:t>
      </w:r>
    </w:p>
    <w:p>
      <w:pPr>
        <w:pStyle w:val="Normal"/>
        <w:tabs>
          <w:tab w:val="clear" w:pos="720"/>
          <w:tab w:val="left" w:pos="540" w:leader="none"/>
        </w:tabs>
        <w:ind w:start="1440" w:end="0"/>
        <w:rPr>
          <w:rFonts w:ascii="Arial" w:hAnsi="Arial" w:cs="Arial"/>
          <w:b/>
          <w:sz w:val="24"/>
        </w:rPr>
      </w:pPr>
      <w:r>
        <w:rPr>
          <w:rFonts w:cs="Arial" w:ascii="Arial" w:hAnsi="Arial"/>
          <w:b/>
          <w:sz w:val="24"/>
        </w:rPr>
      </w:r>
    </w:p>
    <w:p>
      <w:pPr>
        <w:pStyle w:val="Normal"/>
        <w:tabs>
          <w:tab w:val="clear" w:pos="720"/>
          <w:tab w:val="left" w:pos="7740" w:leader="none"/>
        </w:tabs>
        <w:ind w:start="1440" w:end="0"/>
        <w:rPr/>
      </w:pPr>
      <w:r>
        <w:rPr>
          <w:rFonts w:cs="Arial" w:ascii="Arial" w:hAnsi="Arial"/>
          <w:b/>
          <w:sz w:val="24"/>
          <w:u w:val="single"/>
        </w:rPr>
        <w:t>Subic Power Corp. Tax Cases</w:t>
      </w:r>
      <w:r>
        <w:rPr>
          <w:rFonts w:cs="Arial" w:ascii="Arial" w:hAnsi="Arial"/>
          <w:b/>
          <w:sz w:val="24"/>
        </w:rPr>
        <w:tab/>
        <w:t>(Not Updated)</w:t>
      </w:r>
    </w:p>
    <w:p>
      <w:pPr>
        <w:pStyle w:val="Normal"/>
        <w:tabs>
          <w:tab w:val="clear" w:pos="720"/>
          <w:tab w:val="left" w:pos="1800" w:leader="none"/>
          <w:tab w:val="left" w:pos="7740" w:leader="none"/>
        </w:tabs>
        <w:ind w:start="1440" w:end="0"/>
        <w:rPr>
          <w:rFonts w:ascii="Arial" w:hAnsi="Arial" w:cs="Arial"/>
          <w:sz w:val="24"/>
        </w:rPr>
      </w:pPr>
      <w:r>
        <w:rPr>
          <w:rFonts w:cs="Arial" w:ascii="Arial" w:hAnsi="Arial"/>
          <w:sz w:val="24"/>
        </w:rPr>
        <w:t>(Philippine Court of Tax Appeals) (Mike Montero) (approximately $2.4 million)</w:t>
      </w:r>
    </w:p>
    <w:p>
      <w:pPr>
        <w:pStyle w:val="Normal"/>
        <w:tabs>
          <w:tab w:val="clear" w:pos="720"/>
          <w:tab w:val="left" w:pos="1800" w:leader="none"/>
          <w:tab w:val="left" w:pos="7740" w:leader="none"/>
        </w:tabs>
        <w:ind w:start="1440" w:end="0"/>
        <w:rPr>
          <w:rFonts w:ascii="Arial" w:hAnsi="Arial" w:cs="Arial"/>
          <w:sz w:val="24"/>
        </w:rPr>
      </w:pPr>
      <w:r>
        <w:rPr>
          <w:rFonts w:cs="Arial" w:ascii="Arial" w:hAnsi="Arial"/>
          <w:sz w:val="24"/>
        </w:rPr>
      </w:r>
    </w:p>
    <w:p>
      <w:pPr>
        <w:pStyle w:val="Normal"/>
        <w:numPr>
          <w:ilvl w:val="0"/>
          <w:numId w:val="75"/>
        </w:numPr>
        <w:tabs>
          <w:tab w:val="clear" w:pos="720"/>
          <w:tab w:val="left" w:pos="1800" w:leader="none"/>
          <w:tab w:val="left" w:pos="7740" w:leader="none"/>
        </w:tabs>
        <w:ind w:hanging="360" w:start="1800" w:end="0"/>
        <w:rPr>
          <w:rFonts w:ascii="Arial" w:hAnsi="Arial" w:cs="Arial"/>
          <w:sz w:val="24"/>
        </w:rPr>
      </w:pPr>
      <w:r>
        <w:rPr>
          <w:rFonts w:cs="Arial" w:ascii="Arial" w:hAnsi="Arial"/>
          <w:b/>
          <w:bCs/>
          <w:sz w:val="24"/>
        </w:rPr>
        <w:t xml:space="preserve">In four separate lawsuits, </w:t>
      </w:r>
      <w:r>
        <w:rPr>
          <w:rFonts w:cs="Arial" w:ascii="Arial" w:hAnsi="Arial"/>
          <w:sz w:val="24"/>
        </w:rPr>
        <w:t>Subic Power Corp. is contesting the government’s attempts to assess taxes, interest, surcharges and penalties relating to the construction of the Subic plant to various companies affiliated with Enron.</w:t>
      </w:r>
    </w:p>
    <w:p>
      <w:pPr>
        <w:pStyle w:val="Normal"/>
        <w:numPr>
          <w:ilvl w:val="0"/>
          <w:numId w:val="75"/>
        </w:numPr>
        <w:tabs>
          <w:tab w:val="clear" w:pos="720"/>
          <w:tab w:val="left" w:pos="1800" w:leader="none"/>
          <w:tab w:val="left" w:pos="7740" w:leader="none"/>
        </w:tabs>
        <w:ind w:hanging="360" w:start="1800" w:end="0"/>
        <w:rPr>
          <w:rFonts w:ascii="Arial" w:hAnsi="Arial" w:cs="Arial"/>
          <w:sz w:val="24"/>
        </w:rPr>
      </w:pPr>
      <w:r>
        <w:rPr>
          <w:rFonts w:cs="Arial" w:ascii="Arial" w:hAnsi="Arial"/>
          <w:b/>
          <w:bCs/>
          <w:sz w:val="24"/>
        </w:rPr>
        <w:t>Each case is at a different stage in the discovery process.</w:t>
      </w:r>
    </w:p>
    <w:p>
      <w:pPr>
        <w:pStyle w:val="Normal"/>
        <w:tabs>
          <w:tab w:val="clear" w:pos="720"/>
          <w:tab w:val="left" w:pos="540" w:leader="none"/>
        </w:tabs>
        <w:ind w:hanging="540" w:start="1260" w:end="0"/>
        <w:rPr>
          <w:rFonts w:ascii="Arial" w:hAnsi="Arial" w:cs="Arial"/>
          <w:sz w:val="24"/>
        </w:rPr>
      </w:pPr>
      <w:r>
        <w:rPr>
          <w:rFonts w:cs="Arial" w:ascii="Arial" w:hAnsi="Arial"/>
          <w:sz w:val="24"/>
        </w:rPr>
      </w:r>
    </w:p>
    <w:p>
      <w:pPr>
        <w:pStyle w:val="Normal"/>
        <w:tabs>
          <w:tab w:val="clear" w:pos="720"/>
          <w:tab w:val="left" w:pos="540" w:leader="none"/>
        </w:tabs>
        <w:ind w:hanging="540" w:start="1260" w:end="0"/>
        <w:rPr>
          <w:rFonts w:ascii="Arial" w:hAnsi="Arial" w:cs="Arial"/>
          <w:sz w:val="24"/>
        </w:rPr>
      </w:pPr>
      <w:r>
        <w:rPr>
          <w:rFonts w:cs="Arial" w:ascii="Arial" w:hAnsi="Arial"/>
          <w:sz w:val="24"/>
        </w:rPr>
      </w:r>
    </w:p>
    <w:p>
      <w:pPr>
        <w:pStyle w:val="Normal"/>
        <w:tabs>
          <w:tab w:val="clear" w:pos="720"/>
          <w:tab w:val="left" w:pos="540" w:leader="none"/>
        </w:tabs>
        <w:ind w:hanging="540" w:start="1260" w:end="0"/>
        <w:rPr>
          <w:rFonts w:ascii="Arial" w:hAnsi="Arial" w:cs="Arial"/>
          <w:sz w:val="24"/>
        </w:rPr>
      </w:pPr>
      <w:r>
        <w:rPr>
          <w:rFonts w:cs="Arial" w:ascii="Arial" w:hAnsi="Arial"/>
          <w:sz w:val="24"/>
        </w:rPr>
      </w:r>
    </w:p>
    <w:p>
      <w:pPr>
        <w:pStyle w:val="Normal"/>
        <w:tabs>
          <w:tab w:val="clear" w:pos="720"/>
          <w:tab w:val="left" w:pos="540" w:leader="none"/>
        </w:tabs>
        <w:ind w:hanging="540" w:start="1260" w:end="0"/>
        <w:rPr>
          <w:rFonts w:ascii="Arial" w:hAnsi="Arial" w:cs="Arial"/>
          <w:sz w:val="24"/>
        </w:rPr>
      </w:pPr>
      <w:r>
        <w:rPr>
          <w:rFonts w:cs="Arial" w:ascii="Arial" w:hAnsi="Arial"/>
          <w:sz w:val="24"/>
        </w:rPr>
      </w:r>
    </w:p>
    <w:p>
      <w:pPr>
        <w:pStyle w:val="Normal"/>
        <w:tabs>
          <w:tab w:val="clear" w:pos="720"/>
          <w:tab w:val="left" w:pos="540" w:leader="none"/>
        </w:tabs>
        <w:ind w:hanging="540" w:start="1260" w:end="0"/>
        <w:rPr>
          <w:rFonts w:ascii="Arial" w:hAnsi="Arial" w:cs="Arial"/>
          <w:sz w:val="24"/>
        </w:rPr>
      </w:pPr>
      <w:r>
        <w:rPr>
          <w:rFonts w:cs="Arial" w:ascii="Arial" w:hAnsi="Arial"/>
          <w:sz w:val="24"/>
        </w:rPr>
      </w:r>
    </w:p>
    <w:p>
      <w:pPr>
        <w:pStyle w:val="Normal"/>
        <w:tabs>
          <w:tab w:val="clear" w:pos="720"/>
          <w:tab w:val="left" w:pos="540" w:leader="none"/>
        </w:tabs>
        <w:ind w:hanging="540" w:start="540" w:end="0"/>
        <w:rPr>
          <w:rFonts w:ascii="Arial" w:hAnsi="Arial" w:cs="Arial"/>
          <w:b/>
          <w:sz w:val="28"/>
          <w:u w:val="single"/>
        </w:rPr>
      </w:pPr>
      <w:r>
        <w:rPr>
          <w:rFonts w:cs="Arial" w:ascii="Arial" w:hAnsi="Arial"/>
          <w:b/>
          <w:sz w:val="28"/>
          <w:u w:val="single"/>
        </w:rPr>
        <w:t>PUERTO RICO</w:t>
      </w:r>
    </w:p>
    <w:p>
      <w:pPr>
        <w:pStyle w:val="Normal"/>
        <w:tabs>
          <w:tab w:val="clear" w:pos="720"/>
          <w:tab w:val="left" w:pos="540" w:leader="none"/>
        </w:tabs>
        <w:ind w:hanging="540" w:start="540" w:end="0"/>
        <w:rPr>
          <w:rFonts w:ascii="Arial" w:hAnsi="Arial" w:cs="Arial"/>
          <w:b/>
          <w:sz w:val="24"/>
          <w:u w:val="single"/>
        </w:rPr>
      </w:pPr>
      <w:r>
        <w:rPr>
          <w:rFonts w:cs="Arial" w:ascii="Arial" w:hAnsi="Arial"/>
          <w:b/>
          <w:sz w:val="24"/>
          <w:u w:val="single"/>
        </w:rPr>
      </w:r>
    </w:p>
    <w:p>
      <w:pPr>
        <w:pStyle w:val="BodyText"/>
        <w:keepNext w:val="true"/>
        <w:keepLines/>
        <w:numPr>
          <w:ilvl w:val="0"/>
          <w:numId w:val="13"/>
        </w:numPr>
        <w:tabs>
          <w:tab w:val="clear" w:pos="720"/>
          <w:tab w:val="left" w:pos="1800" w:leader="none"/>
        </w:tabs>
        <w:jc w:val="start"/>
        <w:rPr>
          <w:b/>
          <w:sz w:val="28"/>
          <w:u w:val="single"/>
        </w:rPr>
      </w:pPr>
      <w:r>
        <w:rPr>
          <w:b/>
          <w:sz w:val="28"/>
          <w:u w:val="single"/>
        </w:rPr>
        <w:t>Progasco, Inc.</w:t>
      </w:r>
    </w:p>
    <w:p>
      <w:pPr>
        <w:pStyle w:val="BodyText"/>
        <w:keepNext w:val="true"/>
        <w:keepLines/>
        <w:tabs>
          <w:tab w:val="clear" w:pos="720"/>
          <w:tab w:val="left" w:pos="1080" w:leader="none"/>
        </w:tabs>
        <w:ind w:hanging="360" w:start="1080" w:end="0"/>
        <w:jc w:val="start"/>
        <w:rPr>
          <w:b/>
          <w:sz w:val="28"/>
          <w:u w:val="single"/>
        </w:rPr>
      </w:pPr>
      <w:r>
        <w:rPr>
          <w:b/>
          <w:sz w:val="28"/>
          <w:u w:val="single"/>
        </w:rPr>
      </w:r>
    </w:p>
    <w:p>
      <w:pPr>
        <w:pStyle w:val="BodyText"/>
        <w:keepNext w:val="true"/>
        <w:keepLines/>
        <w:ind w:start="720" w:end="0"/>
        <w:jc w:val="start"/>
        <w:rPr>
          <w:b/>
        </w:rPr>
      </w:pPr>
      <w:r>
        <w:rPr>
          <w:b/>
        </w:rPr>
        <w:t>I.</w:t>
        <w:tab/>
        <w:t>LITIGATION/ARBITRATION</w:t>
      </w:r>
    </w:p>
    <w:p>
      <w:pPr>
        <w:pStyle w:val="BodyText"/>
        <w:keepNext w:val="true"/>
        <w:keepLines/>
        <w:tabs>
          <w:tab w:val="clear" w:pos="720"/>
          <w:tab w:val="left" w:pos="1080" w:leader="none"/>
        </w:tabs>
        <w:ind w:hanging="360" w:start="1800" w:end="0"/>
        <w:jc w:val="start"/>
        <w:rPr>
          <w:b/>
        </w:rPr>
      </w:pPr>
      <w:r>
        <w:rPr>
          <w:b/>
        </w:rPr>
      </w:r>
    </w:p>
    <w:p>
      <w:pPr>
        <w:pStyle w:val="Heading4"/>
        <w:keepNext w:val="false"/>
        <w:tabs>
          <w:tab w:val="clear" w:pos="720"/>
          <w:tab w:val="left" w:pos="7740" w:leader="none"/>
        </w:tabs>
        <w:ind w:hanging="0" w:start="1440" w:end="0"/>
        <w:jc w:val="start"/>
        <w:rPr/>
      </w:pPr>
      <w:r>
        <w:rPr>
          <w:b/>
        </w:rPr>
        <w:t>Puerto Rico Fuels, Inc. S.A. Gas Del Pueblo, Inc. v.</w:t>
      </w:r>
      <w:r>
        <w:rPr>
          <w:b/>
          <w:u w:val="none"/>
        </w:rPr>
        <w:t xml:space="preserve"> </w:t>
        <w:tab/>
        <w:t>(Updated)</w:t>
      </w:r>
    </w:p>
    <w:p>
      <w:pPr>
        <w:pStyle w:val="Heading4"/>
        <w:keepNext w:val="false"/>
        <w:tabs>
          <w:tab w:val="clear" w:pos="720"/>
          <w:tab w:val="left" w:pos="7740" w:leader="none"/>
          <w:tab w:val="left" w:pos="7920" w:leader="none"/>
        </w:tabs>
        <w:ind w:hanging="0" w:start="1440" w:end="0"/>
        <w:jc w:val="start"/>
        <w:rPr>
          <w:b/>
        </w:rPr>
      </w:pPr>
      <w:r>
        <w:rPr>
          <w:b/>
        </w:rPr>
        <w:t>Progasco, Inc. et al.</w:t>
      </w:r>
    </w:p>
    <w:p>
      <w:pPr>
        <w:pStyle w:val="BodyText"/>
        <w:tabs>
          <w:tab w:val="left" w:pos="720" w:leader="none"/>
          <w:tab w:val="left" w:pos="7740" w:leader="none"/>
        </w:tabs>
        <w:ind w:start="1440" w:end="0"/>
        <w:jc w:val="start"/>
        <w:rPr/>
      </w:pPr>
      <w:r>
        <w:rPr/>
        <w:t>(Superior Court of Puerto Rico) (Ramon Dapena/Goldman Antonetti &amp; Cordova) (Max Hendrick/Vinson &amp; Elkins) ($53 million)</w:t>
      </w:r>
    </w:p>
    <w:p>
      <w:pPr>
        <w:pStyle w:val="BodyText"/>
        <w:tabs>
          <w:tab w:val="left" w:pos="720" w:leader="none"/>
          <w:tab w:val="left" w:pos="7740" w:leader="none"/>
        </w:tabs>
        <w:ind w:start="1440" w:end="0"/>
        <w:jc w:val="start"/>
        <w:rPr/>
      </w:pPr>
      <w:r>
        <w:rPr/>
      </w:r>
    </w:p>
    <w:p>
      <w:pPr>
        <w:pStyle w:val="Normal"/>
        <w:numPr>
          <w:ilvl w:val="0"/>
          <w:numId w:val="129"/>
        </w:numPr>
        <w:tabs>
          <w:tab w:val="clear" w:pos="720"/>
          <w:tab w:val="left" w:pos="1800" w:leader="none"/>
          <w:tab w:val="left" w:pos="7740" w:leader="none"/>
        </w:tabs>
        <w:ind w:hanging="360" w:start="1800" w:end="0"/>
        <w:rPr>
          <w:rFonts w:ascii="Arial" w:hAnsi="Arial" w:cs="Arial"/>
          <w:sz w:val="24"/>
        </w:rPr>
      </w:pPr>
      <w:r>
        <w:rPr>
          <w:rFonts w:cs="Arial" w:ascii="Arial" w:hAnsi="Arial"/>
          <w:sz w:val="24"/>
        </w:rPr>
        <w:t xml:space="preserve">Plaintiffs filed this antitrust action alleging that defendants conspired to exclude them from the LPG market in Puerto Rico by price fixing, illegal boycotts, and unfair trade practices.  </w:t>
      </w:r>
    </w:p>
    <w:p>
      <w:pPr>
        <w:pStyle w:val="Normal"/>
        <w:numPr>
          <w:ilvl w:val="0"/>
          <w:numId w:val="113"/>
        </w:numPr>
        <w:tabs>
          <w:tab w:val="clear" w:pos="720"/>
          <w:tab w:val="left" w:pos="1800" w:leader="none"/>
          <w:tab w:val="left" w:pos="7740" w:leader="none"/>
        </w:tabs>
        <w:ind w:hanging="360" w:start="1800" w:end="0"/>
        <w:rPr>
          <w:rFonts w:ascii="Arial" w:hAnsi="Arial" w:cs="Arial"/>
          <w:sz w:val="24"/>
        </w:rPr>
      </w:pPr>
      <w:r>
        <w:rPr>
          <w:rFonts w:cs="Arial" w:ascii="Arial" w:hAnsi="Arial"/>
          <w:sz w:val="24"/>
        </w:rPr>
        <w:t>A settlement conference occurred on April 7, 2000.  The plaintiffs’ initial demand was $3,700,000.  The judge suggested a figure of $2,725,000 to the defendants.  The defendants offered approximately $150,000 to settle this matter.</w:t>
      </w:r>
    </w:p>
    <w:p>
      <w:pPr>
        <w:pStyle w:val="Normal"/>
        <w:numPr>
          <w:ilvl w:val="0"/>
          <w:numId w:val="113"/>
        </w:numPr>
        <w:tabs>
          <w:tab w:val="clear" w:pos="720"/>
          <w:tab w:val="left" w:pos="1800" w:leader="none"/>
          <w:tab w:val="left" w:pos="7740" w:leader="none"/>
        </w:tabs>
        <w:ind w:hanging="360" w:start="1800" w:end="0"/>
        <w:rPr>
          <w:rFonts w:ascii="Arial" w:hAnsi="Arial" w:cs="Arial"/>
          <w:sz w:val="24"/>
        </w:rPr>
      </w:pPr>
      <w:r>
        <w:rPr>
          <w:rFonts w:cs="Arial" w:ascii="Arial" w:hAnsi="Arial"/>
          <w:sz w:val="24"/>
        </w:rPr>
        <w:t>On May 4, the court conducted another settlement conference.  Settlement did not occur; however, the court dismissed Norvest, one of the plaintiffs, and set a discovery cut-off date for discovery pertaining to the plaintiffs’ summary judgment</w:t>
      </w:r>
      <w:r>
        <w:rPr>
          <w:rFonts w:cs="Arial" w:ascii="Arial" w:hAnsi="Arial"/>
          <w:b/>
          <w:sz w:val="24"/>
        </w:rPr>
        <w:t xml:space="preserve"> </w:t>
      </w:r>
      <w:r>
        <w:rPr>
          <w:rFonts w:cs="Arial" w:ascii="Arial" w:hAnsi="Arial"/>
          <w:sz w:val="24"/>
        </w:rPr>
        <w:t>of July 7, 2000.</w:t>
      </w:r>
    </w:p>
    <w:p>
      <w:pPr>
        <w:pStyle w:val="Normal"/>
        <w:numPr>
          <w:ilvl w:val="0"/>
          <w:numId w:val="113"/>
        </w:numPr>
        <w:tabs>
          <w:tab w:val="clear" w:pos="720"/>
          <w:tab w:val="left" w:pos="1800" w:leader="none"/>
          <w:tab w:val="left" w:pos="7740" w:leader="none"/>
        </w:tabs>
        <w:ind w:hanging="360" w:start="1800" w:end="0"/>
        <w:rPr>
          <w:rFonts w:ascii="Arial" w:hAnsi="Arial" w:cs="Arial"/>
          <w:sz w:val="24"/>
        </w:rPr>
      </w:pPr>
      <w:r>
        <w:rPr>
          <w:rFonts w:cs="Arial" w:ascii="Arial" w:hAnsi="Arial"/>
          <w:sz w:val="24"/>
        </w:rPr>
        <w:t>The plaintiffs have requested additional time to respond to the defendants' discovery and the court recently denied plaintiffs’ motion for summary judgment and ordered the plaintiffs to pay $75,000 as a non-resident bid bond.</w:t>
      </w:r>
    </w:p>
    <w:p>
      <w:pPr>
        <w:pStyle w:val="Normal"/>
        <w:numPr>
          <w:ilvl w:val="0"/>
          <w:numId w:val="22"/>
        </w:numPr>
        <w:tabs>
          <w:tab w:val="clear" w:pos="720"/>
          <w:tab w:val="left" w:pos="1800" w:leader="none"/>
          <w:tab w:val="left" w:pos="7740" w:leader="none"/>
        </w:tabs>
        <w:ind w:hanging="360" w:start="1800" w:end="0"/>
        <w:rPr>
          <w:rFonts w:ascii="Arial" w:hAnsi="Arial" w:cs="Arial"/>
          <w:sz w:val="24"/>
        </w:rPr>
      </w:pPr>
      <w:r>
        <w:rPr>
          <w:rFonts w:cs="Arial" w:ascii="Arial" w:hAnsi="Arial"/>
          <w:sz w:val="24"/>
        </w:rPr>
        <w:t>The court also ordered that the plaintiff produce financial documents previously requested by the defendants or pay $500 per day for each day’s delay in production.  The court also ordered the plaintiff to produce all documents pertaining to the plaintiff’s new owners.  To date, no additional documents have been produced.</w:t>
      </w:r>
    </w:p>
    <w:p>
      <w:pPr>
        <w:pStyle w:val="Normal"/>
        <w:numPr>
          <w:ilvl w:val="0"/>
          <w:numId w:val="22"/>
        </w:numPr>
        <w:tabs>
          <w:tab w:val="clear" w:pos="720"/>
          <w:tab w:val="left" w:pos="1800" w:leader="none"/>
          <w:tab w:val="left" w:pos="7740" w:leader="none"/>
        </w:tabs>
        <w:ind w:hanging="360" w:start="1800" w:end="0"/>
        <w:rPr>
          <w:rFonts w:ascii="Arial" w:hAnsi="Arial" w:cs="Arial"/>
          <w:bCs/>
          <w:sz w:val="24"/>
        </w:rPr>
      </w:pPr>
      <w:r>
        <w:rPr>
          <w:rFonts w:cs="Arial" w:ascii="Arial" w:hAnsi="Arial"/>
          <w:bCs/>
          <w:sz w:val="24"/>
        </w:rPr>
        <w:t xml:space="preserve">Settlement has been tentatively agreed to and settlement documents have been circulated.  Under the settlement Progasco will contribute $74,000.  </w:t>
      </w:r>
      <w:r>
        <w:rPr>
          <w:rFonts w:cs="Arial" w:ascii="Arial" w:hAnsi="Arial"/>
          <w:b/>
          <w:sz w:val="24"/>
        </w:rPr>
        <w:t>Settlement documents have been executed and this matter will not appear on next month’s report.</w:t>
      </w:r>
    </w:p>
    <w:p>
      <w:pPr>
        <w:pStyle w:val="BodyText"/>
        <w:tabs>
          <w:tab w:val="clear" w:pos="720"/>
          <w:tab w:val="left" w:pos="7740" w:leader="none"/>
        </w:tabs>
        <w:ind w:start="720" w:end="0"/>
        <w:jc w:val="start"/>
        <w:rPr>
          <w:rFonts w:ascii="Arial" w:hAnsi="Arial" w:cs="Arial"/>
          <w:bCs/>
          <w:sz w:val="24"/>
        </w:rPr>
      </w:pPr>
      <w:r>
        <w:rPr>
          <w:rFonts w:cs="Arial"/>
          <w:bCs/>
          <w:sz w:val="24"/>
        </w:rPr>
      </w:r>
    </w:p>
    <w:p>
      <w:pPr>
        <w:pStyle w:val="BodyText"/>
        <w:keepNext w:val="true"/>
        <w:keepLines/>
        <w:tabs>
          <w:tab w:val="clear" w:pos="720"/>
          <w:tab w:val="left" w:pos="7740" w:leader="none"/>
          <w:tab w:val="left" w:pos="7920" w:leader="none"/>
        </w:tabs>
        <w:ind w:start="1440" w:end="0"/>
        <w:jc w:val="start"/>
        <w:rPr/>
      </w:pPr>
      <w:r>
        <w:rPr>
          <w:b/>
          <w:u w:val="single"/>
        </w:rPr>
        <w:t>Progasco, Inc. v. Liquilux and Carlos Vélez</w:t>
      </w:r>
      <w:r>
        <w:rPr>
          <w:b/>
        </w:rPr>
        <w:tab/>
        <w:t>(Not Updated)</w:t>
      </w:r>
    </w:p>
    <w:p>
      <w:pPr>
        <w:pStyle w:val="BodyText"/>
        <w:keepNext w:val="true"/>
        <w:keepLines/>
        <w:tabs>
          <w:tab w:val="left" w:pos="720" w:leader="none"/>
          <w:tab w:val="left" w:pos="7740" w:leader="none"/>
        </w:tabs>
        <w:ind w:start="1440" w:end="0"/>
        <w:jc w:val="start"/>
        <w:rPr/>
      </w:pPr>
      <w:r>
        <w:rPr/>
        <w:t>(Superior Court of San Juan) (Ramon Dapena/Goldman Antonetti &amp; Cordova) (claim for tortuous interference)</w:t>
      </w:r>
    </w:p>
    <w:p>
      <w:pPr>
        <w:pStyle w:val="BodyText"/>
        <w:keepNext w:val="true"/>
        <w:keepLines/>
        <w:tabs>
          <w:tab w:val="left" w:pos="720" w:leader="none"/>
          <w:tab w:val="left" w:pos="7740" w:leader="none"/>
        </w:tabs>
        <w:ind w:start="1440" w:end="0"/>
        <w:jc w:val="start"/>
        <w:rPr/>
      </w:pPr>
      <w:r>
        <w:rPr/>
      </w:r>
    </w:p>
    <w:p>
      <w:pPr>
        <w:pStyle w:val="BodyText"/>
        <w:keepNext w:val="true"/>
        <w:keepLines/>
        <w:numPr>
          <w:ilvl w:val="0"/>
          <w:numId w:val="144"/>
        </w:numPr>
        <w:tabs>
          <w:tab w:val="clear" w:pos="720"/>
          <w:tab w:val="left" w:pos="1800" w:leader="none"/>
          <w:tab w:val="left" w:pos="7740" w:leader="none"/>
        </w:tabs>
        <w:ind w:hanging="360" w:start="1800" w:end="0"/>
        <w:jc w:val="start"/>
        <w:rPr/>
      </w:pPr>
      <w:r>
        <w:rPr/>
        <w:t>Progasco filed a claim for tortuous interference with its supply contracts against Liquilux and Carlos Vélez</w:t>
      </w:r>
      <w:r>
        <w:rPr>
          <w:b/>
        </w:rPr>
        <w:t xml:space="preserve">, </w:t>
      </w:r>
      <w:r>
        <w:rPr/>
        <w:t>a former employee of Progasco.</w:t>
      </w:r>
    </w:p>
    <w:p>
      <w:pPr>
        <w:pStyle w:val="BodyText"/>
        <w:numPr>
          <w:ilvl w:val="0"/>
          <w:numId w:val="144"/>
        </w:numPr>
        <w:tabs>
          <w:tab w:val="clear" w:pos="720"/>
          <w:tab w:val="left" w:pos="1800" w:leader="none"/>
          <w:tab w:val="left" w:pos="7740" w:leader="none"/>
        </w:tabs>
        <w:ind w:hanging="360" w:start="1800" w:end="0"/>
        <w:jc w:val="start"/>
        <w:rPr/>
      </w:pPr>
      <w:r>
        <w:rPr/>
        <w:t xml:space="preserve">Progasco’s management believes that Liquilux designed a strategy around Vélez to approach Progasco’s existing clients and to offer LPG at .30 cents below the price in Prozac’s existing contracts. </w:t>
      </w:r>
    </w:p>
    <w:p>
      <w:pPr>
        <w:pStyle w:val="BodyText"/>
        <w:numPr>
          <w:ilvl w:val="0"/>
          <w:numId w:val="144"/>
        </w:numPr>
        <w:tabs>
          <w:tab w:val="clear" w:pos="720"/>
          <w:tab w:val="left" w:pos="1800" w:leader="none"/>
          <w:tab w:val="left" w:pos="7740" w:leader="none"/>
        </w:tabs>
        <w:ind w:hanging="360" w:start="1800" w:end="0"/>
        <w:jc w:val="start"/>
        <w:rPr>
          <w:b/>
          <w:bCs/>
        </w:rPr>
      </w:pPr>
      <w:r>
        <w:rPr/>
        <w:t>Some discovery has occurred</w:t>
      </w:r>
      <w:r>
        <w:rPr>
          <w:b/>
          <w:bCs/>
        </w:rPr>
        <w:t>.</w:t>
      </w:r>
    </w:p>
    <w:p>
      <w:pPr>
        <w:pStyle w:val="BodyText"/>
        <w:numPr>
          <w:ilvl w:val="0"/>
          <w:numId w:val="144"/>
        </w:numPr>
        <w:tabs>
          <w:tab w:val="clear" w:pos="720"/>
          <w:tab w:val="left" w:pos="1800" w:leader="none"/>
          <w:tab w:val="left" w:pos="7740" w:leader="none"/>
        </w:tabs>
        <w:ind w:hanging="360" w:start="1800" w:end="0"/>
        <w:jc w:val="start"/>
        <w:rPr/>
      </w:pPr>
      <w:r>
        <w:rPr>
          <w:b/>
          <w:bCs/>
        </w:rPr>
        <w:t>In connection with the settlement of the antitrust case described above, this case was also settled.  Accordingly, it will not appear on next month’s report.</w:t>
      </w:r>
    </w:p>
    <w:p>
      <w:pPr>
        <w:pStyle w:val="Normal"/>
        <w:ind w:start="720" w:end="0"/>
        <w:rPr>
          <w:rFonts w:ascii="Arial" w:hAnsi="Arial" w:cs="Arial"/>
          <w:sz w:val="24"/>
        </w:rPr>
      </w:pPr>
      <w:r>
        <w:rPr>
          <w:rFonts w:cs="Arial" w:ascii="Arial" w:hAnsi="Arial"/>
          <w:sz w:val="24"/>
        </w:rPr>
      </w:r>
    </w:p>
    <w:p>
      <w:pPr>
        <w:pStyle w:val="BodyText"/>
        <w:keepNext w:val="true"/>
        <w:keepLines/>
        <w:tabs>
          <w:tab w:val="clear" w:pos="720"/>
          <w:tab w:val="left" w:pos="7740" w:leader="none"/>
          <w:tab w:val="left" w:pos="7920" w:leader="none"/>
        </w:tabs>
        <w:ind w:start="1440" w:end="0"/>
        <w:jc w:val="start"/>
        <w:rPr/>
      </w:pPr>
      <w:r>
        <w:rPr>
          <w:b/>
          <w:u w:val="single"/>
        </w:rPr>
        <w:t>Wanda I. Marrero Cathelineaud v. Progasco, Inc.</w:t>
      </w:r>
      <w:r>
        <w:rPr>
          <w:b/>
        </w:rPr>
        <w:tab/>
        <w:t>(Updated)</w:t>
      </w:r>
    </w:p>
    <w:p>
      <w:pPr>
        <w:pStyle w:val="BodyText"/>
        <w:keepNext w:val="true"/>
        <w:keepLines/>
        <w:tabs>
          <w:tab w:val="left" w:pos="720" w:leader="none"/>
          <w:tab w:val="left" w:pos="7740" w:leader="none"/>
        </w:tabs>
        <w:ind w:start="1440" w:end="0"/>
        <w:jc w:val="start"/>
        <w:rPr/>
      </w:pPr>
      <w:r>
        <w:rPr/>
        <w:t>(Superior Court of San Juan) (Ramon Dapena/Goldman Antonetti &amp; Cordova) ($500,000)</w:t>
      </w:r>
    </w:p>
    <w:p>
      <w:pPr>
        <w:pStyle w:val="BodyText"/>
        <w:keepNext w:val="true"/>
        <w:keepLines/>
        <w:tabs>
          <w:tab w:val="left" w:pos="720" w:leader="none"/>
          <w:tab w:val="left" w:pos="7740" w:leader="none"/>
        </w:tabs>
        <w:ind w:start="1440" w:end="0"/>
        <w:jc w:val="start"/>
        <w:rPr/>
      </w:pPr>
      <w:r>
        <w:rPr/>
      </w:r>
    </w:p>
    <w:p>
      <w:pPr>
        <w:pStyle w:val="Normal"/>
        <w:numPr>
          <w:ilvl w:val="0"/>
          <w:numId w:val="36"/>
        </w:numPr>
        <w:tabs>
          <w:tab w:val="clear" w:pos="720"/>
          <w:tab w:val="left" w:pos="1080" w:leader="none"/>
        </w:tabs>
        <w:ind w:hanging="360" w:start="1800" w:end="0"/>
        <w:rPr>
          <w:rFonts w:ascii="Arial" w:hAnsi="Arial" w:cs="Arial"/>
          <w:sz w:val="24"/>
        </w:rPr>
      </w:pPr>
      <w:r>
        <w:rPr>
          <w:rFonts w:cs="Arial" w:ascii="Arial" w:hAnsi="Arial"/>
          <w:sz w:val="24"/>
        </w:rPr>
        <w:t>On September 26, 2000, Progasco was served with plaintiff’s complaint alleging breach of employment agreement.</w:t>
      </w:r>
    </w:p>
    <w:p>
      <w:pPr>
        <w:pStyle w:val="Normal"/>
        <w:numPr>
          <w:ilvl w:val="0"/>
          <w:numId w:val="36"/>
        </w:numPr>
        <w:tabs>
          <w:tab w:val="clear" w:pos="720"/>
          <w:tab w:val="left" w:pos="1080" w:leader="none"/>
        </w:tabs>
        <w:ind w:hanging="360" w:start="1800" w:end="0"/>
        <w:rPr>
          <w:rFonts w:ascii="Arial" w:hAnsi="Arial" w:cs="Arial"/>
          <w:sz w:val="24"/>
        </w:rPr>
      </w:pPr>
      <w:r>
        <w:rPr>
          <w:rFonts w:cs="Arial" w:ascii="Arial" w:hAnsi="Arial"/>
          <w:sz w:val="24"/>
        </w:rPr>
        <w:t>Specifically, plaintiff alleges she was given a written employment offer by Progasco and that she delivered a written acceptance of this offer.  She also claims that she resigned from her former employment in reliance on the job offer with Progasco.  However, before beginning her new job but after quitting her old job, plaintiff claims she received a letter from Progasco informing her that she would not be hired.</w:t>
      </w:r>
    </w:p>
    <w:p>
      <w:pPr>
        <w:pStyle w:val="Normal"/>
        <w:numPr>
          <w:ilvl w:val="0"/>
          <w:numId w:val="36"/>
        </w:numPr>
        <w:tabs>
          <w:tab w:val="clear" w:pos="720"/>
          <w:tab w:val="left" w:pos="1080" w:leader="none"/>
        </w:tabs>
        <w:ind w:hanging="360" w:start="1800" w:end="0"/>
        <w:rPr>
          <w:rFonts w:ascii="Arial" w:hAnsi="Arial" w:cs="Arial"/>
          <w:sz w:val="24"/>
        </w:rPr>
      </w:pPr>
      <w:r>
        <w:rPr>
          <w:rFonts w:cs="Arial" w:ascii="Arial" w:hAnsi="Arial"/>
          <w:sz w:val="24"/>
        </w:rPr>
        <w:t>Plaintiff claims she suffered damages in excess of $500,000 including loss of income, interest, lost profit, as well as mental suffering and anguish.</w:t>
      </w:r>
    </w:p>
    <w:p>
      <w:pPr>
        <w:pStyle w:val="Normal"/>
        <w:numPr>
          <w:ilvl w:val="0"/>
          <w:numId w:val="73"/>
        </w:numPr>
        <w:tabs>
          <w:tab w:val="clear" w:pos="720"/>
          <w:tab w:val="left" w:pos="1080" w:leader="none"/>
        </w:tabs>
        <w:ind w:hanging="360" w:start="1800" w:end="0"/>
        <w:rPr>
          <w:rFonts w:ascii="Arial" w:hAnsi="Arial" w:cs="Arial"/>
          <w:sz w:val="24"/>
        </w:rPr>
      </w:pPr>
      <w:r>
        <w:rPr>
          <w:rFonts w:cs="Arial" w:ascii="Arial" w:hAnsi="Arial"/>
          <w:sz w:val="24"/>
        </w:rPr>
        <w:t>An answer has been filed</w:t>
      </w:r>
      <w:r>
        <w:rPr>
          <w:rFonts w:cs="Arial" w:ascii="Arial" w:hAnsi="Arial"/>
          <w:b/>
          <w:bCs/>
          <w:sz w:val="24"/>
        </w:rPr>
        <w:t xml:space="preserve">, discovery has been exchanged </w:t>
      </w:r>
      <w:r>
        <w:rPr>
          <w:rFonts w:cs="Arial" w:ascii="Arial" w:hAnsi="Arial"/>
          <w:sz w:val="24"/>
        </w:rPr>
        <w:t>and outside counsel is investigating the plaintiff’s allegations.</w:t>
      </w:r>
    </w:p>
    <w:p>
      <w:pPr>
        <w:pStyle w:val="Normal"/>
        <w:ind w:start="720" w:end="0"/>
        <w:rPr>
          <w:rFonts w:ascii="Arial" w:hAnsi="Arial" w:cs="Arial"/>
          <w:sz w:val="24"/>
        </w:rPr>
      </w:pPr>
      <w:r>
        <w:rPr>
          <w:rFonts w:cs="Arial" w:ascii="Arial" w:hAnsi="Arial"/>
          <w:sz w:val="24"/>
        </w:rPr>
      </w:r>
    </w:p>
    <w:p>
      <w:pPr>
        <w:pStyle w:val="Normal"/>
        <w:tabs>
          <w:tab w:val="clear" w:pos="720"/>
          <w:tab w:val="left" w:pos="7740" w:leader="none"/>
        </w:tabs>
        <w:ind w:start="1440" w:end="0"/>
        <w:rPr/>
      </w:pPr>
      <w:r>
        <w:rPr>
          <w:rFonts w:cs="Arial" w:ascii="Arial" w:hAnsi="Arial"/>
          <w:b/>
          <w:sz w:val="24"/>
          <w:u w:val="single"/>
        </w:rPr>
        <w:t>EcoElectrica v. Puerta Rico Power Authority (PREPA)</w:t>
      </w:r>
      <w:r>
        <w:rPr>
          <w:rFonts w:cs="Arial" w:ascii="Arial" w:hAnsi="Arial"/>
          <w:b/>
          <w:sz w:val="24"/>
        </w:rPr>
        <w:tab/>
        <w:t>(Updated)</w:t>
      </w:r>
    </w:p>
    <w:p>
      <w:pPr>
        <w:pStyle w:val="Normal"/>
        <w:tabs>
          <w:tab w:val="clear" w:pos="720"/>
          <w:tab w:val="left" w:pos="7740" w:leader="none"/>
        </w:tabs>
        <w:ind w:start="1440" w:end="0"/>
        <w:rPr>
          <w:rFonts w:ascii="Arial" w:hAnsi="Arial" w:cs="Arial"/>
          <w:sz w:val="24"/>
        </w:rPr>
      </w:pPr>
      <w:r>
        <w:rPr>
          <w:rFonts w:cs="Arial" w:ascii="Arial" w:hAnsi="Arial"/>
          <w:sz w:val="24"/>
        </w:rPr>
        <w:t>(AAA Arbitration) (Frank Besosa/Adsuar Muñoz Goyco &amp; Besosa) (Jack Montgomery/Bernstein, Shur, Sawyer &amp; Nelson) (US$80 million) (Enron’s Interest: 50%)</w:t>
      </w:r>
    </w:p>
    <w:p>
      <w:pPr>
        <w:pStyle w:val="Normal"/>
        <w:tabs>
          <w:tab w:val="clear" w:pos="720"/>
          <w:tab w:val="left" w:pos="7740" w:leader="none"/>
        </w:tabs>
        <w:ind w:start="1440" w:end="0"/>
        <w:rPr>
          <w:rFonts w:ascii="Arial" w:hAnsi="Arial" w:cs="Arial"/>
          <w:sz w:val="24"/>
        </w:rPr>
      </w:pPr>
      <w:r>
        <w:rPr>
          <w:rFonts w:cs="Arial" w:ascii="Arial" w:hAnsi="Arial"/>
          <w:sz w:val="24"/>
        </w:rPr>
      </w:r>
    </w:p>
    <w:p>
      <w:pPr>
        <w:pStyle w:val="Normal"/>
        <w:numPr>
          <w:ilvl w:val="0"/>
          <w:numId w:val="108"/>
        </w:numPr>
        <w:tabs>
          <w:tab w:val="clear" w:pos="720"/>
          <w:tab w:val="left" w:pos="1800" w:leader="none"/>
        </w:tabs>
        <w:ind w:hanging="360" w:start="1800" w:end="0"/>
        <w:rPr>
          <w:rFonts w:ascii="Arial" w:hAnsi="Arial" w:cs="Arial"/>
          <w:sz w:val="24"/>
        </w:rPr>
      </w:pPr>
      <w:r>
        <w:rPr>
          <w:rFonts w:cs="Arial" w:ascii="Arial" w:hAnsi="Arial"/>
          <w:sz w:val="24"/>
        </w:rPr>
        <w:t>EcoElectrica and the Puerto Rico Power Authority (PREPA) have agreed to arbitrate a dispute over the interpretation of the PPA on how to calculate the Energy Price Index.  PREPA’s current interpretation will cost EcoElectrica $3-$4 million per year for the life of the 22-year contract.</w:t>
      </w:r>
    </w:p>
    <w:p>
      <w:pPr>
        <w:pStyle w:val="Normal"/>
        <w:numPr>
          <w:ilvl w:val="0"/>
          <w:numId w:val="108"/>
        </w:numPr>
        <w:tabs>
          <w:tab w:val="clear" w:pos="720"/>
          <w:tab w:val="left" w:pos="1800" w:leader="none"/>
        </w:tabs>
        <w:ind w:hanging="360" w:start="1800" w:end="0"/>
        <w:rPr>
          <w:rFonts w:ascii="Arial" w:hAnsi="Arial" w:cs="Arial"/>
          <w:sz w:val="24"/>
        </w:rPr>
      </w:pPr>
      <w:r>
        <w:rPr>
          <w:rFonts w:cs="Arial" w:ascii="Arial" w:hAnsi="Arial"/>
          <w:sz w:val="24"/>
        </w:rPr>
        <w:t>Because the PPA contains no arbitration agreement for contractual disputes, the parties must first negotiate the terms of the arbitration which should be agreed by the end of November, 2000.</w:t>
      </w:r>
    </w:p>
    <w:p>
      <w:pPr>
        <w:pStyle w:val="Normal"/>
        <w:numPr>
          <w:ilvl w:val="0"/>
          <w:numId w:val="108"/>
        </w:numPr>
        <w:tabs>
          <w:tab w:val="clear" w:pos="720"/>
          <w:tab w:val="left" w:pos="1800" w:leader="none"/>
        </w:tabs>
        <w:ind w:hanging="360" w:start="1800" w:end="0"/>
        <w:rPr>
          <w:rFonts w:ascii="Arial" w:hAnsi="Arial" w:cs="Arial"/>
          <w:bCs/>
          <w:sz w:val="24"/>
        </w:rPr>
      </w:pPr>
      <w:r>
        <w:rPr>
          <w:rFonts w:cs="Arial" w:ascii="Arial" w:hAnsi="Arial"/>
          <w:bCs/>
          <w:sz w:val="24"/>
        </w:rPr>
        <w:t>In November, EcoElectrica submitted a proposed arbitration agreement setting forth an expedited schedule of 120 days.  PREPA has not responded.</w:t>
      </w:r>
    </w:p>
    <w:p>
      <w:pPr>
        <w:pStyle w:val="Normal"/>
        <w:numPr>
          <w:ilvl w:val="0"/>
          <w:numId w:val="108"/>
        </w:numPr>
        <w:tabs>
          <w:tab w:val="clear" w:pos="720"/>
          <w:tab w:val="left" w:pos="1800" w:leader="none"/>
        </w:tabs>
        <w:ind w:hanging="360" w:start="1800" w:end="0"/>
        <w:rPr>
          <w:rFonts w:ascii="Arial" w:hAnsi="Arial" w:cs="Arial"/>
          <w:bCs/>
          <w:sz w:val="24"/>
        </w:rPr>
      </w:pPr>
      <w:r>
        <w:rPr>
          <w:rFonts w:cs="Arial" w:ascii="Arial" w:hAnsi="Arial"/>
          <w:b/>
          <w:sz w:val="24"/>
        </w:rPr>
        <w:t>In March 2001, the parties have agreed to suspend pursuit of arbitration pending settlement negotiations.</w:t>
      </w:r>
    </w:p>
    <w:p>
      <w:pPr>
        <w:pStyle w:val="Normal"/>
        <w:ind w:start="1440" w:end="0"/>
        <w:rPr>
          <w:rFonts w:ascii="Arial" w:hAnsi="Arial" w:cs="Arial"/>
          <w:bCs/>
          <w:sz w:val="24"/>
        </w:rPr>
      </w:pPr>
      <w:r>
        <w:rPr>
          <w:rFonts w:cs="Arial" w:ascii="Arial" w:hAnsi="Arial"/>
          <w:bCs/>
          <w:sz w:val="24"/>
        </w:rPr>
      </w:r>
    </w:p>
    <w:p>
      <w:pPr>
        <w:pStyle w:val="Normal"/>
        <w:ind w:start="720" w:end="0"/>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cc:</w:t>
        <w:tab/>
        <w:t>Richard Sanders</w:t>
      </w:r>
    </w:p>
    <w:p>
      <w:pPr>
        <w:pStyle w:val="Normal"/>
        <w:ind w:firstLine="720" w:end="0"/>
        <w:jc w:val="both"/>
        <w:rPr>
          <w:rFonts w:ascii="Arial" w:hAnsi="Arial" w:cs="Arial"/>
          <w:sz w:val="24"/>
        </w:rPr>
      </w:pPr>
      <w:r>
        <w:rPr>
          <w:rFonts w:cs="Arial" w:ascii="Arial" w:hAnsi="Arial"/>
          <w:sz w:val="24"/>
        </w:rPr>
        <w:t>James McCartney</w:t>
      </w:r>
    </w:p>
    <w:p>
      <w:pPr>
        <w:pStyle w:val="Normal"/>
        <w:jc w:val="both"/>
        <w:rPr/>
      </w:pPr>
      <w:r>
        <w:rPr>
          <w:rFonts w:cs="Arial" w:ascii="Arial" w:hAnsi="Arial"/>
          <w:color w:val="000000"/>
          <w:sz w:val="24"/>
        </w:rPr>
        <w:tab/>
      </w:r>
      <w:r>
        <w:rPr>
          <w:rFonts w:cs="Arial" w:ascii="Arial" w:hAnsi="Arial"/>
          <w:sz w:val="24"/>
        </w:rPr>
        <w:t>Rex Rogers</w:t>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G Times">
    <w:charset w:val="00" w:characterSet="windows-1252"/>
    <w:family w:val="roman"/>
    <w:pitch w:val="variable"/>
  </w:font>
  <w:font w:name="Tahoma">
    <w:charset w:val="00" w:characterSet="windows-1252"/>
    <w:family w:val="swiss"/>
    <w:pitch w:val="variable"/>
  </w:font>
  <w:font w:name="Lucida Console">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w:hAnsi="Arial" w:cs="Arial"/>
        <w:sz w:val="22"/>
      </w:rPr>
    </w:pP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44</w:t>
    </w:r>
    <w:r>
      <w:rPr>
        <w:rStyle w:val="PageNumber"/>
        <w:sz w:val="22"/>
        <w:rFonts w:cs="Arial" w:ascii="Arial" w:hAnsi="Arial"/>
      </w:rPr>
      <w:fldChar w:fldCharType="end"/>
    </w:r>
  </w:p>
  <w:p>
    <w:pPr>
      <w:pStyle w:val="Footer"/>
      <w:rPr>
        <w:rFonts w:ascii="Arial" w:hAnsi="Arial" w:cs="Arial"/>
        <w:sz w:val="12"/>
      </w:rPr>
    </w:pPr>
    <w:r>
      <w:rPr>
        <w:rFonts w:cs="Arial" w:ascii="Arial" w:hAnsi="Arial"/>
        <w:sz w:val="12"/>
      </w:rPr>
    </w:r>
  </w:p>
  <w:p>
    <w:pPr>
      <w:pStyle w:val="Footer"/>
      <w:rPr>
        <w:rFonts w:ascii="Arial" w:hAnsi="Arial" w:cs="Arial"/>
        <w:sz w:val="12"/>
      </w:rPr>
    </w:pPr>
    <w:r>
      <w:rPr>
        <w:rFonts w:cs="Arial" w:ascii="Arial" w:hAnsi="Arial"/>
        <w:sz w:val="12"/>
      </w:rPr>
      <w:tab/>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/mnt/main-storage/datasets/enron-docs/doc/EWS_Global_Assets_April.doc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rPr>
    </w:pPr>
    <w:r>
      <w:rPr>
        <w:rFonts w:cs="Arial" w:ascii="Arial" w:hAnsi="Arial"/>
        <w:b/>
      </w:rPr>
      <w:t>Attorney/Client Privileged Confidential Communication</w:t>
    </w:r>
  </w:p>
  <w:p>
    <w:pPr>
      <w:pStyle w:val="Header"/>
      <w:jc w:val="end"/>
      <w:rPr>
        <w:rFonts w:ascii="Arial" w:hAnsi="Arial" w:cs="Arial"/>
      </w:rPr>
    </w:pPr>
    <w:r>
      <w:rPr>
        <w:rFonts w:cs="Arial" w:ascii="Arial" w:hAnsi="Arial"/>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rPr>
    </w:pPr>
    <w:r>
      <w:rPr>
        <w:rFonts w:cs="Arial" w:ascii="Arial" w:hAnsi="Arial"/>
        <w:b/>
      </w:rPr>
      <w:t>Attorney/Client Privileged Confidential Communication</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u w:val="none"/>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1800"/>
        </w:tabs>
        <w:ind w:start="180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2"/>
      <w:numFmt w:val="upperRoman"/>
      <w:lvlText w:val="%1."/>
      <w:lvlJc w:val="start"/>
      <w:pPr>
        <w:tabs>
          <w:tab w:val="num" w:pos="720"/>
        </w:tabs>
        <w:ind w:start="720" w:hanging="720"/>
      </w:pPr>
      <w:rPr/>
    </w:lvl>
  </w:abstractNum>
  <w:abstractNum w:abstractNumId="13">
    <w:lvl w:ilvl="0">
      <w:start w:val="1"/>
      <w:numFmt w:val="decimal"/>
      <w:lvlText w:val="%1."/>
      <w:lvlJc w:val="start"/>
      <w:pPr>
        <w:tabs>
          <w:tab w:val="num" w:pos="720"/>
        </w:tabs>
        <w:ind w:start="720" w:hanging="720"/>
      </w:pPr>
      <w:rPr>
        <w:u w:val="none"/>
      </w:rPr>
    </w:lvl>
  </w:abstractNum>
  <w:abstractNum w:abstractNumId="14">
    <w:lvl w:ilvl="0">
      <w:start w:val="1"/>
      <w:numFmt w:val="bullet"/>
      <w:lvlText w:val=""/>
      <w:lvlJc w:val="start"/>
      <w:pPr>
        <w:tabs>
          <w:tab w:val="num" w:pos="2160"/>
        </w:tabs>
        <w:ind w:start="21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upperRoman"/>
      <w:lvlText w:val="%1."/>
      <w:lvlJc w:val="start"/>
      <w:pPr>
        <w:tabs>
          <w:tab w:val="num" w:pos="720"/>
        </w:tabs>
        <w:ind w:start="720" w:hanging="720"/>
      </w:pPr>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abstractNum w:abstractNumId="21">
    <w:lvl w:ilvl="0">
      <w:start w:val="1"/>
      <w:numFmt w:val="bullet"/>
      <w:lvlText w:val=""/>
      <w:lvlJc w:val="start"/>
      <w:pPr>
        <w:tabs>
          <w:tab w:val="num" w:pos="360"/>
        </w:tabs>
        <w:ind w:start="360" w:hanging="360"/>
      </w:pPr>
      <w:rPr>
        <w:rFonts w:ascii="Symbol" w:hAnsi="Symbol" w:cs="Symbol" w:hint="default"/>
      </w:r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abstractNum w:abstractNumId="23">
    <w:lvl w:ilvl="0">
      <w:start w:val="1"/>
      <w:numFmt w:val="bullet"/>
      <w:lvlText w:val=""/>
      <w:lvlJc w:val="start"/>
      <w:pPr>
        <w:tabs>
          <w:tab w:val="num" w:pos="360"/>
        </w:tabs>
        <w:ind w:start="360" w:hanging="360"/>
      </w:pPr>
      <w:rPr>
        <w:rFonts w:ascii="Symbol" w:hAnsi="Symbol" w:cs="Symbol" w:hint="default"/>
      </w:rPr>
    </w:lvl>
  </w:abstractNum>
  <w:abstractNum w:abstractNumId="24">
    <w:lvl w:ilvl="0">
      <w:start w:val="1"/>
      <w:numFmt w:val="bullet"/>
      <w:lvlText w:val=""/>
      <w:lvlJc w:val="start"/>
      <w:pPr>
        <w:tabs>
          <w:tab w:val="num" w:pos="360"/>
        </w:tabs>
        <w:ind w:start="360" w:hanging="360"/>
      </w:pPr>
      <w:rPr>
        <w:rFonts w:ascii="Symbol" w:hAnsi="Symbol" w:cs="Symbol" w:hint="default"/>
        <w:sz w:val="24"/>
      </w:rPr>
    </w:lvl>
  </w:abstractNum>
  <w:abstractNum w:abstractNumId="25">
    <w:lvl w:ilvl="0">
      <w:start w:val="1"/>
      <w:numFmt w:val="bullet"/>
      <w:lvlText w:val=""/>
      <w:lvlJc w:val="start"/>
      <w:pPr>
        <w:tabs>
          <w:tab w:val="num" w:pos="360"/>
        </w:tabs>
        <w:ind w:start="360" w:hanging="360"/>
      </w:pPr>
      <w:rPr>
        <w:rFonts w:ascii="Symbol" w:hAnsi="Symbol" w:cs="Symbol" w:hint="default"/>
      </w:rPr>
    </w:lvl>
  </w:abstractNum>
  <w:abstractNum w:abstractNumId="26">
    <w:lvl w:ilvl="0">
      <w:start w:val="1"/>
      <w:numFmt w:val="bullet"/>
      <w:lvlText w:val=""/>
      <w:lvlJc w:val="start"/>
      <w:pPr>
        <w:tabs>
          <w:tab w:val="num" w:pos="360"/>
        </w:tabs>
        <w:ind w:start="360" w:hanging="360"/>
      </w:pPr>
      <w:rPr>
        <w:rFonts w:ascii="Symbol" w:hAnsi="Symbol" w:cs="Symbol" w:hint="default"/>
      </w:rPr>
    </w:lvl>
  </w:abstractNum>
  <w:abstractNum w:abstractNumId="27">
    <w:lvl w:ilvl="0">
      <w:start w:val="1"/>
      <w:numFmt w:val="bullet"/>
      <w:lvlText w:val=""/>
      <w:lvlJc w:val="start"/>
      <w:pPr>
        <w:tabs>
          <w:tab w:val="num" w:pos="1800"/>
        </w:tabs>
        <w:ind w:start="1800" w:hanging="360"/>
      </w:pPr>
      <w:rPr>
        <w:rFonts w:ascii="Symbol" w:hAnsi="Symbol" w:cs="Symbol" w:hint="default"/>
      </w:rPr>
    </w:lvl>
  </w:abstractNum>
  <w:abstractNum w:abstractNumId="28">
    <w:lvl w:ilvl="0">
      <w:start w:val="1"/>
      <w:numFmt w:val="bullet"/>
      <w:lvlText w:val=""/>
      <w:lvlJc w:val="start"/>
      <w:pPr>
        <w:tabs>
          <w:tab w:val="num" w:pos="360"/>
        </w:tabs>
        <w:ind w:start="360" w:hanging="360"/>
      </w:pPr>
      <w:rPr>
        <w:rFonts w:ascii="Symbol" w:hAnsi="Symbol" w:cs="Symbol" w:hint="default"/>
        <w:sz w:val="24"/>
      </w:rPr>
    </w:lvl>
  </w:abstractNum>
  <w:abstractNum w:abstractNumId="29">
    <w:lvl w:ilvl="0">
      <w:start w:val="1"/>
      <w:numFmt w:val="bullet"/>
      <w:lvlText w:val=""/>
      <w:lvlJc w:val="start"/>
      <w:pPr>
        <w:tabs>
          <w:tab w:val="num" w:pos="360"/>
        </w:tabs>
        <w:ind w:start="360" w:hanging="360"/>
      </w:pPr>
      <w:rPr>
        <w:rFonts w:ascii="Symbol" w:hAnsi="Symbol" w:cs="Symbol" w:hint="default"/>
      </w:rPr>
    </w:lvl>
  </w:abstractNum>
  <w:abstractNum w:abstractNumId="30">
    <w:lvl w:ilvl="0">
      <w:start w:val="1"/>
      <w:numFmt w:val="bullet"/>
      <w:lvlText w:val=""/>
      <w:lvlJc w:val="start"/>
      <w:pPr>
        <w:tabs>
          <w:tab w:val="num" w:pos="2160"/>
        </w:tabs>
        <w:ind w:start="2160" w:hanging="360"/>
      </w:pPr>
      <w:rPr>
        <w:rFonts w:ascii="Symbol" w:hAnsi="Symbol" w:cs="Symbol" w:hint="default"/>
      </w:rPr>
    </w:lvl>
  </w:abstractNum>
  <w:abstractNum w:abstractNumId="31">
    <w:lvl w:ilvl="0">
      <w:start w:val="1"/>
      <w:numFmt w:val="bullet"/>
      <w:lvlText w:val=""/>
      <w:lvlJc w:val="start"/>
      <w:pPr>
        <w:tabs>
          <w:tab w:val="num" w:pos="360"/>
        </w:tabs>
        <w:ind w:start="360" w:hanging="360"/>
      </w:pPr>
      <w:rPr>
        <w:rFonts w:ascii="Symbol" w:hAnsi="Symbol" w:cs="Symbol" w:hint="default"/>
      </w:rPr>
    </w:lvl>
  </w:abstractNum>
  <w:abstractNum w:abstractNumId="32">
    <w:lvl w:ilvl="0">
      <w:start w:val="1"/>
      <w:numFmt w:val="upperRoman"/>
      <w:lvlText w:val="%1."/>
      <w:lvlJc w:val="start"/>
      <w:pPr>
        <w:tabs>
          <w:tab w:val="num" w:pos="720"/>
        </w:tabs>
        <w:ind w:start="720" w:hanging="720"/>
      </w:pPr>
      <w:rPr/>
    </w:lvl>
  </w:abstractNum>
  <w:abstractNum w:abstractNumId="33">
    <w:lvl w:ilvl="0">
      <w:start w:val="1"/>
      <w:numFmt w:val="bullet"/>
      <w:lvlText w:val=""/>
      <w:lvlJc w:val="start"/>
      <w:pPr>
        <w:tabs>
          <w:tab w:val="num" w:pos="360"/>
        </w:tabs>
        <w:ind w:start="360" w:hanging="360"/>
      </w:pPr>
      <w:rPr>
        <w:rFonts w:ascii="Symbol" w:hAnsi="Symbol" w:cs="Symbol" w:hint="default"/>
        <w:sz w:val="24"/>
      </w:rPr>
    </w:lvl>
  </w:abstractNum>
  <w:abstractNum w:abstractNumId="34">
    <w:lvl w:ilvl="0">
      <w:start w:val="1"/>
      <w:numFmt w:val="bullet"/>
      <w:lvlText w:val=""/>
      <w:lvlJc w:val="start"/>
      <w:pPr>
        <w:tabs>
          <w:tab w:val="num" w:pos="360"/>
        </w:tabs>
        <w:ind w:start="360" w:hanging="360"/>
      </w:pPr>
      <w:rPr>
        <w:rFonts w:ascii="Symbol" w:hAnsi="Symbol" w:cs="Symbol" w:hint="default"/>
      </w:rPr>
    </w:lvl>
  </w:abstractNum>
  <w:abstractNum w:abstractNumId="35">
    <w:lvl w:ilvl="0">
      <w:start w:val="1"/>
      <w:numFmt w:val="bullet"/>
      <w:lvlText w:val=""/>
      <w:lvlJc w:val="start"/>
      <w:pPr>
        <w:tabs>
          <w:tab w:val="num" w:pos="360"/>
        </w:tabs>
        <w:ind w:start="360" w:hanging="360"/>
      </w:pPr>
      <w:rPr>
        <w:rFonts w:ascii="Symbol" w:hAnsi="Symbol" w:cs="Symbol" w:hint="default"/>
      </w:rPr>
    </w:lvl>
  </w:abstractNum>
  <w:abstractNum w:abstractNumId="36">
    <w:lvl w:ilvl="0">
      <w:start w:val="1"/>
      <w:numFmt w:val="bullet"/>
      <w:lvlText w:val=""/>
      <w:lvlJc w:val="start"/>
      <w:pPr>
        <w:tabs>
          <w:tab w:val="num" w:pos="360"/>
        </w:tabs>
        <w:ind w:start="360" w:hanging="360"/>
      </w:pPr>
      <w:rPr>
        <w:rFonts w:ascii="Symbol" w:hAnsi="Symbol" w:cs="Symbol" w:hint="default"/>
      </w:rPr>
    </w:lvl>
  </w:abstractNum>
  <w:abstractNum w:abstractNumId="37">
    <w:lvl w:ilvl="0">
      <w:start w:val="1"/>
      <w:numFmt w:val="bullet"/>
      <w:lvlText w:val=""/>
      <w:lvlJc w:val="start"/>
      <w:pPr>
        <w:tabs>
          <w:tab w:val="num" w:pos="360"/>
        </w:tabs>
        <w:ind w:start="360" w:hanging="360"/>
      </w:pPr>
      <w:rPr>
        <w:rFonts w:ascii="Symbol" w:hAnsi="Symbol" w:cs="Symbol" w:hint="default"/>
      </w:rPr>
    </w:lvl>
  </w:abstractNum>
  <w:abstractNum w:abstractNumId="38">
    <w:lvl w:ilvl="0">
      <w:start w:val="1"/>
      <w:numFmt w:val="bullet"/>
      <w:lvlText w:val=""/>
      <w:lvlJc w:val="start"/>
      <w:pPr>
        <w:tabs>
          <w:tab w:val="num" w:pos="1800"/>
        </w:tabs>
        <w:ind w:start="1800" w:hanging="360"/>
      </w:pPr>
      <w:rPr>
        <w:rFonts w:ascii="Symbol" w:hAnsi="Symbol" w:cs="Symbol" w:hint="default"/>
      </w:rPr>
    </w:lvl>
  </w:abstractNum>
  <w:abstractNum w:abstractNumId="39">
    <w:lvl w:ilvl="0">
      <w:start w:val="1"/>
      <w:numFmt w:val="bullet"/>
      <w:lvlText w:val=""/>
      <w:lvlJc w:val="start"/>
      <w:pPr>
        <w:tabs>
          <w:tab w:val="num" w:pos="360"/>
        </w:tabs>
        <w:ind w:start="360" w:hanging="360"/>
      </w:pPr>
      <w:rPr>
        <w:rFonts w:ascii="Symbol" w:hAnsi="Symbol" w:cs="Symbol" w:hint="default"/>
      </w:rPr>
    </w:lvl>
  </w:abstractNum>
  <w:abstractNum w:abstractNumId="40">
    <w:lvl w:ilvl="0">
      <w:start w:val="1"/>
      <w:numFmt w:val="bullet"/>
      <w:lvlText w:val=""/>
      <w:lvlJc w:val="start"/>
      <w:pPr>
        <w:tabs>
          <w:tab w:val="num" w:pos="2160"/>
        </w:tabs>
        <w:ind w:start="2160" w:hanging="360"/>
      </w:pPr>
      <w:rPr>
        <w:rFonts w:ascii="Symbol" w:hAnsi="Symbol" w:cs="Symbol" w:hint="default"/>
      </w:rPr>
    </w:lvl>
  </w:abstractNum>
  <w:abstractNum w:abstractNumId="41">
    <w:lvl w:ilvl="0">
      <w:start w:val="1"/>
      <w:numFmt w:val="bullet"/>
      <w:lvlText w:val=""/>
      <w:lvlJc w:val="start"/>
      <w:pPr>
        <w:tabs>
          <w:tab w:val="num" w:pos="720"/>
        </w:tabs>
        <w:ind w:start="720" w:hanging="360"/>
      </w:pPr>
      <w:rPr>
        <w:rFonts w:ascii="Symbol" w:hAnsi="Symbol" w:cs="Symbol" w:hint="default"/>
      </w:rPr>
    </w:lvl>
  </w:abstractNum>
  <w:abstractNum w:abstractNumId="42">
    <w:lvl w:ilvl="0">
      <w:start w:val="1"/>
      <w:numFmt w:val="bullet"/>
      <w:lvlText w:val=""/>
      <w:lvlJc w:val="start"/>
      <w:pPr>
        <w:tabs>
          <w:tab w:val="num" w:pos="360"/>
        </w:tabs>
        <w:ind w:start="360" w:hanging="360"/>
      </w:pPr>
      <w:rPr>
        <w:rFonts w:ascii="Symbol" w:hAnsi="Symbol" w:cs="Symbol" w:hint="default"/>
        <w:sz w:val="24"/>
      </w:rPr>
    </w:lvl>
  </w:abstractNum>
  <w:abstractNum w:abstractNumId="43">
    <w:lvl w:ilvl="0">
      <w:start w:val="2"/>
      <w:numFmt w:val="upperRoman"/>
      <w:lvlText w:val="%1."/>
      <w:lvlJc w:val="start"/>
      <w:pPr>
        <w:tabs>
          <w:tab w:val="num" w:pos="1440"/>
        </w:tabs>
        <w:ind w:start="1440" w:hanging="720"/>
      </w:pPr>
      <w:rPr/>
    </w:lvl>
  </w:abstractNum>
  <w:abstractNum w:abstractNumId="44">
    <w:lvl w:ilvl="0">
      <w:start w:val="1"/>
      <w:numFmt w:val="bullet"/>
      <w:lvlText w:val=""/>
      <w:lvlJc w:val="start"/>
      <w:pPr>
        <w:tabs>
          <w:tab w:val="num" w:pos="360"/>
        </w:tabs>
        <w:ind w:start="360" w:hanging="360"/>
      </w:pPr>
      <w:rPr>
        <w:rFonts w:ascii="Symbol" w:hAnsi="Symbol" w:cs="Symbol" w:hint="default"/>
        <w:sz w:val="24"/>
      </w:rPr>
    </w:lvl>
  </w:abstractNum>
  <w:abstractNum w:abstractNumId="45">
    <w:lvl w:ilvl="0">
      <w:start w:val="1"/>
      <w:numFmt w:val="bullet"/>
      <w:lvlText w:val=""/>
      <w:lvlJc w:val="start"/>
      <w:pPr>
        <w:tabs>
          <w:tab w:val="num" w:pos="360"/>
        </w:tabs>
        <w:ind w:start="360" w:hanging="360"/>
      </w:pPr>
      <w:rPr>
        <w:rFonts w:ascii="Symbol" w:hAnsi="Symbol" w:cs="Symbol" w:hint="default"/>
      </w:rPr>
    </w:lvl>
  </w:abstractNum>
  <w:abstractNum w:abstractNumId="46">
    <w:lvl w:ilvl="0">
      <w:start w:val="1"/>
      <w:numFmt w:val="bullet"/>
      <w:lvlText w:val=""/>
      <w:lvlJc w:val="start"/>
      <w:pPr>
        <w:tabs>
          <w:tab w:val="num" w:pos="360"/>
        </w:tabs>
        <w:ind w:start="360" w:hanging="360"/>
      </w:pPr>
      <w:rPr>
        <w:rFonts w:ascii="Symbol" w:hAnsi="Symbol" w:cs="Symbol" w:hint="default"/>
      </w:rPr>
    </w:lvl>
  </w:abstractNum>
  <w:abstractNum w:abstractNumId="47">
    <w:lvl w:ilvl="0">
      <w:start w:val="1"/>
      <w:numFmt w:val="bullet"/>
      <w:lvlText w:val=""/>
      <w:lvlJc w:val="start"/>
      <w:pPr>
        <w:tabs>
          <w:tab w:val="num" w:pos="360"/>
        </w:tabs>
        <w:ind w:start="360" w:hanging="360"/>
      </w:pPr>
      <w:rPr>
        <w:rFonts w:ascii="Symbol" w:hAnsi="Symbol" w:cs="Symbol" w:hint="default"/>
      </w:rPr>
    </w:lvl>
  </w:abstractNum>
  <w:abstractNum w:abstractNumId="48">
    <w:lvl w:ilvl="0">
      <w:start w:val="1"/>
      <w:numFmt w:val="bullet"/>
      <w:lvlText w:val=""/>
      <w:lvlJc w:val="start"/>
      <w:pPr>
        <w:tabs>
          <w:tab w:val="num" w:pos="360"/>
        </w:tabs>
        <w:ind w:start="360" w:hanging="360"/>
      </w:pPr>
      <w:rPr>
        <w:rFonts w:ascii="Symbol" w:hAnsi="Symbol" w:cs="Symbol" w:hint="default"/>
        <w:sz w:val="24"/>
      </w:rPr>
    </w:lvl>
  </w:abstractNum>
  <w:abstractNum w:abstractNumId="49">
    <w:lvl w:ilvl="0">
      <w:start w:val="1"/>
      <w:numFmt w:val="bullet"/>
      <w:lvlText w:val=""/>
      <w:lvlJc w:val="start"/>
      <w:pPr>
        <w:tabs>
          <w:tab w:val="num" w:pos="360"/>
        </w:tabs>
        <w:ind w:start="360" w:hanging="360"/>
      </w:pPr>
      <w:rPr>
        <w:rFonts w:ascii="Symbol" w:hAnsi="Symbol" w:cs="Symbol" w:hint="default"/>
      </w:rPr>
    </w:lvl>
  </w:abstractNum>
  <w:abstractNum w:abstractNumId="50">
    <w:lvl w:ilvl="0">
      <w:start w:val="1"/>
      <w:numFmt w:val="decimal"/>
      <w:lvlText w:val="%1."/>
      <w:lvlJc w:val="start"/>
      <w:pPr>
        <w:tabs>
          <w:tab w:val="num" w:pos="720"/>
        </w:tabs>
        <w:ind w:start="720" w:hanging="720"/>
      </w:pPr>
      <w:rPr>
        <w:u w:val="none"/>
      </w:rPr>
    </w:lvl>
  </w:abstractNum>
  <w:abstractNum w:abstractNumId="51">
    <w:lvl w:ilvl="0">
      <w:start w:val="1"/>
      <w:numFmt w:val="bullet"/>
      <w:lvlText w:val=""/>
      <w:lvlJc w:val="start"/>
      <w:pPr>
        <w:tabs>
          <w:tab w:val="num" w:pos="720"/>
        </w:tabs>
        <w:ind w:start="720" w:hanging="360"/>
      </w:pPr>
      <w:rPr>
        <w:rFonts w:ascii="Symbol" w:hAnsi="Symbol" w:cs="Symbol" w:hint="default"/>
      </w:rPr>
    </w:lvl>
  </w:abstractNum>
  <w:abstractNum w:abstractNumId="52">
    <w:lvl w:ilvl="0">
      <w:start w:val="1"/>
      <w:numFmt w:val="bullet"/>
      <w:lvlText w:val=""/>
      <w:lvlJc w:val="start"/>
      <w:pPr>
        <w:tabs>
          <w:tab w:val="num" w:pos="360"/>
        </w:tabs>
        <w:ind w:start="360" w:hanging="360"/>
      </w:pPr>
      <w:rPr>
        <w:rFonts w:ascii="Symbol" w:hAnsi="Symbol" w:cs="Symbol" w:hint="default"/>
      </w:rPr>
    </w:lvl>
  </w:abstractNum>
  <w:abstractNum w:abstractNumId="53">
    <w:lvl w:ilvl="0">
      <w:start w:val="1"/>
      <w:numFmt w:val="bullet"/>
      <w:lvlText w:val=""/>
      <w:lvlJc w:val="start"/>
      <w:pPr>
        <w:tabs>
          <w:tab w:val="num" w:pos="360"/>
        </w:tabs>
        <w:ind w:start="360" w:hanging="360"/>
      </w:pPr>
      <w:rPr>
        <w:rFonts w:ascii="Symbol" w:hAnsi="Symbol" w:cs="Symbol" w:hint="default"/>
      </w:rPr>
    </w:lvl>
  </w:abstractNum>
  <w:abstractNum w:abstractNumId="54">
    <w:lvl w:ilvl="0">
      <w:start w:val="1"/>
      <w:numFmt w:val="bullet"/>
      <w:lvlText w:val=""/>
      <w:lvlJc w:val="start"/>
      <w:pPr>
        <w:tabs>
          <w:tab w:val="num" w:pos="360"/>
        </w:tabs>
        <w:ind w:start="360" w:hanging="360"/>
      </w:pPr>
      <w:rPr>
        <w:rFonts w:ascii="Symbol" w:hAnsi="Symbol" w:cs="Symbol" w:hint="default"/>
        <w:sz w:val="24"/>
      </w:rPr>
    </w:lvl>
  </w:abstractNum>
  <w:abstractNum w:abstractNumId="55">
    <w:lvl w:ilvl="0">
      <w:start w:val="1"/>
      <w:numFmt w:val="bullet"/>
      <w:lvlText w:val=""/>
      <w:lvlJc w:val="start"/>
      <w:pPr>
        <w:tabs>
          <w:tab w:val="num" w:pos="360"/>
        </w:tabs>
        <w:ind w:start="360" w:hanging="360"/>
      </w:pPr>
      <w:rPr>
        <w:rFonts w:ascii="Symbol" w:hAnsi="Symbol" w:cs="Symbol" w:hint="default"/>
        <w:sz w:val="24"/>
      </w:rPr>
    </w:lvl>
  </w:abstractNum>
  <w:abstractNum w:abstractNumId="56">
    <w:lvl w:ilvl="0">
      <w:start w:val="1"/>
      <w:numFmt w:val="bullet"/>
      <w:lvlText w:val=""/>
      <w:lvlJc w:val="start"/>
      <w:pPr>
        <w:tabs>
          <w:tab w:val="num" w:pos="1800"/>
        </w:tabs>
        <w:ind w:start="1800" w:hanging="360"/>
      </w:pPr>
      <w:rPr>
        <w:rFonts w:ascii="Symbol" w:hAnsi="Symbol" w:cs="Symbol" w:hint="default"/>
      </w:rPr>
    </w:lvl>
  </w:abstractNum>
  <w:abstractNum w:abstractNumId="57">
    <w:lvl w:ilvl="0">
      <w:start w:val="2"/>
      <w:numFmt w:val="upperRoman"/>
      <w:lvlText w:val="%1."/>
      <w:lvlJc w:val="start"/>
      <w:pPr>
        <w:tabs>
          <w:tab w:val="num" w:pos="1440"/>
        </w:tabs>
        <w:ind w:start="1440" w:hanging="720"/>
      </w:pPr>
      <w:rPr/>
    </w:lvl>
  </w:abstractNum>
  <w:abstractNum w:abstractNumId="58">
    <w:lvl w:ilvl="0">
      <w:start w:val="1"/>
      <w:numFmt w:val="upperRoman"/>
      <w:lvlText w:val="%1."/>
      <w:lvlJc w:val="start"/>
      <w:pPr>
        <w:tabs>
          <w:tab w:val="num" w:pos="1440"/>
        </w:tabs>
        <w:ind w:start="1440" w:hanging="720"/>
      </w:pPr>
      <w:rPr/>
    </w:lvl>
  </w:abstractNum>
  <w:abstractNum w:abstractNumId="59">
    <w:lvl w:ilvl="0">
      <w:start w:val="1"/>
      <w:numFmt w:val="bullet"/>
      <w:lvlText w:val=""/>
      <w:lvlJc w:val="start"/>
      <w:pPr>
        <w:tabs>
          <w:tab w:val="num" w:pos="360"/>
        </w:tabs>
        <w:ind w:start="360" w:hanging="360"/>
      </w:pPr>
      <w:rPr>
        <w:rFonts w:ascii="Symbol" w:hAnsi="Symbol" w:cs="Symbol" w:hint="default"/>
      </w:rPr>
    </w:lvl>
  </w:abstractNum>
  <w:abstractNum w:abstractNumId="60">
    <w:lvl w:ilvl="0">
      <w:start w:val="1"/>
      <w:numFmt w:val="bullet"/>
      <w:lvlText w:val=""/>
      <w:lvlJc w:val="start"/>
      <w:pPr>
        <w:tabs>
          <w:tab w:val="num" w:pos="360"/>
        </w:tabs>
        <w:ind w:start="360" w:hanging="360"/>
      </w:pPr>
      <w:rPr>
        <w:rFonts w:ascii="Symbol" w:hAnsi="Symbol" w:cs="Symbol" w:hint="default"/>
      </w:rPr>
    </w:lvl>
  </w:abstractNum>
  <w:abstractNum w:abstractNumId="61">
    <w:lvl w:ilvl="0">
      <w:start w:val="1"/>
      <w:numFmt w:val="bullet"/>
      <w:lvlText w:val=""/>
      <w:lvlJc w:val="start"/>
      <w:pPr>
        <w:tabs>
          <w:tab w:val="num" w:pos="360"/>
        </w:tabs>
        <w:ind w:start="360" w:hanging="360"/>
      </w:pPr>
      <w:rPr>
        <w:rFonts w:ascii="Symbol" w:hAnsi="Symbol" w:cs="Symbol" w:hint="default"/>
        <w:sz w:val="24"/>
      </w:rPr>
    </w:lvl>
  </w:abstractNum>
  <w:abstractNum w:abstractNumId="62">
    <w:lvl w:ilvl="0">
      <w:start w:val="1"/>
      <w:numFmt w:val="bullet"/>
      <w:lvlText w:val=""/>
      <w:lvlJc w:val="start"/>
      <w:pPr>
        <w:tabs>
          <w:tab w:val="num" w:pos="360"/>
        </w:tabs>
        <w:ind w:start="360" w:hanging="360"/>
      </w:pPr>
      <w:rPr>
        <w:rFonts w:ascii="Symbol" w:hAnsi="Symbol" w:cs="Symbol" w:hint="default"/>
      </w:rPr>
    </w:lvl>
  </w:abstractNum>
  <w:abstractNum w:abstractNumId="63">
    <w:lvl w:ilvl="0">
      <w:start w:val="1"/>
      <w:numFmt w:val="bullet"/>
      <w:lvlText w:val=""/>
      <w:lvlJc w:val="start"/>
      <w:pPr>
        <w:tabs>
          <w:tab w:val="num" w:pos="360"/>
        </w:tabs>
        <w:ind w:start="360" w:hanging="360"/>
      </w:pPr>
      <w:rPr>
        <w:rFonts w:ascii="Symbol" w:hAnsi="Symbol" w:cs="Symbol" w:hint="default"/>
      </w:rPr>
    </w:lvl>
  </w:abstractNum>
  <w:abstractNum w:abstractNumId="64">
    <w:lvl w:ilvl="0">
      <w:start w:val="1"/>
      <w:numFmt w:val="bullet"/>
      <w:lvlText w:val=""/>
      <w:lvlJc w:val="start"/>
      <w:pPr>
        <w:tabs>
          <w:tab w:val="num" w:pos="360"/>
        </w:tabs>
        <w:ind w:start="360" w:hanging="360"/>
      </w:pPr>
      <w:rPr>
        <w:rFonts w:ascii="Symbol" w:hAnsi="Symbol" w:cs="Symbol" w:hint="default"/>
      </w:rPr>
    </w:lvl>
  </w:abstractNum>
  <w:abstractNum w:abstractNumId="65">
    <w:lvl w:ilvl="0">
      <w:start w:val="1"/>
      <w:numFmt w:val="bullet"/>
      <w:lvlText w:val=""/>
      <w:lvlJc w:val="start"/>
      <w:pPr>
        <w:tabs>
          <w:tab w:val="num" w:pos="360"/>
        </w:tabs>
        <w:ind w:start="360" w:hanging="360"/>
      </w:pPr>
      <w:rPr>
        <w:rFonts w:ascii="Symbol" w:hAnsi="Symbol" w:cs="Symbol" w:hint="default"/>
        <w:sz w:val="24"/>
      </w:rPr>
    </w:lvl>
  </w:abstractNum>
  <w:abstractNum w:abstractNumId="66">
    <w:lvl w:ilvl="0">
      <w:start w:val="1"/>
      <w:numFmt w:val="bullet"/>
      <w:lvlText w:val=""/>
      <w:lvlJc w:val="start"/>
      <w:pPr>
        <w:tabs>
          <w:tab w:val="num" w:pos="360"/>
        </w:tabs>
        <w:ind w:start="360" w:hanging="360"/>
      </w:pPr>
      <w:rPr>
        <w:rFonts w:ascii="Symbol" w:hAnsi="Symbol" w:cs="Symbol" w:hint="default"/>
      </w:rPr>
    </w:lvl>
  </w:abstractNum>
  <w:abstractNum w:abstractNumId="67">
    <w:lvl w:ilvl="0">
      <w:start w:val="1"/>
      <w:numFmt w:val="bullet"/>
      <w:lvlText w:val=""/>
      <w:lvlJc w:val="start"/>
      <w:pPr>
        <w:tabs>
          <w:tab w:val="num" w:pos="360"/>
        </w:tabs>
        <w:ind w:start="360" w:hanging="360"/>
      </w:pPr>
      <w:rPr>
        <w:rFonts w:ascii="Symbol" w:hAnsi="Symbol" w:cs="Symbol" w:hint="default"/>
      </w:rPr>
    </w:lvl>
  </w:abstractNum>
  <w:abstractNum w:abstractNumId="68">
    <w:lvl w:ilvl="0">
      <w:start w:val="1"/>
      <w:numFmt w:val="bullet"/>
      <w:lvlText w:val=""/>
      <w:lvlJc w:val="start"/>
      <w:pPr>
        <w:tabs>
          <w:tab w:val="num" w:pos="360"/>
        </w:tabs>
        <w:ind w:start="360" w:hanging="360"/>
      </w:pPr>
      <w:rPr>
        <w:rFonts w:ascii="Symbol" w:hAnsi="Symbol" w:cs="Symbol" w:hint="default"/>
      </w:rPr>
    </w:lvl>
  </w:abstractNum>
  <w:abstractNum w:abstractNumId="69">
    <w:lvl w:ilvl="0">
      <w:start w:val="1"/>
      <w:numFmt w:val="bullet"/>
      <w:lvlText w:val=""/>
      <w:lvlJc w:val="start"/>
      <w:pPr>
        <w:tabs>
          <w:tab w:val="num" w:pos="360"/>
        </w:tabs>
        <w:ind w:start="360" w:hanging="360"/>
      </w:pPr>
      <w:rPr>
        <w:rFonts w:ascii="Symbol" w:hAnsi="Symbol" w:cs="Symbol" w:hint="default"/>
      </w:rPr>
    </w:lvl>
  </w:abstractNum>
  <w:abstractNum w:abstractNumId="70">
    <w:lvl w:ilvl="0">
      <w:start w:val="1"/>
      <w:numFmt w:val="bullet"/>
      <w:lvlText w:val=""/>
      <w:lvlJc w:val="start"/>
      <w:pPr>
        <w:tabs>
          <w:tab w:val="num" w:pos="360"/>
        </w:tabs>
        <w:ind w:start="360" w:hanging="360"/>
      </w:pPr>
      <w:rPr>
        <w:rFonts w:ascii="Symbol" w:hAnsi="Symbol" w:cs="Symbol" w:hint="default"/>
      </w:rPr>
    </w:lvl>
  </w:abstractNum>
  <w:abstractNum w:abstractNumId="71">
    <w:lvl w:ilvl="0">
      <w:start w:val="1"/>
      <w:numFmt w:val="bullet"/>
      <w:lvlText w:val=""/>
      <w:lvlJc w:val="start"/>
      <w:pPr>
        <w:tabs>
          <w:tab w:val="num" w:pos="360"/>
        </w:tabs>
        <w:ind w:start="360" w:hanging="360"/>
      </w:pPr>
      <w:rPr>
        <w:rFonts w:ascii="Symbol" w:hAnsi="Symbol" w:cs="Symbol" w:hint="default"/>
        <w:sz w:val="24"/>
      </w:rPr>
    </w:lvl>
  </w:abstractNum>
  <w:abstractNum w:abstractNumId="72">
    <w:lvl w:ilvl="0">
      <w:start w:val="1"/>
      <w:numFmt w:val="bullet"/>
      <w:lvlText w:val=""/>
      <w:lvlJc w:val="start"/>
      <w:pPr>
        <w:tabs>
          <w:tab w:val="num" w:pos="360"/>
        </w:tabs>
        <w:ind w:start="360" w:hanging="360"/>
      </w:pPr>
      <w:rPr>
        <w:rFonts w:ascii="Symbol" w:hAnsi="Symbol" w:cs="Symbol" w:hint="default"/>
      </w:rPr>
    </w:lvl>
  </w:abstractNum>
  <w:abstractNum w:abstractNumId="73">
    <w:lvl w:ilvl="0">
      <w:start w:val="1"/>
      <w:numFmt w:val="bullet"/>
      <w:lvlText w:val=""/>
      <w:lvlJc w:val="start"/>
      <w:pPr>
        <w:tabs>
          <w:tab w:val="num" w:pos="360"/>
        </w:tabs>
        <w:ind w:start="360" w:hanging="360"/>
      </w:pPr>
      <w:rPr>
        <w:rFonts w:ascii="Symbol" w:hAnsi="Symbol" w:cs="Symbol" w:hint="default"/>
      </w:rPr>
    </w:lvl>
  </w:abstractNum>
  <w:abstractNum w:abstractNumId="74">
    <w:lvl w:ilvl="0">
      <w:start w:val="1"/>
      <w:numFmt w:val="upperRoman"/>
      <w:lvlText w:val="%1."/>
      <w:lvlJc w:val="start"/>
      <w:pPr>
        <w:tabs>
          <w:tab w:val="num" w:pos="720"/>
        </w:tabs>
        <w:ind w:start="720" w:hanging="720"/>
      </w:pPr>
      <w:rPr/>
    </w:lvl>
  </w:abstractNum>
  <w:abstractNum w:abstractNumId="75">
    <w:lvl w:ilvl="0">
      <w:start w:val="1"/>
      <w:numFmt w:val="bullet"/>
      <w:lvlText w:val=""/>
      <w:lvlJc w:val="start"/>
      <w:pPr>
        <w:tabs>
          <w:tab w:val="num" w:pos="360"/>
        </w:tabs>
        <w:ind w:start="360" w:hanging="360"/>
      </w:pPr>
      <w:rPr>
        <w:rFonts w:ascii="Symbol" w:hAnsi="Symbol" w:cs="Symbol" w:hint="default"/>
      </w:rPr>
    </w:lvl>
  </w:abstractNum>
  <w:abstractNum w:abstractNumId="76">
    <w:lvl w:ilvl="0">
      <w:start w:val="1"/>
      <w:numFmt w:val="bullet"/>
      <w:lvlText w:val=""/>
      <w:lvlJc w:val="start"/>
      <w:pPr>
        <w:tabs>
          <w:tab w:val="num" w:pos="360"/>
        </w:tabs>
        <w:ind w:start="360" w:hanging="360"/>
      </w:pPr>
      <w:rPr>
        <w:rFonts w:ascii="Symbol" w:hAnsi="Symbol" w:cs="Symbol" w:hint="default"/>
      </w:rPr>
    </w:lvl>
  </w:abstractNum>
  <w:abstractNum w:abstractNumId="77">
    <w:lvl w:ilvl="0">
      <w:start w:val="1"/>
      <w:numFmt w:val="bullet"/>
      <w:lvlText w:val=""/>
      <w:lvlJc w:val="start"/>
      <w:pPr>
        <w:tabs>
          <w:tab w:val="num" w:pos="1800"/>
        </w:tabs>
        <w:ind w:start="1800" w:hanging="360"/>
      </w:pPr>
      <w:rPr>
        <w:rFonts w:ascii="Symbol" w:hAnsi="Symbol" w:cs="Symbol" w:hint="default"/>
      </w:rPr>
    </w:lvl>
  </w:abstractNum>
  <w:abstractNum w:abstractNumId="78">
    <w:lvl w:ilvl="0">
      <w:start w:val="1"/>
      <w:numFmt w:val="bullet"/>
      <w:lvlText w:val=""/>
      <w:lvlJc w:val="start"/>
      <w:pPr>
        <w:tabs>
          <w:tab w:val="num" w:pos="360"/>
        </w:tabs>
        <w:ind w:start="360" w:hanging="360"/>
      </w:pPr>
      <w:rPr>
        <w:rFonts w:ascii="Symbol" w:hAnsi="Symbol" w:cs="Symbol" w:hint="default"/>
        <w:sz w:val="24"/>
      </w:rPr>
    </w:lvl>
  </w:abstractNum>
  <w:abstractNum w:abstractNumId="79">
    <w:lvl w:ilvl="0">
      <w:start w:val="1"/>
      <w:numFmt w:val="bullet"/>
      <w:lvlText w:val=""/>
      <w:lvlJc w:val="start"/>
      <w:pPr>
        <w:tabs>
          <w:tab w:val="num" w:pos="360"/>
        </w:tabs>
        <w:ind w:start="360" w:hanging="360"/>
      </w:pPr>
      <w:rPr>
        <w:rFonts w:ascii="Symbol" w:hAnsi="Symbol" w:cs="Symbol" w:hint="default"/>
      </w:rPr>
    </w:lvl>
  </w:abstractNum>
  <w:abstractNum w:abstractNumId="80">
    <w:lvl w:ilvl="0">
      <w:start w:val="1"/>
      <w:numFmt w:val="bullet"/>
      <w:lvlText w:val=""/>
      <w:lvlJc w:val="start"/>
      <w:pPr>
        <w:tabs>
          <w:tab w:val="num" w:pos="360"/>
        </w:tabs>
        <w:ind w:start="360" w:hanging="360"/>
      </w:pPr>
      <w:rPr>
        <w:rFonts w:ascii="Symbol" w:hAnsi="Symbol" w:cs="Symbol" w:hint="default"/>
      </w:rPr>
    </w:lvl>
  </w:abstractNum>
  <w:abstractNum w:abstractNumId="81">
    <w:lvl w:ilvl="0">
      <w:start w:val="1"/>
      <w:numFmt w:val="upperRoman"/>
      <w:lvlText w:val="%1."/>
      <w:lvlJc w:val="start"/>
      <w:pPr>
        <w:tabs>
          <w:tab w:val="num" w:pos="1440"/>
        </w:tabs>
        <w:ind w:start="1440" w:hanging="720"/>
      </w:pPr>
      <w:rPr/>
    </w:lvl>
  </w:abstractNum>
  <w:abstractNum w:abstractNumId="82">
    <w:lvl w:ilvl="0">
      <w:start w:val="1"/>
      <w:numFmt w:val="bullet"/>
      <w:lvlText w:val=""/>
      <w:lvlJc w:val="start"/>
      <w:pPr>
        <w:tabs>
          <w:tab w:val="num" w:pos="1800"/>
        </w:tabs>
        <w:ind w:start="1800" w:hanging="360"/>
      </w:pPr>
      <w:rPr>
        <w:rFonts w:ascii="Symbol" w:hAnsi="Symbol" w:cs="Symbol" w:hint="default"/>
      </w:rPr>
    </w:lvl>
  </w:abstractNum>
  <w:abstractNum w:abstractNumId="83">
    <w:lvl w:ilvl="0">
      <w:start w:val="1"/>
      <w:numFmt w:val="bullet"/>
      <w:lvlText w:val=""/>
      <w:lvlJc w:val="start"/>
      <w:pPr>
        <w:tabs>
          <w:tab w:val="num" w:pos="360"/>
        </w:tabs>
        <w:ind w:start="360" w:hanging="360"/>
      </w:pPr>
      <w:rPr>
        <w:rFonts w:ascii="Symbol" w:hAnsi="Symbol" w:cs="Symbol" w:hint="default"/>
      </w:rPr>
    </w:lvl>
  </w:abstractNum>
  <w:abstractNum w:abstractNumId="84">
    <w:lvl w:ilvl="0">
      <w:start w:val="1"/>
      <w:numFmt w:val="bullet"/>
      <w:lvlText w:val=""/>
      <w:lvlJc w:val="start"/>
      <w:pPr>
        <w:tabs>
          <w:tab w:val="num" w:pos="360"/>
        </w:tabs>
        <w:ind w:start="360" w:hanging="360"/>
      </w:pPr>
      <w:rPr>
        <w:rFonts w:ascii="Symbol" w:hAnsi="Symbol" w:cs="Symbol" w:hint="default"/>
      </w:rPr>
    </w:lvl>
  </w:abstractNum>
  <w:abstractNum w:abstractNumId="85">
    <w:lvl w:ilvl="0">
      <w:start w:val="1"/>
      <w:numFmt w:val="bullet"/>
      <w:lvlText w:val=""/>
      <w:lvlJc w:val="start"/>
      <w:pPr>
        <w:tabs>
          <w:tab w:val="num" w:pos="360"/>
        </w:tabs>
        <w:ind w:start="360" w:hanging="360"/>
      </w:pPr>
      <w:rPr>
        <w:rFonts w:ascii="Symbol" w:hAnsi="Symbol" w:cs="Symbol" w:hint="default"/>
      </w:rPr>
    </w:lvl>
  </w:abstractNum>
  <w:abstractNum w:abstractNumId="86">
    <w:lvl w:ilvl="0">
      <w:start w:val="1"/>
      <w:numFmt w:val="bullet"/>
      <w:lvlText w:val=""/>
      <w:lvlJc w:val="start"/>
      <w:pPr>
        <w:tabs>
          <w:tab w:val="num" w:pos="360"/>
        </w:tabs>
        <w:ind w:start="360" w:hanging="360"/>
      </w:pPr>
      <w:rPr>
        <w:rFonts w:ascii="Symbol" w:hAnsi="Symbol" w:cs="Symbol" w:hint="default"/>
      </w:rPr>
    </w:lvl>
  </w:abstractNum>
  <w:abstractNum w:abstractNumId="87">
    <w:lvl w:ilvl="0">
      <w:start w:val="1"/>
      <w:numFmt w:val="bullet"/>
      <w:lvlText w:val=""/>
      <w:lvlJc w:val="start"/>
      <w:pPr>
        <w:tabs>
          <w:tab w:val="num" w:pos="360"/>
        </w:tabs>
        <w:ind w:start="360" w:hanging="360"/>
      </w:pPr>
      <w:rPr>
        <w:rFonts w:ascii="Symbol" w:hAnsi="Symbol" w:cs="Symbol" w:hint="default"/>
      </w:rPr>
    </w:lvl>
  </w:abstractNum>
  <w:abstractNum w:abstractNumId="88">
    <w:lvl w:ilvl="0">
      <w:start w:val="1"/>
      <w:numFmt w:val="bullet"/>
      <w:lvlText w:val=""/>
      <w:lvlJc w:val="start"/>
      <w:pPr>
        <w:tabs>
          <w:tab w:val="num" w:pos="360"/>
        </w:tabs>
        <w:ind w:start="360" w:hanging="360"/>
      </w:pPr>
      <w:rPr>
        <w:rFonts w:ascii="Symbol" w:hAnsi="Symbol" w:cs="Symbol" w:hint="default"/>
      </w:rPr>
    </w:lvl>
  </w:abstractNum>
  <w:abstractNum w:abstractNumId="89">
    <w:lvl w:ilvl="0">
      <w:start w:val="1"/>
      <w:numFmt w:val="decimal"/>
      <w:lvlText w:val="%1."/>
      <w:lvlJc w:val="start"/>
      <w:pPr>
        <w:tabs>
          <w:tab w:val="num" w:pos="720"/>
        </w:tabs>
        <w:ind w:start="720" w:hanging="720"/>
      </w:pPr>
      <w:rPr>
        <w:u w:val="none"/>
      </w:rPr>
    </w:lvl>
  </w:abstractNum>
  <w:abstractNum w:abstractNumId="90">
    <w:lvl w:ilvl="0">
      <w:start w:val="1"/>
      <w:numFmt w:val="bullet"/>
      <w:lvlText w:val=""/>
      <w:lvlJc w:val="start"/>
      <w:pPr>
        <w:tabs>
          <w:tab w:val="num" w:pos="360"/>
        </w:tabs>
        <w:ind w:start="360" w:hanging="360"/>
      </w:pPr>
      <w:rPr>
        <w:rFonts w:ascii="Symbol" w:hAnsi="Symbol" w:cs="Symbol" w:hint="default"/>
      </w:rPr>
    </w:lvl>
  </w:abstractNum>
  <w:abstractNum w:abstractNumId="91">
    <w:lvl w:ilvl="0">
      <w:start w:val="1"/>
      <w:numFmt w:val="bullet"/>
      <w:lvlText w:val=""/>
      <w:lvlJc w:val="start"/>
      <w:pPr>
        <w:tabs>
          <w:tab w:val="num" w:pos="360"/>
        </w:tabs>
        <w:ind w:start="360" w:hanging="360"/>
      </w:pPr>
      <w:rPr>
        <w:rFonts w:ascii="Symbol" w:hAnsi="Symbol" w:cs="Symbol" w:hint="default"/>
      </w:rPr>
    </w:lvl>
  </w:abstractNum>
  <w:abstractNum w:abstractNumId="92">
    <w:lvl w:ilvl="0">
      <w:start w:val="1"/>
      <w:numFmt w:val="bullet"/>
      <w:lvlText w:val=""/>
      <w:lvlJc w:val="start"/>
      <w:pPr>
        <w:tabs>
          <w:tab w:val="num" w:pos="360"/>
        </w:tabs>
        <w:ind w:start="360" w:hanging="360"/>
      </w:pPr>
      <w:rPr>
        <w:rFonts w:ascii="Symbol" w:hAnsi="Symbol" w:cs="Symbol" w:hint="default"/>
      </w:rPr>
    </w:lvl>
  </w:abstractNum>
  <w:abstractNum w:abstractNumId="93">
    <w:lvl w:ilvl="0">
      <w:start w:val="1"/>
      <w:numFmt w:val="bullet"/>
      <w:lvlText w:val=""/>
      <w:lvlJc w:val="start"/>
      <w:pPr>
        <w:tabs>
          <w:tab w:val="num" w:pos="360"/>
        </w:tabs>
        <w:ind w:start="360" w:hanging="360"/>
      </w:pPr>
      <w:rPr>
        <w:rFonts w:ascii="Symbol" w:hAnsi="Symbol" w:cs="Symbol" w:hint="default"/>
      </w:rPr>
    </w:lvl>
  </w:abstractNum>
  <w:abstractNum w:abstractNumId="94">
    <w:lvl w:ilvl="0">
      <w:start w:val="1"/>
      <w:numFmt w:val="upperRoman"/>
      <w:lvlText w:val="%1."/>
      <w:lvlJc w:val="start"/>
      <w:pPr>
        <w:tabs>
          <w:tab w:val="num" w:pos="720"/>
        </w:tabs>
        <w:ind w:start="720" w:hanging="720"/>
      </w:pPr>
      <w:rPr/>
    </w:lvl>
  </w:abstractNum>
  <w:abstractNum w:abstractNumId="95">
    <w:lvl w:ilvl="0">
      <w:start w:val="1"/>
      <w:numFmt w:val="bullet"/>
      <w:lvlText w:val=""/>
      <w:lvlJc w:val="start"/>
      <w:pPr>
        <w:tabs>
          <w:tab w:val="num" w:pos="360"/>
        </w:tabs>
        <w:ind w:start="360" w:hanging="360"/>
      </w:pPr>
      <w:rPr>
        <w:rFonts w:ascii="Symbol" w:hAnsi="Symbol" w:cs="Symbol" w:hint="default"/>
      </w:rPr>
    </w:lvl>
  </w:abstractNum>
  <w:abstractNum w:abstractNumId="96">
    <w:lvl w:ilvl="0">
      <w:start w:val="1"/>
      <w:numFmt w:val="decimal"/>
      <w:lvlText w:val="%1."/>
      <w:lvlJc w:val="start"/>
      <w:pPr>
        <w:tabs>
          <w:tab w:val="num" w:pos="720"/>
        </w:tabs>
        <w:ind w:start="720" w:hanging="720"/>
      </w:pPr>
      <w:rPr>
        <w:u w:val="none"/>
      </w:rPr>
    </w:lvl>
  </w:abstractNum>
  <w:abstractNum w:abstractNumId="97">
    <w:lvl w:ilvl="0">
      <w:start w:val="1"/>
      <w:numFmt w:val="bullet"/>
      <w:lvlText w:val=""/>
      <w:lvlJc w:val="start"/>
      <w:pPr>
        <w:tabs>
          <w:tab w:val="num" w:pos="2160"/>
        </w:tabs>
        <w:ind w:start="2160" w:hanging="360"/>
      </w:pPr>
      <w:rPr>
        <w:rFonts w:ascii="Symbol" w:hAnsi="Symbol" w:cs="Symbol" w:hint="default"/>
      </w:rPr>
    </w:lvl>
  </w:abstractNum>
  <w:abstractNum w:abstractNumId="98">
    <w:lvl w:ilvl="0">
      <w:start w:val="1"/>
      <w:numFmt w:val="bullet"/>
      <w:lvlText w:val=""/>
      <w:lvlJc w:val="start"/>
      <w:pPr>
        <w:tabs>
          <w:tab w:val="num" w:pos="360"/>
        </w:tabs>
        <w:ind w:start="360" w:hanging="360"/>
      </w:pPr>
      <w:rPr>
        <w:rFonts w:ascii="Symbol" w:hAnsi="Symbol" w:cs="Symbol" w:hint="default"/>
      </w:rPr>
    </w:lvl>
  </w:abstractNum>
  <w:abstractNum w:abstractNumId="99">
    <w:lvl w:ilvl="0">
      <w:start w:val="1"/>
      <w:numFmt w:val="bullet"/>
      <w:lvlText w:val=""/>
      <w:lvlJc w:val="start"/>
      <w:pPr>
        <w:tabs>
          <w:tab w:val="num" w:pos="360"/>
        </w:tabs>
        <w:ind w:start="360" w:hanging="360"/>
      </w:pPr>
      <w:rPr>
        <w:rFonts w:ascii="Symbol" w:hAnsi="Symbol" w:cs="Symbol" w:hint="default"/>
      </w:rPr>
    </w:lvl>
  </w:abstractNum>
  <w:abstractNum w:abstractNumId="100">
    <w:lvl w:ilvl="0">
      <w:start w:val="1"/>
      <w:numFmt w:val="bullet"/>
      <w:lvlText w:val=""/>
      <w:lvlJc w:val="start"/>
      <w:pPr>
        <w:tabs>
          <w:tab w:val="num" w:pos="360"/>
        </w:tabs>
        <w:ind w:start="360" w:hanging="360"/>
      </w:pPr>
      <w:rPr>
        <w:rFonts w:ascii="Symbol" w:hAnsi="Symbol" w:cs="Symbol" w:hint="default"/>
      </w:rPr>
    </w:lvl>
  </w:abstractNum>
  <w:abstractNum w:abstractNumId="101">
    <w:lvl w:ilvl="0">
      <w:start w:val="1"/>
      <w:numFmt w:val="bullet"/>
      <w:lvlText w:val=""/>
      <w:lvlJc w:val="start"/>
      <w:pPr>
        <w:tabs>
          <w:tab w:val="num" w:pos="360"/>
        </w:tabs>
        <w:ind w:start="360" w:hanging="360"/>
      </w:pPr>
      <w:rPr>
        <w:rFonts w:ascii="Symbol" w:hAnsi="Symbol" w:cs="Symbol" w:hint="default"/>
      </w:rPr>
    </w:lvl>
  </w:abstractNum>
  <w:abstractNum w:abstractNumId="102">
    <w:lvl w:ilvl="0">
      <w:start w:val="1"/>
      <w:numFmt w:val="bullet"/>
      <w:lvlText w:val=""/>
      <w:lvlJc w:val="start"/>
      <w:pPr>
        <w:tabs>
          <w:tab w:val="num" w:pos="360"/>
        </w:tabs>
        <w:ind w:start="360" w:hanging="360"/>
      </w:pPr>
      <w:rPr>
        <w:rFonts w:ascii="Symbol" w:hAnsi="Symbol" w:cs="Symbol" w:hint="default"/>
      </w:rPr>
    </w:lvl>
  </w:abstractNum>
  <w:abstractNum w:abstractNumId="103">
    <w:lvl w:ilvl="0">
      <w:start w:val="1"/>
      <w:numFmt w:val="bullet"/>
      <w:lvlText w:val=""/>
      <w:lvlJc w:val="start"/>
      <w:pPr>
        <w:tabs>
          <w:tab w:val="num" w:pos="360"/>
        </w:tabs>
        <w:ind w:start="360" w:hanging="360"/>
      </w:pPr>
      <w:rPr>
        <w:rFonts w:ascii="Symbol" w:hAnsi="Symbol" w:cs="Symbol" w:hint="default"/>
      </w:rPr>
    </w:lvl>
  </w:abstractNum>
  <w:abstractNum w:abstractNumId="104">
    <w:lvl w:ilvl="0">
      <w:start w:val="1"/>
      <w:numFmt w:val="decimal"/>
      <w:lvlText w:val="%1."/>
      <w:lvlJc w:val="start"/>
      <w:pPr>
        <w:tabs>
          <w:tab w:val="num" w:pos="720"/>
        </w:tabs>
        <w:ind w:start="720" w:hanging="720"/>
      </w:pPr>
      <w:rPr>
        <w:i w:val="false"/>
        <w:u w:val="none"/>
        <w:b/>
      </w:rPr>
    </w:lvl>
  </w:abstractNum>
  <w:abstractNum w:abstractNumId="105">
    <w:lvl w:ilvl="0">
      <w:start w:val="2"/>
      <w:numFmt w:val="upperRoman"/>
      <w:lvlText w:val="%1."/>
      <w:lvlJc w:val="start"/>
      <w:pPr>
        <w:tabs>
          <w:tab w:val="num" w:pos="1440"/>
        </w:tabs>
        <w:ind w:start="1440" w:hanging="720"/>
      </w:pPr>
      <w:rPr/>
    </w:lvl>
  </w:abstractNum>
  <w:abstractNum w:abstractNumId="106">
    <w:lvl w:ilvl="0">
      <w:start w:val="1"/>
      <w:numFmt w:val="bullet"/>
      <w:lvlText w:val=""/>
      <w:lvlJc w:val="start"/>
      <w:pPr>
        <w:tabs>
          <w:tab w:val="num" w:pos="360"/>
        </w:tabs>
        <w:ind w:start="360" w:hanging="360"/>
      </w:pPr>
      <w:rPr>
        <w:rFonts w:ascii="Symbol" w:hAnsi="Symbol" w:cs="Symbol" w:hint="default"/>
      </w:rPr>
    </w:lvl>
  </w:abstractNum>
  <w:abstractNum w:abstractNumId="107">
    <w:lvl w:ilvl="0">
      <w:start w:val="1"/>
      <w:numFmt w:val="bullet"/>
      <w:lvlText w:val=""/>
      <w:lvlJc w:val="start"/>
      <w:pPr>
        <w:tabs>
          <w:tab w:val="num" w:pos="360"/>
        </w:tabs>
        <w:ind w:start="360" w:hanging="360"/>
      </w:pPr>
      <w:rPr>
        <w:rFonts w:ascii="Symbol" w:hAnsi="Symbol" w:cs="Symbol" w:hint="default"/>
      </w:rPr>
    </w:lvl>
  </w:abstractNum>
  <w:abstractNum w:abstractNumId="108">
    <w:lvl w:ilvl="0">
      <w:start w:val="1"/>
      <w:numFmt w:val="bullet"/>
      <w:lvlText w:val=""/>
      <w:lvlJc w:val="start"/>
      <w:pPr>
        <w:tabs>
          <w:tab w:val="num" w:pos="360"/>
        </w:tabs>
        <w:ind w:start="360" w:hanging="360"/>
      </w:pPr>
      <w:rPr>
        <w:rFonts w:ascii="Symbol" w:hAnsi="Symbol" w:cs="Symbol" w:hint="default"/>
      </w:rPr>
    </w:lvl>
  </w:abstractNum>
  <w:abstractNum w:abstractNumId="109">
    <w:lvl w:ilvl="0">
      <w:start w:val="1"/>
      <w:numFmt w:val="bullet"/>
      <w:lvlText w:val=""/>
      <w:lvlJc w:val="start"/>
      <w:pPr>
        <w:tabs>
          <w:tab w:val="num" w:pos="720"/>
        </w:tabs>
        <w:ind w:start="720" w:hanging="360"/>
      </w:pPr>
      <w:rPr>
        <w:rFonts w:ascii="Symbol" w:hAnsi="Symbol" w:cs="Symbol" w:hint="default"/>
      </w:rPr>
    </w:lvl>
  </w:abstractNum>
  <w:abstractNum w:abstractNumId="110">
    <w:lvl w:ilvl="0">
      <w:start w:val="1"/>
      <w:numFmt w:val="bullet"/>
      <w:lvlText w:val=""/>
      <w:lvlJc w:val="start"/>
      <w:pPr>
        <w:tabs>
          <w:tab w:val="num" w:pos="360"/>
        </w:tabs>
        <w:ind w:start="360" w:hanging="360"/>
      </w:pPr>
      <w:rPr>
        <w:rFonts w:ascii="Symbol" w:hAnsi="Symbol" w:cs="Symbol" w:hint="default"/>
        <w:sz w:val="24"/>
      </w:rPr>
    </w:lvl>
  </w:abstractNum>
  <w:abstractNum w:abstractNumId="111">
    <w:lvl w:ilvl="0">
      <w:start w:val="1"/>
      <w:numFmt w:val="bullet"/>
      <w:lvlText w:val=""/>
      <w:lvlJc w:val="start"/>
      <w:pPr>
        <w:tabs>
          <w:tab w:val="num" w:pos="360"/>
        </w:tabs>
        <w:ind w:start="360" w:hanging="360"/>
      </w:pPr>
      <w:rPr>
        <w:rFonts w:ascii="Symbol" w:hAnsi="Symbol" w:cs="Symbol" w:hint="default"/>
      </w:rPr>
    </w:lvl>
  </w:abstractNum>
  <w:abstractNum w:abstractNumId="112">
    <w:lvl w:ilvl="0">
      <w:start w:val="1"/>
      <w:numFmt w:val="bullet"/>
      <w:lvlText w:val=""/>
      <w:lvlJc w:val="start"/>
      <w:pPr>
        <w:tabs>
          <w:tab w:val="num" w:pos="360"/>
        </w:tabs>
        <w:ind w:start="360" w:hanging="360"/>
      </w:pPr>
      <w:rPr>
        <w:rFonts w:ascii="Symbol" w:hAnsi="Symbol" w:cs="Symbol" w:hint="default"/>
      </w:rPr>
    </w:lvl>
  </w:abstractNum>
  <w:abstractNum w:abstractNumId="113">
    <w:lvl w:ilvl="0">
      <w:start w:val="1"/>
      <w:numFmt w:val="bullet"/>
      <w:lvlText w:val=""/>
      <w:lvlJc w:val="start"/>
      <w:pPr>
        <w:tabs>
          <w:tab w:val="num" w:pos="360"/>
        </w:tabs>
        <w:ind w:start="360" w:hanging="360"/>
      </w:pPr>
      <w:rPr>
        <w:rFonts w:ascii="Symbol" w:hAnsi="Symbol" w:cs="Symbol" w:hint="default"/>
      </w:rPr>
    </w:lvl>
  </w:abstractNum>
  <w:abstractNum w:abstractNumId="114">
    <w:lvl w:ilvl="0">
      <w:start w:val="1"/>
      <w:numFmt w:val="bullet"/>
      <w:lvlText w:val=""/>
      <w:lvlJc w:val="start"/>
      <w:pPr>
        <w:tabs>
          <w:tab w:val="num" w:pos="1890"/>
        </w:tabs>
        <w:ind w:start="1890" w:hanging="360"/>
      </w:pPr>
      <w:rPr>
        <w:rFonts w:ascii="Symbol" w:hAnsi="Symbol" w:cs="Symbol" w:hint="default"/>
      </w:rPr>
    </w:lvl>
  </w:abstractNum>
  <w:abstractNum w:abstractNumId="115">
    <w:lvl w:ilvl="0">
      <w:start w:val="1"/>
      <w:numFmt w:val="bullet"/>
      <w:lvlText w:val=""/>
      <w:lvlJc w:val="start"/>
      <w:pPr>
        <w:tabs>
          <w:tab w:val="num" w:pos="360"/>
        </w:tabs>
        <w:ind w:start="360" w:hanging="360"/>
      </w:pPr>
      <w:rPr>
        <w:rFonts w:ascii="Symbol" w:hAnsi="Symbol" w:cs="Symbol" w:hint="default"/>
        <w:sz w:val="24"/>
      </w:rPr>
    </w:lvl>
  </w:abstractNum>
  <w:abstractNum w:abstractNumId="116">
    <w:lvl w:ilvl="0">
      <w:start w:val="1"/>
      <w:numFmt w:val="decimal"/>
      <w:lvlText w:val="%1."/>
      <w:lvlJc w:val="start"/>
      <w:pPr>
        <w:tabs>
          <w:tab w:val="num" w:pos="720"/>
        </w:tabs>
        <w:ind w:start="720" w:hanging="720"/>
      </w:pPr>
      <w:rPr>
        <w:u w:val="none"/>
      </w:rPr>
    </w:lvl>
  </w:abstractNum>
  <w:abstractNum w:abstractNumId="117">
    <w:lvl w:ilvl="0">
      <w:start w:val="1"/>
      <w:numFmt w:val="bullet"/>
      <w:lvlText w:val=""/>
      <w:lvlJc w:val="start"/>
      <w:pPr>
        <w:tabs>
          <w:tab w:val="num" w:pos="360"/>
        </w:tabs>
        <w:ind w:start="360" w:hanging="360"/>
      </w:pPr>
      <w:rPr>
        <w:rFonts w:ascii="Symbol" w:hAnsi="Symbol" w:cs="Symbol" w:hint="default"/>
      </w:rPr>
    </w:lvl>
  </w:abstractNum>
  <w:abstractNum w:abstractNumId="118">
    <w:lvl w:ilvl="0">
      <w:start w:val="1"/>
      <w:numFmt w:val="bullet"/>
      <w:lvlText w:val=""/>
      <w:lvlJc w:val="start"/>
      <w:pPr>
        <w:tabs>
          <w:tab w:val="num" w:pos="360"/>
        </w:tabs>
        <w:ind w:start="360" w:hanging="360"/>
      </w:pPr>
      <w:rPr>
        <w:rFonts w:ascii="Symbol" w:hAnsi="Symbol" w:cs="Symbol" w:hint="default"/>
      </w:rPr>
    </w:lvl>
  </w:abstractNum>
  <w:abstractNum w:abstractNumId="119">
    <w:lvl w:ilvl="0">
      <w:start w:val="1"/>
      <w:numFmt w:val="decimal"/>
      <w:lvlText w:val="%1."/>
      <w:lvlJc w:val="start"/>
      <w:pPr>
        <w:tabs>
          <w:tab w:val="num" w:pos="720"/>
        </w:tabs>
        <w:ind w:start="720" w:hanging="720"/>
      </w:pPr>
      <w:rPr>
        <w:u w:val="none"/>
      </w:rPr>
    </w:lvl>
  </w:abstractNum>
  <w:abstractNum w:abstractNumId="120">
    <w:lvl w:ilvl="0">
      <w:start w:val="1"/>
      <w:numFmt w:val="bullet"/>
      <w:lvlText w:val=""/>
      <w:lvlJc w:val="start"/>
      <w:pPr>
        <w:tabs>
          <w:tab w:val="num" w:pos="360"/>
        </w:tabs>
        <w:ind w:start="360" w:hanging="360"/>
      </w:pPr>
      <w:rPr>
        <w:rFonts w:ascii="Symbol" w:hAnsi="Symbol" w:cs="Symbol" w:hint="default"/>
      </w:rPr>
    </w:lvl>
  </w:abstractNum>
  <w:abstractNum w:abstractNumId="121">
    <w:lvl w:ilvl="0">
      <w:start w:val="1"/>
      <w:numFmt w:val="bullet"/>
      <w:lvlText w:val=""/>
      <w:lvlJc w:val="start"/>
      <w:pPr>
        <w:tabs>
          <w:tab w:val="num" w:pos="360"/>
        </w:tabs>
        <w:ind w:start="360" w:hanging="360"/>
      </w:pPr>
      <w:rPr>
        <w:rFonts w:ascii="Symbol" w:hAnsi="Symbol" w:cs="Symbol" w:hint="default"/>
      </w:rPr>
    </w:lvl>
  </w:abstractNum>
  <w:abstractNum w:abstractNumId="122">
    <w:lvl w:ilvl="0">
      <w:start w:val="1"/>
      <w:numFmt w:val="bullet"/>
      <w:lvlText w:val=""/>
      <w:lvlJc w:val="start"/>
      <w:pPr>
        <w:tabs>
          <w:tab w:val="num" w:pos="360"/>
        </w:tabs>
        <w:ind w:start="360" w:hanging="360"/>
      </w:pPr>
      <w:rPr>
        <w:rFonts w:ascii="Symbol" w:hAnsi="Symbol" w:cs="Symbol" w:hint="default"/>
      </w:rPr>
    </w:lvl>
  </w:abstractNum>
  <w:abstractNum w:abstractNumId="123">
    <w:lvl w:ilvl="0">
      <w:start w:val="1"/>
      <w:numFmt w:val="upperRoman"/>
      <w:lvlText w:val="%1."/>
      <w:lvlJc w:val="start"/>
      <w:pPr>
        <w:tabs>
          <w:tab w:val="num" w:pos="720"/>
        </w:tabs>
        <w:ind w:start="720" w:hanging="720"/>
      </w:pPr>
      <w:rPr/>
    </w:lvl>
  </w:abstractNum>
  <w:abstractNum w:abstractNumId="124">
    <w:lvl w:ilvl="0">
      <w:start w:val="1"/>
      <w:numFmt w:val="bullet"/>
      <w:lvlText w:val=""/>
      <w:lvlJc w:val="start"/>
      <w:pPr>
        <w:tabs>
          <w:tab w:val="num" w:pos="360"/>
        </w:tabs>
        <w:ind w:start="360" w:hanging="360"/>
      </w:pPr>
      <w:rPr>
        <w:rFonts w:ascii="Symbol" w:hAnsi="Symbol" w:cs="Symbol" w:hint="default"/>
      </w:rPr>
    </w:lvl>
  </w:abstractNum>
  <w:abstractNum w:abstractNumId="125">
    <w:lvl w:ilvl="0">
      <w:start w:val="1"/>
      <w:numFmt w:val="bullet"/>
      <w:lvlText w:val=""/>
      <w:lvlJc w:val="start"/>
      <w:pPr>
        <w:tabs>
          <w:tab w:val="num" w:pos="360"/>
        </w:tabs>
        <w:ind w:start="360" w:hanging="360"/>
      </w:pPr>
      <w:rPr>
        <w:rFonts w:ascii="Symbol" w:hAnsi="Symbol" w:cs="Symbol" w:hint="default"/>
      </w:rPr>
    </w:lvl>
  </w:abstractNum>
  <w:abstractNum w:abstractNumId="126">
    <w:lvl w:ilvl="0">
      <w:start w:val="1"/>
      <w:numFmt w:val="decimal"/>
      <w:lvlText w:val="%1."/>
      <w:lvlJc w:val="start"/>
      <w:pPr>
        <w:tabs>
          <w:tab w:val="num" w:pos="720"/>
        </w:tabs>
        <w:ind w:start="720" w:hanging="720"/>
      </w:pPr>
      <w:rPr>
        <w:u w:val="none"/>
      </w:rPr>
    </w:lvl>
  </w:abstractNum>
  <w:abstractNum w:abstractNumId="127">
    <w:lvl w:ilvl="0">
      <w:start w:val="1"/>
      <w:numFmt w:val="bullet"/>
      <w:lvlText w:val=""/>
      <w:lvlJc w:val="start"/>
      <w:pPr>
        <w:tabs>
          <w:tab w:val="num" w:pos="360"/>
        </w:tabs>
        <w:ind w:start="360" w:hanging="360"/>
      </w:pPr>
      <w:rPr>
        <w:rFonts w:ascii="Symbol" w:hAnsi="Symbol" w:cs="Symbol" w:hint="default"/>
      </w:rPr>
    </w:lvl>
  </w:abstractNum>
  <w:abstractNum w:abstractNumId="128">
    <w:lvl w:ilvl="0">
      <w:start w:val="1"/>
      <w:numFmt w:val="bullet"/>
      <w:lvlText w:val=""/>
      <w:lvlJc w:val="start"/>
      <w:pPr>
        <w:tabs>
          <w:tab w:val="num" w:pos="360"/>
        </w:tabs>
        <w:ind w:start="360" w:hanging="360"/>
      </w:pPr>
      <w:rPr>
        <w:rFonts w:ascii="Symbol" w:hAnsi="Symbol" w:cs="Symbol" w:hint="default"/>
      </w:rPr>
    </w:lvl>
  </w:abstractNum>
  <w:abstractNum w:abstractNumId="129">
    <w:lvl w:ilvl="0">
      <w:start w:val="1"/>
      <w:numFmt w:val="bullet"/>
      <w:lvlText w:val=""/>
      <w:lvlJc w:val="start"/>
      <w:pPr>
        <w:tabs>
          <w:tab w:val="num" w:pos="360"/>
        </w:tabs>
        <w:ind w:start="360" w:hanging="360"/>
      </w:pPr>
      <w:rPr>
        <w:rFonts w:ascii="Symbol" w:hAnsi="Symbol" w:cs="Symbol" w:hint="default"/>
      </w:rPr>
    </w:lvl>
  </w:abstractNum>
  <w:abstractNum w:abstractNumId="130">
    <w:lvl w:ilvl="0">
      <w:start w:val="1"/>
      <w:numFmt w:val="bullet"/>
      <w:lvlText w:val=""/>
      <w:lvlJc w:val="start"/>
      <w:pPr>
        <w:tabs>
          <w:tab w:val="num" w:pos="360"/>
        </w:tabs>
        <w:ind w:start="360" w:hanging="360"/>
      </w:pPr>
      <w:rPr>
        <w:rFonts w:ascii="Symbol" w:hAnsi="Symbol" w:cs="Symbol" w:hint="default"/>
      </w:rPr>
    </w:lvl>
  </w:abstractNum>
  <w:abstractNum w:abstractNumId="131">
    <w:lvl w:ilvl="0">
      <w:start w:val="1"/>
      <w:numFmt w:val="bullet"/>
      <w:lvlText w:val=""/>
      <w:lvlJc w:val="start"/>
      <w:pPr>
        <w:tabs>
          <w:tab w:val="num" w:pos="360"/>
        </w:tabs>
        <w:ind w:start="360" w:hanging="360"/>
      </w:pPr>
      <w:rPr>
        <w:rFonts w:ascii="Symbol" w:hAnsi="Symbol" w:cs="Symbol" w:hint="default"/>
      </w:rPr>
    </w:lvl>
  </w:abstractNum>
  <w:abstractNum w:abstractNumId="132">
    <w:lvl w:ilvl="0">
      <w:start w:val="1"/>
      <w:numFmt w:val="bullet"/>
      <w:lvlText w:val=""/>
      <w:lvlJc w:val="start"/>
      <w:pPr>
        <w:tabs>
          <w:tab w:val="num" w:pos="360"/>
        </w:tabs>
        <w:ind w:start="360" w:hanging="360"/>
      </w:pPr>
      <w:rPr>
        <w:rFonts w:ascii="Symbol" w:hAnsi="Symbol" w:cs="Symbol" w:hint="default"/>
      </w:rPr>
    </w:lvl>
  </w:abstractNum>
  <w:abstractNum w:abstractNumId="133">
    <w:lvl w:ilvl="0">
      <w:start w:val="1"/>
      <w:numFmt w:val="bullet"/>
      <w:lvlText w:val=""/>
      <w:lvlJc w:val="start"/>
      <w:pPr>
        <w:tabs>
          <w:tab w:val="num" w:pos="360"/>
        </w:tabs>
        <w:ind w:start="360" w:hanging="360"/>
      </w:pPr>
      <w:rPr>
        <w:rFonts w:ascii="Symbol" w:hAnsi="Symbol" w:cs="Symbol" w:hint="default"/>
      </w:rPr>
    </w:lvl>
  </w:abstractNum>
  <w:abstractNum w:abstractNumId="134">
    <w:lvl w:ilvl="0">
      <w:start w:val="1"/>
      <w:numFmt w:val="bullet"/>
      <w:lvlText w:val=""/>
      <w:lvlJc w:val="start"/>
      <w:pPr>
        <w:tabs>
          <w:tab w:val="num" w:pos="360"/>
        </w:tabs>
        <w:ind w:start="360" w:hanging="360"/>
      </w:pPr>
      <w:rPr>
        <w:rFonts w:ascii="Symbol" w:hAnsi="Symbol" w:cs="Symbol" w:hint="default"/>
      </w:rPr>
    </w:lvl>
  </w:abstractNum>
  <w:abstractNum w:abstractNumId="135">
    <w:lvl w:ilvl="0">
      <w:start w:val="1"/>
      <w:numFmt w:val="bullet"/>
      <w:lvlText w:val=""/>
      <w:lvlJc w:val="start"/>
      <w:pPr>
        <w:tabs>
          <w:tab w:val="num" w:pos="360"/>
        </w:tabs>
        <w:ind w:start="360" w:hanging="360"/>
      </w:pPr>
      <w:rPr>
        <w:rFonts w:ascii="Symbol" w:hAnsi="Symbol" w:cs="Symbol" w:hint="default"/>
      </w:rPr>
    </w:lvl>
  </w:abstractNum>
  <w:abstractNum w:abstractNumId="136">
    <w:lvl w:ilvl="0">
      <w:start w:val="1"/>
      <w:numFmt w:val="bullet"/>
      <w:lvlText w:val=""/>
      <w:lvlJc w:val="start"/>
      <w:pPr>
        <w:tabs>
          <w:tab w:val="num" w:pos="360"/>
        </w:tabs>
        <w:ind w:start="360" w:hanging="360"/>
      </w:pPr>
      <w:rPr>
        <w:rFonts w:ascii="Symbol" w:hAnsi="Symbol" w:cs="Symbol" w:hint="default"/>
      </w:rPr>
    </w:lvl>
  </w:abstractNum>
  <w:abstractNum w:abstractNumId="137">
    <w:lvl w:ilvl="0">
      <w:start w:val="1"/>
      <w:numFmt w:val="bullet"/>
      <w:lvlText w:val=""/>
      <w:lvlJc w:val="start"/>
      <w:pPr>
        <w:tabs>
          <w:tab w:val="num" w:pos="360"/>
        </w:tabs>
        <w:ind w:start="360" w:hanging="360"/>
      </w:pPr>
      <w:rPr>
        <w:rFonts w:ascii="Symbol" w:hAnsi="Symbol" w:cs="Symbol" w:hint="default"/>
      </w:rPr>
    </w:lvl>
  </w:abstractNum>
  <w:abstractNum w:abstractNumId="138">
    <w:lvl w:ilvl="0">
      <w:start w:val="1"/>
      <w:numFmt w:val="decimal"/>
      <w:lvlText w:val="%1."/>
      <w:lvlJc w:val="start"/>
      <w:pPr>
        <w:tabs>
          <w:tab w:val="num" w:pos="720"/>
        </w:tabs>
        <w:ind w:start="720" w:hanging="720"/>
      </w:pPr>
      <w:rPr>
        <w:u w:val="none"/>
      </w:rPr>
    </w:lvl>
  </w:abstractNum>
  <w:abstractNum w:abstractNumId="139">
    <w:lvl w:ilvl="0">
      <w:start w:val="1"/>
      <w:numFmt w:val="bullet"/>
      <w:lvlText w:val=""/>
      <w:lvlJc w:val="start"/>
      <w:pPr>
        <w:tabs>
          <w:tab w:val="num" w:pos="720"/>
        </w:tabs>
        <w:ind w:start="720" w:hanging="360"/>
      </w:pPr>
      <w:rPr>
        <w:rFonts w:ascii="Symbol" w:hAnsi="Symbol" w:cs="Symbol" w:hint="default"/>
      </w:rPr>
    </w:lvl>
  </w:abstractNum>
  <w:abstractNum w:abstractNumId="140">
    <w:lvl w:ilvl="0">
      <w:start w:val="1"/>
      <w:numFmt w:val="decimal"/>
      <w:lvlText w:val="%1."/>
      <w:lvlJc w:val="start"/>
      <w:pPr>
        <w:tabs>
          <w:tab w:val="num" w:pos="720"/>
        </w:tabs>
        <w:ind w:start="720" w:hanging="720"/>
      </w:pPr>
      <w:rPr>
        <w:u w:val="none"/>
      </w:rPr>
    </w:lvl>
  </w:abstractNum>
  <w:abstractNum w:abstractNumId="141">
    <w:lvl w:ilvl="0">
      <w:start w:val="1"/>
      <w:numFmt w:val="bullet"/>
      <w:lvlText w:val=""/>
      <w:lvlJc w:val="start"/>
      <w:pPr>
        <w:tabs>
          <w:tab w:val="num" w:pos="360"/>
        </w:tabs>
        <w:ind w:start="360" w:hanging="360"/>
      </w:pPr>
      <w:rPr>
        <w:rFonts w:ascii="Symbol" w:hAnsi="Symbol" w:cs="Symbol" w:hint="default"/>
        <w:sz w:val="24"/>
      </w:rPr>
    </w:lvl>
  </w:abstractNum>
  <w:abstractNum w:abstractNumId="142">
    <w:lvl w:ilvl="0">
      <w:start w:val="1"/>
      <w:numFmt w:val="upperRoman"/>
      <w:lvlText w:val="%1."/>
      <w:lvlJc w:val="start"/>
      <w:pPr>
        <w:tabs>
          <w:tab w:val="num" w:pos="720"/>
        </w:tabs>
        <w:ind w:start="720" w:hanging="720"/>
      </w:pPr>
      <w:rPr/>
    </w:lvl>
  </w:abstractNum>
  <w:abstractNum w:abstractNumId="143">
    <w:lvl w:ilvl="0">
      <w:start w:val="1"/>
      <w:numFmt w:val="bullet"/>
      <w:lvlText w:val=""/>
      <w:lvlJc w:val="start"/>
      <w:pPr>
        <w:tabs>
          <w:tab w:val="num" w:pos="360"/>
        </w:tabs>
        <w:ind w:start="360" w:hanging="360"/>
      </w:pPr>
      <w:rPr>
        <w:rFonts w:ascii="Symbol" w:hAnsi="Symbol" w:cs="Symbol" w:hint="default"/>
      </w:rPr>
    </w:lvl>
  </w:abstractNum>
  <w:abstractNum w:abstractNumId="144">
    <w:lvl w:ilvl="0">
      <w:start w:val="1"/>
      <w:numFmt w:val="bullet"/>
      <w:lvlText w:val=""/>
      <w:lvlJc w:val="start"/>
      <w:pPr>
        <w:tabs>
          <w:tab w:val="num" w:pos="360"/>
        </w:tabs>
        <w:ind w:start="360" w:hanging="360"/>
      </w:pPr>
      <w:rPr>
        <w:rFonts w:ascii="Symbol" w:hAnsi="Symbol" w:cs="Symbol" w:hint="default"/>
      </w:rPr>
    </w:lvl>
  </w:abstractNum>
  <w:abstractNum w:abstractNumId="145">
    <w:lvl w:ilvl="0">
      <w:start w:val="1"/>
      <w:numFmt w:val="bullet"/>
      <w:lvlText w:val=""/>
      <w:lvlJc w:val="start"/>
      <w:pPr>
        <w:tabs>
          <w:tab w:val="num" w:pos="360"/>
        </w:tabs>
        <w:ind w:start="360" w:hanging="360"/>
      </w:pPr>
      <w:rPr>
        <w:rFonts w:ascii="Symbol" w:hAnsi="Symbol" w:cs="Symbol" w:hint="default"/>
      </w:rPr>
    </w:lvl>
  </w:abstractNum>
  <w:abstractNum w:abstractNumId="146">
    <w:lvl w:ilvl="0">
      <w:start w:val="1"/>
      <w:numFmt w:val="upperRoman"/>
      <w:lvlText w:val="%1."/>
      <w:lvlJc w:val="start"/>
      <w:pPr>
        <w:tabs>
          <w:tab w:val="num" w:pos="720"/>
        </w:tabs>
        <w:ind w:start="720" w:hanging="720"/>
      </w:pPr>
      <w:rPr/>
    </w:lvl>
  </w:abstractNum>
  <w:abstractNum w:abstractNumId="147">
    <w:lvl w:ilvl="0">
      <w:start w:val="1"/>
      <w:numFmt w:val="bullet"/>
      <w:lvlText w:val=""/>
      <w:lvlJc w:val="start"/>
      <w:pPr>
        <w:tabs>
          <w:tab w:val="num" w:pos="360"/>
        </w:tabs>
        <w:ind w:start="360" w:hanging="360"/>
      </w:pPr>
      <w:rPr>
        <w:rFonts w:ascii="Symbol" w:hAnsi="Symbol" w:cs="Symbol" w:hint="default"/>
      </w:rPr>
    </w:lvl>
  </w:abstractNum>
  <w:abstractNum w:abstractNumId="148">
    <w:lvl w:ilvl="0">
      <w:start w:val="1"/>
      <w:numFmt w:val="bullet"/>
      <w:lvlText w:val=""/>
      <w:lvlJc w:val="start"/>
      <w:pPr>
        <w:tabs>
          <w:tab w:val="num" w:pos="360"/>
        </w:tabs>
        <w:ind w:start="360" w:hanging="360"/>
      </w:pPr>
      <w:rPr>
        <w:rFonts w:ascii="Symbol" w:hAnsi="Symbol" w:cs="Symbol" w:hint="default"/>
      </w:rPr>
    </w:lvl>
  </w:abstractNum>
  <w:abstractNum w:abstractNumId="149">
    <w:lvl w:ilvl="0">
      <w:start w:val="1"/>
      <w:numFmt w:val="decimal"/>
      <w:lvlText w:val="%1."/>
      <w:lvlJc w:val="start"/>
      <w:pPr>
        <w:tabs>
          <w:tab w:val="num" w:pos="720"/>
        </w:tabs>
        <w:ind w:start="720" w:hanging="720"/>
      </w:pPr>
      <w:rPr>
        <w:i w:val="false"/>
        <w:u w:val="none"/>
        <w:b/>
      </w:rPr>
    </w:lvl>
  </w:abstractNum>
  <w:abstractNum w:abstractNumId="150">
    <w:lvl w:ilvl="0">
      <w:start w:val="1"/>
      <w:numFmt w:val="bullet"/>
      <w:lvlText w:val=""/>
      <w:lvlJc w:val="start"/>
      <w:pPr>
        <w:tabs>
          <w:tab w:val="num" w:pos="360"/>
        </w:tabs>
        <w:ind w:start="360" w:hanging="360"/>
      </w:pPr>
      <w:rPr>
        <w:rFonts w:ascii="Symbol" w:hAnsi="Symbol" w:cs="Symbol" w:hint="default"/>
      </w:rPr>
    </w:lvl>
  </w:abstractNum>
  <w:abstractNum w:abstractNumId="151">
    <w:lvl w:ilvl="0">
      <w:start w:val="1"/>
      <w:numFmt w:val="bullet"/>
      <w:lvlText w:val=""/>
      <w:lvlJc w:val="start"/>
      <w:pPr>
        <w:tabs>
          <w:tab w:val="num" w:pos="360"/>
        </w:tabs>
        <w:ind w:start="360" w:hanging="360"/>
      </w:pPr>
      <w:rPr>
        <w:rFonts w:ascii="Symbol" w:hAnsi="Symbol" w:cs="Symbol" w:hint="default"/>
      </w:rPr>
    </w:lvl>
  </w:abstractNum>
  <w:abstractNum w:abstractNumId="152">
    <w:lvl w:ilvl="0">
      <w:start w:val="1"/>
      <w:numFmt w:val="bullet"/>
      <w:lvlText w:val=""/>
      <w:lvlJc w:val="start"/>
      <w:pPr>
        <w:tabs>
          <w:tab w:val="num" w:pos="360"/>
        </w:tabs>
        <w:ind w:start="360" w:hanging="360"/>
      </w:pPr>
      <w:rPr>
        <w:rFonts w:ascii="Symbol" w:hAnsi="Symbol" w:cs="Symbol" w:hint="default"/>
      </w:rPr>
    </w:lvl>
  </w:abstractNum>
  <w:abstractNum w:abstractNumId="153">
    <w:lvl w:ilvl="0">
      <w:start w:val="1"/>
      <w:numFmt w:val="bullet"/>
      <w:lvlText w:val=""/>
      <w:lvlJc w:val="start"/>
      <w:pPr>
        <w:tabs>
          <w:tab w:val="num" w:pos="360"/>
        </w:tabs>
        <w:ind w:start="360" w:hanging="360"/>
      </w:pPr>
      <w:rPr>
        <w:rFonts w:ascii="Symbol" w:hAnsi="Symbol" w:cs="Symbol" w:hint="default"/>
      </w:rPr>
    </w:lvl>
  </w:abstractNum>
  <w:abstractNum w:abstractNumId="154">
    <w:lvl w:ilvl="0">
      <w:start w:val="1"/>
      <w:numFmt w:val="bullet"/>
      <w:lvlText w:val=""/>
      <w:lvlJc w:val="start"/>
      <w:pPr>
        <w:tabs>
          <w:tab w:val="num" w:pos="360"/>
        </w:tabs>
        <w:ind w:start="360" w:hanging="360"/>
      </w:pPr>
      <w:rPr>
        <w:rFonts w:ascii="Symbol" w:hAnsi="Symbol" w:cs="Symbol" w:hint="default"/>
      </w:rPr>
    </w:lvl>
  </w:abstractNum>
  <w:abstractNum w:abstractNumId="155">
    <w:lvl w:ilvl="0">
      <w:start w:val="1"/>
      <w:numFmt w:val="bullet"/>
      <w:lvlText w:val=""/>
      <w:lvlJc w:val="start"/>
      <w:pPr>
        <w:tabs>
          <w:tab w:val="num" w:pos="360"/>
        </w:tabs>
        <w:ind w:start="360" w:hanging="360"/>
      </w:pPr>
      <w:rPr>
        <w:rFonts w:ascii="Symbol" w:hAnsi="Symbol" w:cs="Symbol" w:hint="default"/>
      </w:rPr>
    </w:lvl>
  </w:abstractNum>
  <w:abstractNum w:abstractNumId="156">
    <w:lvl w:ilvl="0">
      <w:start w:val="1"/>
      <w:numFmt w:val="decimal"/>
      <w:lvlText w:val="%1."/>
      <w:lvlJc w:val="start"/>
      <w:pPr>
        <w:tabs>
          <w:tab w:val="num" w:pos="720"/>
        </w:tabs>
        <w:ind w:start="720" w:hanging="720"/>
      </w:pPr>
      <w:rPr>
        <w:u w:val="none"/>
      </w:rPr>
    </w:lvl>
  </w:abstractNum>
  <w:abstractNum w:abstractNumId="157">
    <w:lvl w:ilvl="0">
      <w:start w:val="1"/>
      <w:numFmt w:val="bullet"/>
      <w:lvlText w:val=""/>
      <w:lvlJc w:val="start"/>
      <w:pPr>
        <w:tabs>
          <w:tab w:val="num" w:pos="360"/>
        </w:tabs>
        <w:ind w:start="360" w:hanging="360"/>
      </w:pPr>
      <w:rPr>
        <w:rFonts w:ascii="Symbol" w:hAnsi="Symbol" w:cs="Symbol" w:hint="default"/>
      </w:rPr>
    </w:lvl>
  </w:abstractNum>
  <w:abstractNum w:abstractNumId="158">
    <w:lvl w:ilvl="0">
      <w:start w:val="1"/>
      <w:numFmt w:val="bullet"/>
      <w:lvlText w:val=""/>
      <w:lvlJc w:val="start"/>
      <w:pPr>
        <w:tabs>
          <w:tab w:val="num" w:pos="360"/>
        </w:tabs>
        <w:ind w:start="360" w:hanging="360"/>
      </w:pPr>
      <w:rPr>
        <w:rFonts w:ascii="Symbol" w:hAnsi="Symbol" w:cs="Symbol" w:hint="default"/>
      </w:rPr>
    </w:lvl>
  </w:abstractNum>
  <w:abstractNum w:abstractNumId="159">
    <w:lvl w:ilvl="0">
      <w:start w:val="1"/>
      <w:numFmt w:val="bullet"/>
      <w:lvlText w:val=""/>
      <w:lvlJc w:val="start"/>
      <w:pPr>
        <w:tabs>
          <w:tab w:val="num" w:pos="360"/>
        </w:tabs>
        <w:ind w:start="360" w:hanging="360"/>
      </w:pPr>
      <w:rPr>
        <w:rFonts w:ascii="Symbol" w:hAnsi="Symbol" w:cs="Symbol" w:hint="default"/>
      </w:rPr>
    </w:lvl>
  </w:abstractNum>
  <w:abstractNum w:abstractNumId="160">
    <w:lvl w:ilvl="0">
      <w:start w:val="1"/>
      <w:numFmt w:val="bullet"/>
      <w:lvlText w:val=""/>
      <w:lvlJc w:val="start"/>
      <w:pPr>
        <w:tabs>
          <w:tab w:val="num" w:pos="360"/>
        </w:tabs>
        <w:ind w:start="360" w:hanging="360"/>
      </w:pPr>
      <w:rPr>
        <w:rFonts w:ascii="Symbol" w:hAnsi="Symbol" w:cs="Symbol" w:hint="default"/>
      </w:rPr>
    </w:lvl>
  </w:abstractNum>
  <w:abstractNum w:abstractNumId="161">
    <w:lvl w:ilvl="0">
      <w:start w:val="1"/>
      <w:numFmt w:val="bullet"/>
      <w:lvlText w:val=""/>
      <w:lvlJc w:val="start"/>
      <w:pPr>
        <w:tabs>
          <w:tab w:val="num" w:pos="360"/>
        </w:tabs>
        <w:ind w:start="360" w:hanging="360"/>
      </w:pPr>
      <w:rPr>
        <w:rFonts w:ascii="Symbol" w:hAnsi="Symbol" w:cs="Symbol" w:hint="default"/>
      </w:rPr>
    </w:lvl>
  </w:abstractNum>
  <w:abstractNum w:abstractNumId="162">
    <w:lvl w:ilvl="0">
      <w:start w:val="1"/>
      <w:numFmt w:val="upperRoman"/>
      <w:lvlText w:val="%1."/>
      <w:lvlJc w:val="start"/>
      <w:pPr>
        <w:tabs>
          <w:tab w:val="num" w:pos="720"/>
        </w:tabs>
        <w:ind w:start="720" w:hanging="720"/>
      </w:pPr>
      <w:rPr/>
    </w:lvl>
  </w:abstractNum>
  <w:abstractNum w:abstractNumId="16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w:hAnsi="Arial" w:cs="Arial"/>
      <w:b/>
      <w:sz w:val="24"/>
    </w:rPr>
  </w:style>
  <w:style w:type="paragraph" w:styleId="Heading2">
    <w:name w:val="heading 2"/>
    <w:basedOn w:val="Normal"/>
    <w:next w:val="Normal"/>
    <w:qFormat/>
    <w:pPr>
      <w:keepNext w:val="true"/>
      <w:numPr>
        <w:ilvl w:val="1"/>
        <w:numId w:val="1"/>
      </w:numPr>
      <w:outlineLvl w:val="1"/>
    </w:pPr>
    <w:rPr>
      <w:rFonts w:ascii="Arial" w:hAnsi="Arial" w:cs="Arial"/>
      <w:sz w:val="24"/>
      <w:u w:val="single"/>
    </w:rPr>
  </w:style>
  <w:style w:type="paragraph" w:styleId="Heading3">
    <w:name w:val="heading 3"/>
    <w:basedOn w:val="Normal"/>
    <w:next w:val="Normal"/>
    <w:qFormat/>
    <w:pPr>
      <w:keepNext w:val="true"/>
      <w:numPr>
        <w:ilvl w:val="2"/>
        <w:numId w:val="1"/>
      </w:numPr>
      <w:tabs>
        <w:tab w:val="clear" w:pos="720"/>
        <w:tab w:val="left" w:pos="1440" w:leader="none"/>
      </w:tabs>
      <w:jc w:val="end"/>
      <w:outlineLvl w:val="2"/>
    </w:pPr>
    <w:rPr>
      <w:rFonts w:ascii="Arial" w:hAnsi="Arial" w:cs="Arial"/>
      <w:i/>
      <w:u w:val="single"/>
    </w:rPr>
  </w:style>
  <w:style w:type="paragraph" w:styleId="Heading4">
    <w:name w:val="heading 4"/>
    <w:basedOn w:val="Normal"/>
    <w:next w:val="Normal"/>
    <w:qFormat/>
    <w:pPr>
      <w:keepNext w:val="true"/>
      <w:numPr>
        <w:ilvl w:val="3"/>
        <w:numId w:val="1"/>
      </w:numPr>
      <w:jc w:val="both"/>
      <w:outlineLvl w:val="3"/>
    </w:pPr>
    <w:rPr>
      <w:rFonts w:ascii="Arial" w:hAnsi="Arial" w:cs="Arial"/>
      <w:sz w:val="24"/>
      <w:u w:val="single"/>
    </w:rPr>
  </w:style>
  <w:style w:type="paragraph" w:styleId="Heading5">
    <w:name w:val="heading 5"/>
    <w:basedOn w:val="Normal"/>
    <w:next w:val="Normal"/>
    <w:qFormat/>
    <w:pPr>
      <w:keepNext w:val="true"/>
      <w:numPr>
        <w:ilvl w:val="4"/>
        <w:numId w:val="1"/>
      </w:numPr>
      <w:outlineLvl w:val="4"/>
    </w:pPr>
    <w:rPr>
      <w:rFonts w:ascii="Arial" w:hAnsi="Arial" w:cs="Arial"/>
      <w:b/>
      <w:sz w:val="24"/>
    </w:rPr>
  </w:style>
  <w:style w:type="paragraph" w:styleId="Heading6">
    <w:name w:val="heading 6"/>
    <w:basedOn w:val="Normal"/>
    <w:next w:val="Normal"/>
    <w:qFormat/>
    <w:pPr>
      <w:keepNext w:val="true"/>
      <w:numPr>
        <w:ilvl w:val="5"/>
        <w:numId w:val="1"/>
      </w:numPr>
      <w:jc w:val="both"/>
      <w:outlineLvl w:val="5"/>
    </w:pPr>
    <w:rPr>
      <w:rFonts w:ascii="Arial" w:hAnsi="Arial" w:cs="Arial"/>
      <w:b/>
      <w:sz w:val="24"/>
    </w:rPr>
  </w:style>
  <w:style w:type="paragraph" w:styleId="Heading7">
    <w:name w:val="heading 7"/>
    <w:basedOn w:val="Normal"/>
    <w:next w:val="Normal"/>
    <w:qFormat/>
    <w:pPr>
      <w:keepNext w:val="true"/>
      <w:numPr>
        <w:ilvl w:val="6"/>
        <w:numId w:val="1"/>
      </w:numPr>
      <w:tabs>
        <w:tab w:val="clear" w:pos="720"/>
        <w:tab w:val="left" w:pos="1440" w:leader="none"/>
      </w:tabs>
      <w:outlineLvl w:val="6"/>
    </w:pPr>
    <w:rPr>
      <w:rFonts w:ascii="Arial" w:hAnsi="Arial" w:cs="Arial"/>
      <w:sz w:val="24"/>
    </w:rPr>
  </w:style>
  <w:style w:type="paragraph" w:styleId="Heading8">
    <w:name w:val="heading 8"/>
    <w:basedOn w:val="Normal"/>
    <w:next w:val="Normal"/>
    <w:qFormat/>
    <w:pPr>
      <w:keepNext w:val="true"/>
      <w:numPr>
        <w:ilvl w:val="7"/>
        <w:numId w:val="1"/>
      </w:numPr>
      <w:jc w:val="both"/>
      <w:outlineLvl w:val="7"/>
    </w:pPr>
    <w:rPr>
      <w:rFonts w:ascii="Arial" w:hAnsi="Arial" w:cs="Arial"/>
      <w:b/>
      <w:sz w:val="24"/>
      <w:u w:val="single"/>
    </w:rPr>
  </w:style>
  <w:style w:type="paragraph" w:styleId="Heading9">
    <w:name w:val="heading 9"/>
    <w:basedOn w:val="Normal"/>
    <w:next w:val="Normal"/>
    <w:qFormat/>
    <w:pPr>
      <w:keepNext w:val="true"/>
      <w:numPr>
        <w:ilvl w:val="8"/>
        <w:numId w:val="1"/>
      </w:numPr>
      <w:jc w:val="both"/>
      <w:outlineLvl w:val="8"/>
    </w:pPr>
    <w:rPr>
      <w:rFonts w:ascii="Arial" w:hAnsi="Arial" w:cs="Arial"/>
      <w:sz w:val="24"/>
    </w:rPr>
  </w:style>
  <w:style w:type="character" w:styleId="WW8Num2z0">
    <w:name w:val="WW8Num2z0"/>
    <w:qFormat/>
    <w:rPr>
      <w:u w:val="none"/>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u w:val="none"/>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8z0">
    <w:name w:val="WW8Num38z0"/>
    <w:qFormat/>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color w:val="auto"/>
      <w:sz w:val="16"/>
    </w:rPr>
  </w:style>
  <w:style w:type="character" w:styleId="WW8Num48z0">
    <w:name w:val="WW8Num48z0"/>
    <w:qFormat/>
    <w:rPr>
      <w:b w:val="false"/>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color w:val="auto"/>
      <w:sz w:val="16"/>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u w:val="none"/>
    </w:rPr>
  </w:style>
  <w:style w:type="character" w:styleId="WW8Num62z0">
    <w:name w:val="WW8Num62z0"/>
    <w:qFormat/>
    <w:rPr>
      <w:rFonts w:ascii="Symbol" w:hAnsi="Symbol" w:cs="Symbol"/>
    </w:rPr>
  </w:style>
  <w:style w:type="character" w:styleId="WW8Num63z0">
    <w:name w:val="WW8Num63z0"/>
    <w:qFormat/>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6z1">
    <w:name w:val="WW8Num66z1"/>
    <w:qFormat/>
    <w:rPr>
      <w:rFonts w:ascii="Courier New" w:hAnsi="Courier New" w:cs="Courier New"/>
    </w:rPr>
  </w:style>
  <w:style w:type="character" w:styleId="WW8Num66z2">
    <w:name w:val="WW8Num66z2"/>
    <w:qFormat/>
    <w:rPr>
      <w:rFonts w:ascii="Wingdings" w:hAnsi="Wingdings" w:cs="Wingdings"/>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rFonts w:ascii="Symbol" w:hAnsi="Symbol" w:cs="Symbol"/>
      <w:color w:val="auto"/>
      <w:sz w:val="16"/>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sz w:val="24"/>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3z0">
    <w:name w:val="WW8Num93z0"/>
    <w:qFormat/>
    <w:rPr>
      <w:rFonts w:ascii="Symbol" w:hAnsi="Symbol" w:cs="Symbol"/>
    </w:rPr>
  </w:style>
  <w:style w:type="character" w:styleId="WW8Num94z0">
    <w:name w:val="WW8Num94z0"/>
    <w:qFormat/>
    <w:rPr>
      <w:rFonts w:ascii="Symbol" w:hAnsi="Symbol" w:cs="Symbol"/>
    </w:rPr>
  </w:style>
  <w:style w:type="character" w:styleId="WW8Num95z0">
    <w:name w:val="WW8Num95z0"/>
    <w:qFormat/>
    <w:rPr>
      <w:b/>
      <w:i w:val="false"/>
    </w:rPr>
  </w:style>
  <w:style w:type="character" w:styleId="WW8Num96z0">
    <w:name w:val="WW8Num96z0"/>
    <w:qFormat/>
    <w:rPr>
      <w:rFonts w:ascii="Symbol" w:hAnsi="Symbol" w:cs="Symbol"/>
    </w:rPr>
  </w:style>
  <w:style w:type="character" w:styleId="WW8Num97z0">
    <w:name w:val="WW8Num97z0"/>
    <w:qFormat/>
    <w:rPr>
      <w:rFonts w:ascii="Symbol" w:hAnsi="Symbol" w:cs="Symbol"/>
    </w:rPr>
  </w:style>
  <w:style w:type="character" w:styleId="WW8Num98z0">
    <w:name w:val="WW8Num98z0"/>
    <w:qFormat/>
    <w:rPr>
      <w:rFonts w:ascii="Symbol" w:hAnsi="Symbol" w:cs="Symbol"/>
    </w:rPr>
  </w:style>
  <w:style w:type="character" w:styleId="WW8Num99z0">
    <w:name w:val="WW8Num99z0"/>
    <w:qFormat/>
    <w:rPr>
      <w:rFonts w:ascii="Symbol" w:hAnsi="Symbol" w:cs="Symbol"/>
    </w:rPr>
  </w:style>
  <w:style w:type="character" w:styleId="WW8Num100z0">
    <w:name w:val="WW8Num100z0"/>
    <w:qFormat/>
    <w:rPr>
      <w:rFonts w:ascii="Symbol" w:hAnsi="Symbol" w:cs="Symbol"/>
      <w:sz w:val="24"/>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2z1">
    <w:name w:val="WW8Num102z1"/>
    <w:qFormat/>
    <w:rPr>
      <w:rFonts w:ascii="Courier New" w:hAnsi="Courier New" w:cs="Courier New"/>
    </w:rPr>
  </w:style>
  <w:style w:type="character" w:styleId="WW8Num102z2">
    <w:name w:val="WW8Num102z2"/>
    <w:qFormat/>
    <w:rPr>
      <w:rFonts w:ascii="Wingdings" w:hAnsi="Wingdings" w:cs="Wingdings"/>
    </w:rPr>
  </w:style>
  <w:style w:type="character" w:styleId="WW8Num103z0">
    <w:name w:val="WW8Num103z0"/>
    <w:qFormat/>
    <w:rPr>
      <w:rFonts w:ascii="Symbol" w:hAnsi="Symbol" w:cs="Symbol"/>
    </w:rPr>
  </w:style>
  <w:style w:type="character" w:styleId="WW8Num104z0">
    <w:name w:val="WW8Num104z0"/>
    <w:qFormat/>
    <w:rPr>
      <w:rFonts w:ascii="Symbol" w:hAnsi="Symbol" w:cs="Symbol"/>
      <w:sz w:val="24"/>
    </w:rPr>
  </w:style>
  <w:style w:type="character" w:styleId="WW8Num105z0">
    <w:name w:val="WW8Num105z0"/>
    <w:qFormat/>
    <w:rPr>
      <w:rFonts w:ascii="Symbol" w:hAnsi="Symbol" w:cs="Symbol"/>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8z0">
    <w:name w:val="WW8Num108z0"/>
    <w:qFormat/>
    <w:rPr>
      <w:rFonts w:ascii="Symbol" w:hAnsi="Symbol" w:cs="Symbol"/>
    </w:rPr>
  </w:style>
  <w:style w:type="character" w:styleId="WW8Num109z0">
    <w:name w:val="WW8Num109z0"/>
    <w:qFormat/>
    <w:rPr>
      <w:rFonts w:ascii="Symbol" w:hAnsi="Symbol" w:cs="Symbol"/>
    </w:rPr>
  </w:style>
  <w:style w:type="character" w:styleId="WW8Num110z0">
    <w:name w:val="WW8Num110z0"/>
    <w:qFormat/>
    <w:rPr>
      <w:rFonts w:ascii="Symbol" w:hAnsi="Symbol" w:cs="Symbol"/>
    </w:rPr>
  </w:style>
  <w:style w:type="character" w:styleId="WW8Num111z0">
    <w:name w:val="WW8Num111z0"/>
    <w:qFormat/>
    <w:rPr>
      <w:rFonts w:ascii="Symbol" w:hAnsi="Symbol" w:cs="Symbol"/>
    </w:rPr>
  </w:style>
  <w:style w:type="character" w:styleId="WW8Num112z0">
    <w:name w:val="WW8Num112z0"/>
    <w:qFormat/>
    <w:rPr>
      <w:rFonts w:ascii="Symbol" w:hAnsi="Symbol" w:cs="Symbol"/>
    </w:rPr>
  </w:style>
  <w:style w:type="character" w:styleId="WW8Num113z0">
    <w:name w:val="WW8Num113z0"/>
    <w:qFormat/>
    <w:rPr>
      <w:rFonts w:ascii="Symbol" w:hAnsi="Symbol" w:cs="Symbol"/>
    </w:rPr>
  </w:style>
  <w:style w:type="character" w:styleId="WW8Num114z0">
    <w:name w:val="WW8Num114z0"/>
    <w:qFormat/>
    <w:rPr>
      <w:rFonts w:ascii="Symbol" w:hAnsi="Symbol" w:cs="Symbol"/>
    </w:rPr>
  </w:style>
  <w:style w:type="character" w:styleId="WW8Num115z0">
    <w:name w:val="WW8Num115z0"/>
    <w:qFormat/>
    <w:rPr>
      <w:rFonts w:ascii="Symbol" w:hAnsi="Symbol" w:cs="Symbol"/>
    </w:rPr>
  </w:style>
  <w:style w:type="character" w:styleId="WW8Num115z1">
    <w:name w:val="WW8Num115z1"/>
    <w:qFormat/>
    <w:rPr>
      <w:rFonts w:ascii="Courier New" w:hAnsi="Courier New" w:cs="Courier New"/>
    </w:rPr>
  </w:style>
  <w:style w:type="character" w:styleId="WW8Num115z2">
    <w:name w:val="WW8Num115z2"/>
    <w:qFormat/>
    <w:rPr>
      <w:rFonts w:ascii="Wingdings" w:hAnsi="Wingdings" w:cs="Wingdings"/>
    </w:rPr>
  </w:style>
  <w:style w:type="character" w:styleId="WW8Num116z0">
    <w:name w:val="WW8Num116z0"/>
    <w:qFormat/>
    <w:rPr/>
  </w:style>
  <w:style w:type="character" w:styleId="WW8Num117z0">
    <w:name w:val="WW8Num117z0"/>
    <w:qFormat/>
    <w:rPr>
      <w:rFonts w:ascii="Symbol" w:hAnsi="Symbol" w:cs="Symbol"/>
    </w:rPr>
  </w:style>
  <w:style w:type="character" w:styleId="WW8Num118z0">
    <w:name w:val="WW8Num118z0"/>
    <w:qFormat/>
    <w:rPr>
      <w:rFonts w:ascii="Symbol" w:hAnsi="Symbol" w:cs="Symbol"/>
    </w:rPr>
  </w:style>
  <w:style w:type="character" w:styleId="WW8Num119z0">
    <w:name w:val="WW8Num119z0"/>
    <w:qFormat/>
    <w:rPr>
      <w:rFonts w:ascii="Symbol" w:hAnsi="Symbol" w:cs="Symbol"/>
      <w:sz w:val="24"/>
    </w:rPr>
  </w:style>
  <w:style w:type="character" w:styleId="WW8Num120z0">
    <w:name w:val="WW8Num120z0"/>
    <w:qFormat/>
    <w:rPr/>
  </w:style>
  <w:style w:type="character" w:styleId="WW8Num121z0">
    <w:name w:val="WW8Num121z0"/>
    <w:qFormat/>
    <w:rPr>
      <w:rFonts w:ascii="Symbol" w:hAnsi="Symbol" w:cs="Symbol"/>
    </w:rPr>
  </w:style>
  <w:style w:type="character" w:styleId="WW8Num122z0">
    <w:name w:val="WW8Num122z0"/>
    <w:qFormat/>
    <w:rPr>
      <w:rFonts w:ascii="Symbol" w:hAnsi="Symbol" w:cs="Symbol"/>
      <w:sz w:val="24"/>
    </w:rPr>
  </w:style>
  <w:style w:type="character" w:styleId="WW8Num123z0">
    <w:name w:val="WW8Num123z0"/>
    <w:qFormat/>
    <w:rPr>
      <w:rFonts w:ascii="Symbol" w:hAnsi="Symbol" w:cs="Symbol"/>
    </w:rPr>
  </w:style>
  <w:style w:type="character" w:styleId="WW8Num125z0">
    <w:name w:val="WW8Num125z0"/>
    <w:qFormat/>
    <w:rPr>
      <w:rFonts w:ascii="Symbol" w:hAnsi="Symbol" w:cs="Symbol"/>
    </w:rPr>
  </w:style>
  <w:style w:type="character" w:styleId="WW8Num126z0">
    <w:name w:val="WW8Num126z0"/>
    <w:qFormat/>
    <w:rPr>
      <w:rFonts w:ascii="Symbol" w:hAnsi="Symbol" w:cs="Symbol"/>
    </w:rPr>
  </w:style>
  <w:style w:type="character" w:styleId="WW8Num127z0">
    <w:name w:val="WW8Num127z0"/>
    <w:qFormat/>
    <w:rPr>
      <w:rFonts w:ascii="Symbol" w:hAnsi="Symbol" w:cs="Symbol"/>
    </w:rPr>
  </w:style>
  <w:style w:type="character" w:styleId="WW8Num128z0">
    <w:name w:val="WW8Num128z0"/>
    <w:qFormat/>
    <w:rPr>
      <w:rFonts w:ascii="Symbol" w:hAnsi="Symbol" w:cs="Symbol"/>
    </w:rPr>
  </w:style>
  <w:style w:type="character" w:styleId="WW8Num129z0">
    <w:name w:val="WW8Num129z0"/>
    <w:qFormat/>
    <w:rPr>
      <w:rFonts w:ascii="Symbol" w:hAnsi="Symbol" w:cs="Symbol"/>
    </w:rPr>
  </w:style>
  <w:style w:type="character" w:styleId="WW8Num130z0">
    <w:name w:val="WW8Num130z0"/>
    <w:qFormat/>
    <w:rPr/>
  </w:style>
  <w:style w:type="character" w:styleId="WW8Num131z0">
    <w:name w:val="WW8Num131z0"/>
    <w:qFormat/>
    <w:rPr>
      <w:rFonts w:ascii="Symbol" w:hAnsi="Symbol" w:cs="Symbol"/>
    </w:rPr>
  </w:style>
  <w:style w:type="character" w:styleId="WW8Num132z0">
    <w:name w:val="WW8Num132z0"/>
    <w:qFormat/>
    <w:rPr>
      <w:rFonts w:ascii="Symbol" w:hAnsi="Symbol" w:cs="Symbol"/>
    </w:rPr>
  </w:style>
  <w:style w:type="character" w:styleId="WW8Num133z0">
    <w:name w:val="WW8Num133z0"/>
    <w:qFormat/>
    <w:rPr>
      <w:rFonts w:ascii="Symbol" w:hAnsi="Symbol" w:cs="Symbol"/>
    </w:rPr>
  </w:style>
  <w:style w:type="character" w:styleId="WW8Num134z0">
    <w:name w:val="WW8Num134z0"/>
    <w:qFormat/>
    <w:rPr>
      <w:rFonts w:ascii="Symbol" w:hAnsi="Symbol" w:cs="Symbol"/>
    </w:rPr>
  </w:style>
  <w:style w:type="character" w:styleId="WW8Num135z0">
    <w:name w:val="WW8Num135z0"/>
    <w:qFormat/>
    <w:rPr>
      <w:rFonts w:ascii="Symbol" w:hAnsi="Symbol" w:cs="Symbol"/>
    </w:rPr>
  </w:style>
  <w:style w:type="character" w:styleId="WW8Num136z0">
    <w:name w:val="WW8Num136z0"/>
    <w:qFormat/>
    <w:rPr>
      <w:rFonts w:ascii="Symbol" w:hAnsi="Symbol" w:cs="Symbol"/>
    </w:rPr>
  </w:style>
  <w:style w:type="character" w:styleId="WW8Num137z0">
    <w:name w:val="WW8Num137z0"/>
    <w:qFormat/>
    <w:rPr>
      <w:rFonts w:ascii="Symbol" w:hAnsi="Symbol" w:cs="Symbol"/>
    </w:rPr>
  </w:style>
  <w:style w:type="character" w:styleId="WW8Num138z0">
    <w:name w:val="WW8Num138z0"/>
    <w:qFormat/>
    <w:rPr>
      <w:rFonts w:ascii="Symbol" w:hAnsi="Symbol" w:cs="Symbol"/>
    </w:rPr>
  </w:style>
  <w:style w:type="character" w:styleId="WW8Num139z0">
    <w:name w:val="WW8Num139z0"/>
    <w:qFormat/>
    <w:rPr>
      <w:rFonts w:ascii="Symbol" w:hAnsi="Symbol" w:cs="Symbol"/>
    </w:rPr>
  </w:style>
  <w:style w:type="character" w:styleId="WW8Num140z0">
    <w:name w:val="WW8Num140z0"/>
    <w:qFormat/>
    <w:rPr>
      <w:rFonts w:ascii="Symbol" w:hAnsi="Symbol" w:cs="Symbol"/>
    </w:rPr>
  </w:style>
  <w:style w:type="character" w:styleId="WW8Num140z1">
    <w:name w:val="WW8Num140z1"/>
    <w:qFormat/>
    <w:rPr>
      <w:rFonts w:ascii="Courier New" w:hAnsi="Courier New" w:cs="Courier New"/>
    </w:rPr>
  </w:style>
  <w:style w:type="character" w:styleId="WW8Num140z2">
    <w:name w:val="WW8Num140z2"/>
    <w:qFormat/>
    <w:rPr>
      <w:rFonts w:ascii="Wingdings" w:hAnsi="Wingdings" w:cs="Wingdings"/>
    </w:rPr>
  </w:style>
  <w:style w:type="character" w:styleId="WW8Num141z0">
    <w:name w:val="WW8Num141z0"/>
    <w:qFormat/>
    <w:rPr>
      <w:rFonts w:ascii="Symbol" w:hAnsi="Symbol" w:cs="Symbol"/>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4z1">
    <w:name w:val="WW8Num144z1"/>
    <w:qFormat/>
    <w:rPr>
      <w:rFonts w:ascii="Courier New" w:hAnsi="Courier New" w:cs="Courier New"/>
    </w:rPr>
  </w:style>
  <w:style w:type="character" w:styleId="WW8Num144z2">
    <w:name w:val="WW8Num144z2"/>
    <w:qFormat/>
    <w:rPr>
      <w:rFonts w:ascii="Wingdings" w:hAnsi="Wingdings" w:cs="Wingdings"/>
    </w:rPr>
  </w:style>
  <w:style w:type="character" w:styleId="WW8Num145z0">
    <w:name w:val="WW8Num145z0"/>
    <w:qFormat/>
    <w:rPr>
      <w:rFonts w:ascii="Symbol" w:hAnsi="Symbol" w:cs="Symbol"/>
    </w:rPr>
  </w:style>
  <w:style w:type="character" w:styleId="WW8Num146z0">
    <w:name w:val="WW8Num146z0"/>
    <w:qFormat/>
    <w:rPr>
      <w:rFonts w:ascii="Symbol" w:hAnsi="Symbol" w:cs="Symbol"/>
    </w:rPr>
  </w:style>
  <w:style w:type="character" w:styleId="WW8Num147z0">
    <w:name w:val="WW8Num147z0"/>
    <w:qFormat/>
    <w:rPr>
      <w:rFonts w:ascii="Symbol" w:hAnsi="Symbol" w:cs="Symbol"/>
    </w:rPr>
  </w:style>
  <w:style w:type="character" w:styleId="WW8Num148z0">
    <w:name w:val="WW8Num148z0"/>
    <w:qFormat/>
    <w:rPr>
      <w:rFonts w:ascii="Symbol" w:hAnsi="Symbol" w:cs="Symbol"/>
    </w:rPr>
  </w:style>
  <w:style w:type="character" w:styleId="WW8Num149z0">
    <w:name w:val="WW8Num149z0"/>
    <w:qFormat/>
    <w:rPr>
      <w:rFonts w:ascii="Symbol" w:hAnsi="Symbol" w:cs="Symbol"/>
    </w:rPr>
  </w:style>
  <w:style w:type="character" w:styleId="WW8Num149z1">
    <w:name w:val="WW8Num149z1"/>
    <w:qFormat/>
    <w:rPr>
      <w:rFonts w:ascii="Courier New" w:hAnsi="Courier New" w:cs="Courier New"/>
    </w:rPr>
  </w:style>
  <w:style w:type="character" w:styleId="WW8Num149z2">
    <w:name w:val="WW8Num149z2"/>
    <w:qFormat/>
    <w:rPr>
      <w:rFonts w:ascii="Wingdings" w:hAnsi="Wingdings" w:cs="Wingdings"/>
    </w:rPr>
  </w:style>
  <w:style w:type="character" w:styleId="WW8Num150z0">
    <w:name w:val="WW8Num150z0"/>
    <w:qFormat/>
    <w:rPr>
      <w:rFonts w:ascii="Symbol" w:hAnsi="Symbol" w:cs="Symbol"/>
    </w:rPr>
  </w:style>
  <w:style w:type="character" w:styleId="WW8Num151z0">
    <w:name w:val="WW8Num151z0"/>
    <w:qFormat/>
    <w:rPr>
      <w:rFonts w:ascii="Symbol" w:hAnsi="Symbol" w:cs="Symbol"/>
    </w:rPr>
  </w:style>
  <w:style w:type="character" w:styleId="WW8Num152z0">
    <w:name w:val="WW8Num152z0"/>
    <w:qFormat/>
    <w:rPr>
      <w:rFonts w:ascii="Symbol" w:hAnsi="Symbol" w:cs="Symbol"/>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5z0">
    <w:name w:val="WW8Num155z0"/>
    <w:qFormat/>
    <w:rPr>
      <w:rFonts w:ascii="Symbol" w:hAnsi="Symbol" w:cs="Symbol"/>
      <w:sz w:val="24"/>
    </w:rPr>
  </w:style>
  <w:style w:type="character" w:styleId="WW8Num157z0">
    <w:name w:val="WW8Num157z0"/>
    <w:qFormat/>
    <w:rPr/>
  </w:style>
  <w:style w:type="character" w:styleId="WW8Num158z0">
    <w:name w:val="WW8Num158z0"/>
    <w:qFormat/>
    <w:rPr>
      <w:rFonts w:ascii="Symbol" w:hAnsi="Symbol" w:cs="Symbol"/>
      <w:sz w:val="24"/>
    </w:rPr>
  </w:style>
  <w:style w:type="character" w:styleId="WW8Num159z0">
    <w:name w:val="WW8Num159z0"/>
    <w:qFormat/>
    <w:rPr>
      <w:rFonts w:ascii="Symbol" w:hAnsi="Symbol" w:cs="Symbol"/>
    </w:rPr>
  </w:style>
  <w:style w:type="character" w:styleId="WW8Num161z0">
    <w:name w:val="WW8Num161z0"/>
    <w:qFormat/>
    <w:rPr>
      <w:rFonts w:ascii="Symbol" w:hAnsi="Symbol" w:cs="Symbol"/>
    </w:rPr>
  </w:style>
  <w:style w:type="character" w:styleId="WW8Num162z0">
    <w:name w:val="WW8Num162z0"/>
    <w:qFormat/>
    <w:rPr>
      <w:rFonts w:ascii="Symbol" w:hAnsi="Symbol" w:cs="Symbol"/>
    </w:rPr>
  </w:style>
  <w:style w:type="character" w:styleId="WW8Num163z0">
    <w:name w:val="WW8Num163z0"/>
    <w:qFormat/>
    <w:rPr>
      <w:rFonts w:ascii="Symbol" w:hAnsi="Symbol" w:cs="Symbol"/>
    </w:rPr>
  </w:style>
  <w:style w:type="character" w:styleId="WW8Num164z0">
    <w:name w:val="WW8Num164z0"/>
    <w:qFormat/>
    <w:rPr>
      <w:rFonts w:ascii="Symbol" w:hAnsi="Symbol" w:cs="Symbol"/>
    </w:rPr>
  </w:style>
  <w:style w:type="character" w:styleId="WW8Num165z0">
    <w:name w:val="WW8Num165z0"/>
    <w:qFormat/>
    <w:rPr>
      <w:rFonts w:ascii="Symbol" w:hAnsi="Symbol" w:cs="Symbol"/>
    </w:rPr>
  </w:style>
  <w:style w:type="character" w:styleId="WW8Num166z0">
    <w:name w:val="WW8Num166z0"/>
    <w:qFormat/>
    <w:rPr>
      <w:rFonts w:ascii="Symbol" w:hAnsi="Symbol" w:cs="Symbol"/>
      <w:sz w:val="24"/>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69z0">
    <w:name w:val="WW8Num169z0"/>
    <w:qFormat/>
    <w:rPr>
      <w:rFonts w:ascii="Symbol" w:hAnsi="Symbol" w:cs="Symbol"/>
    </w:rPr>
  </w:style>
  <w:style w:type="character" w:styleId="WW8Num170z0">
    <w:name w:val="WW8Num170z0"/>
    <w:qFormat/>
    <w:rPr>
      <w:rFonts w:ascii="Symbol" w:hAnsi="Symbol" w:cs="Symbol"/>
    </w:rPr>
  </w:style>
  <w:style w:type="character" w:styleId="WW8Num171z0">
    <w:name w:val="WW8Num171z0"/>
    <w:qFormat/>
    <w:rPr>
      <w:rFonts w:ascii="Symbol" w:hAnsi="Symbol" w:cs="Symbol"/>
    </w:rPr>
  </w:style>
  <w:style w:type="character" w:styleId="WW8Num172z0">
    <w:name w:val="WW8Num172z0"/>
    <w:qFormat/>
    <w:rPr>
      <w:rFonts w:ascii="Symbol" w:hAnsi="Symbol" w:cs="Symbol"/>
    </w:rPr>
  </w:style>
  <w:style w:type="character" w:styleId="WW8Num173z0">
    <w:name w:val="WW8Num173z0"/>
    <w:qFormat/>
    <w:rPr>
      <w:rFonts w:ascii="Symbol" w:hAnsi="Symbol" w:cs="Symbol"/>
    </w:rPr>
  </w:style>
  <w:style w:type="character" w:styleId="WW8Num174z0">
    <w:name w:val="WW8Num174z0"/>
    <w:qFormat/>
    <w:rPr>
      <w:rFonts w:ascii="Symbol" w:hAnsi="Symbol" w:cs="Symbol"/>
    </w:rPr>
  </w:style>
  <w:style w:type="character" w:styleId="WW8Num175z0">
    <w:name w:val="WW8Num175z0"/>
    <w:qFormat/>
    <w:rPr>
      <w:rFonts w:ascii="Symbol" w:hAnsi="Symbol" w:cs="Symbol"/>
    </w:rPr>
  </w:style>
  <w:style w:type="character" w:styleId="WW8Num176z0">
    <w:name w:val="WW8Num176z0"/>
    <w:qFormat/>
    <w:rPr>
      <w:rFonts w:ascii="Symbol" w:hAnsi="Symbol" w:cs="Symbol"/>
    </w:rPr>
  </w:style>
  <w:style w:type="character" w:styleId="WW8Num177z0">
    <w:name w:val="WW8Num177z0"/>
    <w:qFormat/>
    <w:rPr>
      <w:u w:val="none"/>
    </w:rPr>
  </w:style>
  <w:style w:type="character" w:styleId="WW8Num178z0">
    <w:name w:val="WW8Num178z0"/>
    <w:qFormat/>
    <w:rPr>
      <w:rFonts w:ascii="Symbol" w:hAnsi="Symbol" w:cs="Symbol"/>
    </w:rPr>
  </w:style>
  <w:style w:type="character" w:styleId="WW8Num179z0">
    <w:name w:val="WW8Num179z0"/>
    <w:qFormat/>
    <w:rPr>
      <w:rFonts w:ascii="Symbol" w:hAnsi="Symbol" w:cs="Symbol"/>
    </w:rPr>
  </w:style>
  <w:style w:type="character" w:styleId="WW8Num180z0">
    <w:name w:val="WW8Num180z0"/>
    <w:qFormat/>
    <w:rPr>
      <w:rFonts w:ascii="Symbol" w:hAnsi="Symbol" w:cs="Symbol"/>
    </w:rPr>
  </w:style>
  <w:style w:type="character" w:styleId="WW8Num181z0">
    <w:name w:val="WW8Num181z0"/>
    <w:qFormat/>
    <w:rPr>
      <w:rFonts w:ascii="Symbol" w:hAnsi="Symbol" w:cs="Symbol"/>
    </w:rPr>
  </w:style>
  <w:style w:type="character" w:styleId="WW8Num182z0">
    <w:name w:val="WW8Num182z0"/>
    <w:qFormat/>
    <w:rPr>
      <w:rFonts w:ascii="Symbol" w:hAnsi="Symbol" w:cs="Symbol"/>
    </w:rPr>
  </w:style>
  <w:style w:type="character" w:styleId="WW8Num183z0">
    <w:name w:val="WW8Num183z0"/>
    <w:qFormat/>
    <w:rPr>
      <w:rFonts w:ascii="Symbol" w:hAnsi="Symbol" w:cs="Symbol"/>
      <w:sz w:val="24"/>
    </w:rPr>
  </w:style>
  <w:style w:type="character" w:styleId="WW8Num184z0">
    <w:name w:val="WW8Num184z0"/>
    <w:qFormat/>
    <w:rPr>
      <w:rFonts w:ascii="Symbol" w:hAnsi="Symbol" w:cs="Symbol"/>
      <w:sz w:val="24"/>
    </w:rPr>
  </w:style>
  <w:style w:type="character" w:styleId="WW8Num185z0">
    <w:name w:val="WW8Num185z0"/>
    <w:qFormat/>
    <w:rPr>
      <w:rFonts w:ascii="Symbol" w:hAnsi="Symbol" w:cs="Symbol"/>
    </w:rPr>
  </w:style>
  <w:style w:type="character" w:styleId="WW8Num186z0">
    <w:name w:val="WW8Num186z0"/>
    <w:qFormat/>
    <w:rPr>
      <w:rFonts w:ascii="Symbol" w:hAnsi="Symbol" w:cs="Symbol"/>
    </w:rPr>
  </w:style>
  <w:style w:type="character" w:styleId="WW8Num186z1">
    <w:name w:val="WW8Num186z1"/>
    <w:qFormat/>
    <w:rPr>
      <w:rFonts w:ascii="Courier New" w:hAnsi="Courier New" w:cs="Courier New"/>
    </w:rPr>
  </w:style>
  <w:style w:type="character" w:styleId="WW8Num186z2">
    <w:name w:val="WW8Num186z2"/>
    <w:qFormat/>
    <w:rPr>
      <w:rFonts w:ascii="Wingdings" w:hAnsi="Wingdings" w:cs="Wingdings"/>
    </w:rPr>
  </w:style>
  <w:style w:type="character" w:styleId="WW8Num188z0">
    <w:name w:val="WW8Num188z0"/>
    <w:qFormat/>
    <w:rPr>
      <w:rFonts w:ascii="Symbol" w:hAnsi="Symbol" w:cs="Symbol"/>
    </w:rPr>
  </w:style>
  <w:style w:type="character" w:styleId="WW8Num189z0">
    <w:name w:val="WW8Num189z0"/>
    <w:qFormat/>
    <w:rPr>
      <w:rFonts w:ascii="Symbol" w:hAnsi="Symbol" w:cs="Symbol"/>
    </w:rPr>
  </w:style>
  <w:style w:type="character" w:styleId="WW8Num190z0">
    <w:name w:val="WW8Num190z0"/>
    <w:qFormat/>
    <w:rPr/>
  </w:style>
  <w:style w:type="character" w:styleId="WW8Num191z0">
    <w:name w:val="WW8Num191z0"/>
    <w:qFormat/>
    <w:rPr/>
  </w:style>
  <w:style w:type="character" w:styleId="WW8Num192z0">
    <w:name w:val="WW8Num192z0"/>
    <w:qFormat/>
    <w:rPr>
      <w:rFonts w:ascii="Symbol" w:hAnsi="Symbol" w:cs="Symbol"/>
    </w:rPr>
  </w:style>
  <w:style w:type="character" w:styleId="WW8Num193z0">
    <w:name w:val="WW8Num193z0"/>
    <w:qFormat/>
    <w:rPr>
      <w:rFonts w:ascii="Symbol" w:hAnsi="Symbol" w:cs="Symbol"/>
    </w:rPr>
  </w:style>
  <w:style w:type="character" w:styleId="WW8Num194z0">
    <w:name w:val="WW8Num194z0"/>
    <w:qFormat/>
    <w:rPr>
      <w:rFonts w:ascii="Symbol" w:hAnsi="Symbol" w:cs="Symbol"/>
    </w:rPr>
  </w:style>
  <w:style w:type="character" w:styleId="WW8Num195z0">
    <w:name w:val="WW8Num195z0"/>
    <w:qFormat/>
    <w:rPr>
      <w:rFonts w:ascii="Symbol" w:hAnsi="Symbol" w:cs="Symbol"/>
    </w:rPr>
  </w:style>
  <w:style w:type="character" w:styleId="WW8Num196z0">
    <w:name w:val="WW8Num196z0"/>
    <w:qFormat/>
    <w:rPr>
      <w:rFonts w:ascii="Symbol" w:hAnsi="Symbol" w:cs="Symbol"/>
    </w:rPr>
  </w:style>
  <w:style w:type="character" w:styleId="WW8Num197z0">
    <w:name w:val="WW8Num197z0"/>
    <w:qFormat/>
    <w:rPr>
      <w:rFonts w:ascii="Symbol" w:hAnsi="Symbol" w:cs="Symbol"/>
      <w:color w:val="000000"/>
    </w:rPr>
  </w:style>
  <w:style w:type="character" w:styleId="WW8Num197z1">
    <w:name w:val="WW8Num197z1"/>
    <w:qFormat/>
    <w:rPr>
      <w:rFonts w:ascii="Courier New" w:hAnsi="Courier New" w:cs="Courier New"/>
    </w:rPr>
  </w:style>
  <w:style w:type="character" w:styleId="WW8Num197z2">
    <w:name w:val="WW8Num197z2"/>
    <w:qFormat/>
    <w:rPr>
      <w:rFonts w:ascii="Wingdings" w:hAnsi="Wingdings" w:cs="Wingdings"/>
    </w:rPr>
  </w:style>
  <w:style w:type="character" w:styleId="WW8Num197z3">
    <w:name w:val="WW8Num197z3"/>
    <w:qFormat/>
    <w:rPr>
      <w:rFonts w:ascii="Symbol" w:hAnsi="Symbol" w:cs="Symbol"/>
    </w:rPr>
  </w:style>
  <w:style w:type="character" w:styleId="WW8Num198z0">
    <w:name w:val="WW8Num198z0"/>
    <w:qFormat/>
    <w:rPr>
      <w:rFonts w:ascii="Symbol" w:hAnsi="Symbol" w:cs="Symbol"/>
    </w:rPr>
  </w:style>
  <w:style w:type="character" w:styleId="WW8Num199z0">
    <w:name w:val="WW8Num199z0"/>
    <w:qFormat/>
    <w:rPr>
      <w:rFonts w:ascii="Symbol" w:hAnsi="Symbol" w:cs="Symbol"/>
    </w:rPr>
  </w:style>
  <w:style w:type="character" w:styleId="WW8Num200z0">
    <w:name w:val="WW8Num200z0"/>
    <w:qFormat/>
    <w:rPr>
      <w:rFonts w:ascii="Symbol" w:hAnsi="Symbol" w:cs="Symbol"/>
    </w:rPr>
  </w:style>
  <w:style w:type="character" w:styleId="WW8Num201z0">
    <w:name w:val="WW8Num201z0"/>
    <w:qFormat/>
    <w:rPr>
      <w:rFonts w:ascii="Symbol" w:hAnsi="Symbol" w:cs="Symbol"/>
    </w:rPr>
  </w:style>
  <w:style w:type="character" w:styleId="WW8Num202z0">
    <w:name w:val="WW8Num202z0"/>
    <w:qFormat/>
    <w:rPr>
      <w:rFonts w:ascii="Symbol" w:hAnsi="Symbol" w:cs="Symbol"/>
    </w:rPr>
  </w:style>
  <w:style w:type="character" w:styleId="WW8Num203z0">
    <w:name w:val="WW8Num203z0"/>
    <w:qFormat/>
    <w:rPr>
      <w:rFonts w:ascii="Symbol" w:hAnsi="Symbol" w:cs="Symbol"/>
    </w:rPr>
  </w:style>
  <w:style w:type="character" w:styleId="WW8Num204z0">
    <w:name w:val="WW8Num204z0"/>
    <w:qFormat/>
    <w:rPr>
      <w:rFonts w:ascii="Symbol" w:hAnsi="Symbol" w:cs="Symbol"/>
      <w:sz w:val="24"/>
    </w:rPr>
  </w:style>
  <w:style w:type="character" w:styleId="WW8Num205z0">
    <w:name w:val="WW8Num205z0"/>
    <w:qFormat/>
    <w:rPr>
      <w:rFonts w:ascii="Symbol" w:hAnsi="Symbol" w:cs="Symbol"/>
    </w:rPr>
  </w:style>
  <w:style w:type="character" w:styleId="WW8Num206z0">
    <w:name w:val="WW8Num206z0"/>
    <w:qFormat/>
    <w:rPr>
      <w:rFonts w:ascii="Symbol" w:hAnsi="Symbol" w:cs="Symbol"/>
    </w:rPr>
  </w:style>
  <w:style w:type="character" w:styleId="WW8Num207z0">
    <w:name w:val="WW8Num207z0"/>
    <w:qFormat/>
    <w:rPr>
      <w:rFonts w:ascii="Symbol" w:hAnsi="Symbol" w:cs="Symbol"/>
    </w:rPr>
  </w:style>
  <w:style w:type="character" w:styleId="WW8Num208z0">
    <w:name w:val="WW8Num208z0"/>
    <w:qFormat/>
    <w:rPr>
      <w:rFonts w:ascii="Symbol" w:hAnsi="Symbol" w:cs="Symbol"/>
    </w:rPr>
  </w:style>
  <w:style w:type="character" w:styleId="WW8Num209z0">
    <w:name w:val="WW8Num209z0"/>
    <w:qFormat/>
    <w:rPr>
      <w:rFonts w:ascii="Symbol" w:hAnsi="Symbol" w:cs="Symbol"/>
    </w:rPr>
  </w:style>
  <w:style w:type="character" w:styleId="WW8Num210z0">
    <w:name w:val="WW8Num210z0"/>
    <w:qFormat/>
    <w:rPr>
      <w:rFonts w:ascii="Symbol" w:hAnsi="Symbol" w:cs="Symbol"/>
    </w:rPr>
  </w:style>
  <w:style w:type="character" w:styleId="WW8Num211z0">
    <w:name w:val="WW8Num211z0"/>
    <w:qFormat/>
    <w:rPr>
      <w:u w:val="none"/>
    </w:rPr>
  </w:style>
  <w:style w:type="character" w:styleId="WW8Num212z0">
    <w:name w:val="WW8Num212z0"/>
    <w:qFormat/>
    <w:rPr>
      <w:rFonts w:ascii="Symbol" w:hAnsi="Symbol" w:cs="Symbol"/>
    </w:rPr>
  </w:style>
  <w:style w:type="character" w:styleId="WW8Num213z0">
    <w:name w:val="WW8Num213z0"/>
    <w:qFormat/>
    <w:rPr>
      <w:rFonts w:ascii="Symbol" w:hAnsi="Symbol" w:cs="Symbol"/>
    </w:rPr>
  </w:style>
  <w:style w:type="character" w:styleId="WW8Num214z0">
    <w:name w:val="WW8Num214z0"/>
    <w:qFormat/>
    <w:rPr>
      <w:rFonts w:ascii="Symbol" w:hAnsi="Symbol" w:cs="Symbol"/>
    </w:rPr>
  </w:style>
  <w:style w:type="character" w:styleId="WW8Num215z0">
    <w:name w:val="WW8Num215z0"/>
    <w:qFormat/>
    <w:rPr>
      <w:rFonts w:ascii="Symbol" w:hAnsi="Symbol" w:cs="Symbol"/>
    </w:rPr>
  </w:style>
  <w:style w:type="character" w:styleId="WW8Num216z0">
    <w:name w:val="WW8Num216z0"/>
    <w:qFormat/>
    <w:rPr>
      <w:rFonts w:ascii="Symbol" w:hAnsi="Symbol" w:cs="Symbol"/>
    </w:rPr>
  </w:style>
  <w:style w:type="character" w:styleId="WW8Num217z0">
    <w:name w:val="WW8Num217z0"/>
    <w:qFormat/>
    <w:rPr>
      <w:rFonts w:ascii="Symbol" w:hAnsi="Symbol" w:cs="Symbol"/>
    </w:rPr>
  </w:style>
  <w:style w:type="character" w:styleId="WW8Num218z0">
    <w:name w:val="WW8Num218z0"/>
    <w:qFormat/>
    <w:rPr>
      <w:rFonts w:ascii="Symbol" w:hAnsi="Symbol" w:cs="Symbol"/>
    </w:rPr>
  </w:style>
  <w:style w:type="character" w:styleId="WW8Num219z0">
    <w:name w:val="WW8Num219z0"/>
    <w:qFormat/>
    <w:rPr>
      <w:rFonts w:ascii="Symbol" w:hAnsi="Symbol" w:cs="Symbol"/>
    </w:rPr>
  </w:style>
  <w:style w:type="character" w:styleId="WW8Num220z0">
    <w:name w:val="WW8Num220z0"/>
    <w:qFormat/>
    <w:rPr>
      <w:rFonts w:ascii="Symbol" w:hAnsi="Symbol" w:cs="Symbol"/>
      <w:sz w:val="24"/>
    </w:rPr>
  </w:style>
  <w:style w:type="character" w:styleId="WW8Num222z0">
    <w:name w:val="WW8Num222z0"/>
    <w:qFormat/>
    <w:rPr>
      <w:rFonts w:ascii="Symbol" w:hAnsi="Symbol" w:cs="Symbol"/>
    </w:rPr>
  </w:style>
  <w:style w:type="character" w:styleId="WW8Num223z0">
    <w:name w:val="WW8Num223z0"/>
    <w:qFormat/>
    <w:rPr>
      <w:rFonts w:ascii="Symbol" w:hAnsi="Symbol" w:cs="Symbol"/>
    </w:rPr>
  </w:style>
  <w:style w:type="character" w:styleId="WW8Num224z0">
    <w:name w:val="WW8Num224z0"/>
    <w:qFormat/>
    <w:rPr>
      <w:rFonts w:ascii="Symbol" w:hAnsi="Symbol" w:cs="Symbol"/>
      <w:color w:val="auto"/>
      <w:sz w:val="16"/>
    </w:rPr>
  </w:style>
  <w:style w:type="character" w:styleId="WW8Num225z0">
    <w:name w:val="WW8Num225z0"/>
    <w:qFormat/>
    <w:rPr>
      <w:rFonts w:ascii="Symbol" w:hAnsi="Symbol" w:cs="Symbol"/>
    </w:rPr>
  </w:style>
  <w:style w:type="character" w:styleId="WW8Num226z0">
    <w:name w:val="WW8Num226z0"/>
    <w:qFormat/>
    <w:rPr>
      <w:rFonts w:ascii="Symbol" w:hAnsi="Symbol" w:cs="Symbol"/>
    </w:rPr>
  </w:style>
  <w:style w:type="character" w:styleId="WW8Num227z0">
    <w:name w:val="WW8Num227z0"/>
    <w:qFormat/>
    <w:rPr>
      <w:rFonts w:ascii="Symbol" w:hAnsi="Symbol" w:cs="Symbol"/>
    </w:rPr>
  </w:style>
  <w:style w:type="character" w:styleId="WW8Num228z0">
    <w:name w:val="WW8Num228z0"/>
    <w:qFormat/>
    <w:rPr>
      <w:rFonts w:ascii="Symbol" w:hAnsi="Symbol" w:cs="Symbol"/>
    </w:rPr>
  </w:style>
  <w:style w:type="character" w:styleId="WW8Num229z0">
    <w:name w:val="WW8Num229z0"/>
    <w:qFormat/>
    <w:rPr>
      <w:rFonts w:ascii="Symbol" w:hAnsi="Symbol" w:cs="Symbol"/>
    </w:rPr>
  </w:style>
  <w:style w:type="character" w:styleId="WW8Num230z0">
    <w:name w:val="WW8Num230z0"/>
    <w:qFormat/>
    <w:rPr>
      <w:rFonts w:ascii="Symbol" w:hAnsi="Symbol" w:cs="Symbol"/>
    </w:rPr>
  </w:style>
  <w:style w:type="character" w:styleId="WW8Num231z0">
    <w:name w:val="WW8Num231z0"/>
    <w:qFormat/>
    <w:rPr>
      <w:rFonts w:ascii="Symbol" w:hAnsi="Symbol" w:cs="Symbol"/>
    </w:rPr>
  </w:style>
  <w:style w:type="character" w:styleId="WW8Num232z0">
    <w:name w:val="WW8Num232z0"/>
    <w:qFormat/>
    <w:rPr>
      <w:rFonts w:ascii="Symbol" w:hAnsi="Symbol" w:cs="Symbol"/>
    </w:rPr>
  </w:style>
  <w:style w:type="character" w:styleId="WW8Num233z0">
    <w:name w:val="WW8Num233z0"/>
    <w:qFormat/>
    <w:rPr>
      <w:rFonts w:ascii="Symbol" w:hAnsi="Symbol" w:cs="Symbol"/>
    </w:rPr>
  </w:style>
  <w:style w:type="character" w:styleId="WW8Num234z0">
    <w:name w:val="WW8Num234z0"/>
    <w:qFormat/>
    <w:rPr>
      <w:rFonts w:ascii="Symbol" w:hAnsi="Symbol" w:cs="Symbol"/>
    </w:rPr>
  </w:style>
  <w:style w:type="character" w:styleId="WW8Num235z0">
    <w:name w:val="WW8Num235z0"/>
    <w:qFormat/>
    <w:rPr>
      <w:rFonts w:ascii="Symbol" w:hAnsi="Symbol" w:cs="Symbol"/>
    </w:rPr>
  </w:style>
  <w:style w:type="character" w:styleId="WW8Num236z0">
    <w:name w:val="WW8Num236z0"/>
    <w:qFormat/>
    <w:rPr>
      <w:rFonts w:ascii="Symbol" w:hAnsi="Symbol" w:cs="Symbol"/>
    </w:rPr>
  </w:style>
  <w:style w:type="character" w:styleId="WW8Num237z0">
    <w:name w:val="WW8Num237z0"/>
    <w:qFormat/>
    <w:rPr>
      <w:rFonts w:ascii="Symbol" w:hAnsi="Symbol" w:cs="Symbol"/>
    </w:rPr>
  </w:style>
  <w:style w:type="character" w:styleId="WW8Num238z0">
    <w:name w:val="WW8Num238z0"/>
    <w:qFormat/>
    <w:rPr>
      <w:rFonts w:ascii="Symbol" w:hAnsi="Symbol" w:cs="Symbol"/>
    </w:rPr>
  </w:style>
  <w:style w:type="character" w:styleId="WW8Num239z0">
    <w:name w:val="WW8Num239z0"/>
    <w:qFormat/>
    <w:rPr>
      <w:rFonts w:ascii="Symbol" w:hAnsi="Symbol" w:cs="Symbol"/>
    </w:rPr>
  </w:style>
  <w:style w:type="character" w:styleId="WW8Num240z0">
    <w:name w:val="WW8Num240z0"/>
    <w:qFormat/>
    <w:rPr>
      <w:rFonts w:ascii="Symbol" w:hAnsi="Symbol" w:cs="Symbol"/>
    </w:rPr>
  </w:style>
  <w:style w:type="character" w:styleId="WW8Num241z0">
    <w:name w:val="WW8Num241z0"/>
    <w:qFormat/>
    <w:rPr>
      <w:rFonts w:ascii="Symbol" w:hAnsi="Symbol" w:cs="Symbol"/>
      <w:sz w:val="24"/>
    </w:rPr>
  </w:style>
  <w:style w:type="character" w:styleId="WW8Num242z0">
    <w:name w:val="WW8Num242z0"/>
    <w:qFormat/>
    <w:rPr>
      <w:rFonts w:ascii="Symbol" w:hAnsi="Symbol" w:cs="Symbol"/>
    </w:rPr>
  </w:style>
  <w:style w:type="character" w:styleId="WW8Num243z0">
    <w:name w:val="WW8Num243z0"/>
    <w:qFormat/>
    <w:rPr>
      <w:rFonts w:ascii="Symbol" w:hAnsi="Symbol" w:cs="Symbol"/>
    </w:rPr>
  </w:style>
  <w:style w:type="character" w:styleId="WW8Num244z0">
    <w:name w:val="WW8Num244z0"/>
    <w:qFormat/>
    <w:rPr>
      <w:rFonts w:ascii="Symbol" w:hAnsi="Symbol" w:cs="Symbol"/>
    </w:rPr>
  </w:style>
  <w:style w:type="character" w:styleId="WW8Num245z0">
    <w:name w:val="WW8Num245z0"/>
    <w:qFormat/>
    <w:rPr>
      <w:rFonts w:ascii="Symbol" w:hAnsi="Symbol" w:cs="Symbol"/>
    </w:rPr>
  </w:style>
  <w:style w:type="character" w:styleId="WW8Num246z0">
    <w:name w:val="WW8Num246z0"/>
    <w:qFormat/>
    <w:rPr>
      <w:rFonts w:ascii="Symbol" w:hAnsi="Symbol" w:cs="Symbol"/>
    </w:rPr>
  </w:style>
  <w:style w:type="character" w:styleId="WW8Num247z0">
    <w:name w:val="WW8Num247z0"/>
    <w:qFormat/>
    <w:rPr/>
  </w:style>
  <w:style w:type="character" w:styleId="WW8Num248z0">
    <w:name w:val="WW8Num248z0"/>
    <w:qFormat/>
    <w:rPr>
      <w:rFonts w:ascii="Symbol" w:hAnsi="Symbol" w:cs="Symbol"/>
    </w:rPr>
  </w:style>
  <w:style w:type="character" w:styleId="WW8Num249z0">
    <w:name w:val="WW8Num249z0"/>
    <w:qFormat/>
    <w:rPr>
      <w:rFonts w:ascii="Symbol" w:hAnsi="Symbol" w:cs="Symbol"/>
    </w:rPr>
  </w:style>
  <w:style w:type="character" w:styleId="WW8Num250z0">
    <w:name w:val="WW8Num250z0"/>
    <w:qFormat/>
    <w:rPr>
      <w:rFonts w:ascii="Symbol" w:hAnsi="Symbol" w:cs="Symbol"/>
    </w:rPr>
  </w:style>
  <w:style w:type="character" w:styleId="WW8Num251z0">
    <w:name w:val="WW8Num251z0"/>
    <w:qFormat/>
    <w:rPr>
      <w:rFonts w:ascii="Symbol" w:hAnsi="Symbol" w:cs="Symbol"/>
    </w:rPr>
  </w:style>
  <w:style w:type="character" w:styleId="WW8Num251z1">
    <w:name w:val="WW8Num251z1"/>
    <w:qFormat/>
    <w:rPr>
      <w:rFonts w:ascii="Courier New" w:hAnsi="Courier New" w:cs="Courier New"/>
    </w:rPr>
  </w:style>
  <w:style w:type="character" w:styleId="WW8Num251z2">
    <w:name w:val="WW8Num251z2"/>
    <w:qFormat/>
    <w:rPr>
      <w:rFonts w:ascii="Wingdings" w:hAnsi="Wingdings" w:cs="Wingdings"/>
    </w:rPr>
  </w:style>
  <w:style w:type="character" w:styleId="WW8Num252z0">
    <w:name w:val="WW8Num252z0"/>
    <w:qFormat/>
    <w:rPr>
      <w:rFonts w:ascii="Symbol" w:hAnsi="Symbol" w:cs="Symbol"/>
    </w:rPr>
  </w:style>
  <w:style w:type="character" w:styleId="WW8Num253z0">
    <w:name w:val="WW8Num253z0"/>
    <w:qFormat/>
    <w:rPr>
      <w:rFonts w:ascii="Symbol" w:hAnsi="Symbol" w:cs="Symbol"/>
      <w:color w:val="auto"/>
      <w:sz w:val="16"/>
    </w:rPr>
  </w:style>
  <w:style w:type="character" w:styleId="WW8Num254z0">
    <w:name w:val="WW8Num254z0"/>
    <w:qFormat/>
    <w:rPr>
      <w:rFonts w:ascii="Symbol" w:hAnsi="Symbol" w:cs="Symbol"/>
      <w:sz w:val="24"/>
    </w:rPr>
  </w:style>
  <w:style w:type="character" w:styleId="WW8Num255z0">
    <w:name w:val="WW8Num255z0"/>
    <w:qFormat/>
    <w:rPr>
      <w:rFonts w:ascii="Symbol" w:hAnsi="Symbol" w:cs="Symbol"/>
    </w:rPr>
  </w:style>
  <w:style w:type="character" w:styleId="WW8Num256z0">
    <w:name w:val="WW8Num256z0"/>
    <w:qFormat/>
    <w:rPr>
      <w:rFonts w:ascii="Symbol" w:hAnsi="Symbol" w:cs="Symbol"/>
    </w:rPr>
  </w:style>
  <w:style w:type="character" w:styleId="WW8Num257z0">
    <w:name w:val="WW8Num257z0"/>
    <w:qFormat/>
    <w:rPr>
      <w:rFonts w:ascii="Symbol" w:hAnsi="Symbol" w:cs="Symbol"/>
    </w:rPr>
  </w:style>
  <w:style w:type="character" w:styleId="WW8Num258z0">
    <w:name w:val="WW8Num258z0"/>
    <w:qFormat/>
    <w:rPr>
      <w:rFonts w:ascii="Symbol" w:hAnsi="Symbol" w:cs="Symbol"/>
    </w:rPr>
  </w:style>
  <w:style w:type="character" w:styleId="WW8Num259z0">
    <w:name w:val="WW8Num259z0"/>
    <w:qFormat/>
    <w:rPr>
      <w:rFonts w:ascii="Symbol" w:hAnsi="Symbol" w:cs="Symbol"/>
    </w:rPr>
  </w:style>
  <w:style w:type="character" w:styleId="WW8Num260z0">
    <w:name w:val="WW8Num260z0"/>
    <w:qFormat/>
    <w:rPr>
      <w:rFonts w:ascii="Symbol" w:hAnsi="Symbol" w:cs="Symbol"/>
    </w:rPr>
  </w:style>
  <w:style w:type="character" w:styleId="WW8Num261z0">
    <w:name w:val="WW8Num261z0"/>
    <w:qFormat/>
    <w:rPr/>
  </w:style>
  <w:style w:type="character" w:styleId="WW8Num262z0">
    <w:name w:val="WW8Num262z0"/>
    <w:qFormat/>
    <w:rPr>
      <w:rFonts w:ascii="Symbol" w:hAnsi="Symbol" w:cs="Symbol"/>
    </w:rPr>
  </w:style>
  <w:style w:type="character" w:styleId="WW8Num263z0">
    <w:name w:val="WW8Num263z0"/>
    <w:qFormat/>
    <w:rPr/>
  </w:style>
  <w:style w:type="character" w:styleId="WW8Num264z0">
    <w:name w:val="WW8Num264z0"/>
    <w:qFormat/>
    <w:rPr>
      <w:rFonts w:ascii="Symbol" w:hAnsi="Symbol" w:cs="Symbol"/>
    </w:rPr>
  </w:style>
  <w:style w:type="character" w:styleId="WW8Num265z0">
    <w:name w:val="WW8Num265z0"/>
    <w:qFormat/>
    <w:rPr>
      <w:rFonts w:ascii="Symbol" w:hAnsi="Symbol" w:cs="Symbol"/>
    </w:rPr>
  </w:style>
  <w:style w:type="character" w:styleId="WW8Num266z0">
    <w:name w:val="WW8Num266z0"/>
    <w:qFormat/>
    <w:rPr>
      <w:rFonts w:ascii="Symbol" w:hAnsi="Symbol" w:cs="Symbol"/>
    </w:rPr>
  </w:style>
  <w:style w:type="character" w:styleId="WW8Num267z0">
    <w:name w:val="WW8Num267z0"/>
    <w:qFormat/>
    <w:rPr>
      <w:rFonts w:ascii="Symbol" w:hAnsi="Symbol" w:cs="Symbol"/>
    </w:rPr>
  </w:style>
  <w:style w:type="character" w:styleId="WW8Num268z0">
    <w:name w:val="WW8Num268z0"/>
    <w:qFormat/>
    <w:rPr>
      <w:rFonts w:ascii="Symbol" w:hAnsi="Symbol" w:cs="Symbol"/>
    </w:rPr>
  </w:style>
  <w:style w:type="character" w:styleId="WW8Num268z1">
    <w:name w:val="WW8Num268z1"/>
    <w:qFormat/>
    <w:rPr>
      <w:rFonts w:ascii="Courier New" w:hAnsi="Courier New" w:cs="Courier New"/>
    </w:rPr>
  </w:style>
  <w:style w:type="character" w:styleId="WW8Num268z2">
    <w:name w:val="WW8Num268z2"/>
    <w:qFormat/>
    <w:rPr>
      <w:rFonts w:ascii="Wingdings" w:hAnsi="Wingdings" w:cs="Wingdings"/>
    </w:rPr>
  </w:style>
  <w:style w:type="character" w:styleId="WW8Num269z0">
    <w:name w:val="WW8Num269z0"/>
    <w:qFormat/>
    <w:rPr>
      <w:rFonts w:ascii="Symbol" w:hAnsi="Symbol" w:cs="Symbol"/>
    </w:rPr>
  </w:style>
  <w:style w:type="character" w:styleId="WW8Num270z0">
    <w:name w:val="WW8Num270z0"/>
    <w:qFormat/>
    <w:rPr>
      <w:rFonts w:ascii="Symbol" w:hAnsi="Symbol" w:cs="Symbol"/>
    </w:rPr>
  </w:style>
  <w:style w:type="character" w:styleId="WW8Num271z0">
    <w:name w:val="WW8Num271z0"/>
    <w:qFormat/>
    <w:rPr>
      <w:rFonts w:ascii="Symbol" w:hAnsi="Symbol" w:cs="Symbol"/>
    </w:rPr>
  </w:style>
  <w:style w:type="character" w:styleId="WW8Num272z0">
    <w:name w:val="WW8Num272z0"/>
    <w:qFormat/>
    <w:rPr>
      <w:rFonts w:ascii="Symbol" w:hAnsi="Symbol" w:cs="Symbol"/>
    </w:rPr>
  </w:style>
  <w:style w:type="character" w:styleId="WW8Num273z0">
    <w:name w:val="WW8Num273z0"/>
    <w:qFormat/>
    <w:rPr>
      <w:rFonts w:ascii="Symbol" w:hAnsi="Symbol" w:cs="Symbol"/>
    </w:rPr>
  </w:style>
  <w:style w:type="character" w:styleId="WW8Num274z0">
    <w:name w:val="WW8Num274z0"/>
    <w:qFormat/>
    <w:rPr>
      <w:rFonts w:ascii="Symbol" w:hAnsi="Symbol" w:cs="Symbol"/>
    </w:rPr>
  </w:style>
  <w:style w:type="character" w:styleId="WW8Num275z0">
    <w:name w:val="WW8Num275z0"/>
    <w:qFormat/>
    <w:rPr>
      <w:rFonts w:ascii="Symbol" w:hAnsi="Symbol" w:cs="Symbol"/>
    </w:rPr>
  </w:style>
  <w:style w:type="character" w:styleId="WW8Num276z0">
    <w:name w:val="WW8Num276z0"/>
    <w:qFormat/>
    <w:rPr>
      <w:rFonts w:ascii="Symbol" w:hAnsi="Symbol" w:cs="Symbol"/>
    </w:rPr>
  </w:style>
  <w:style w:type="character" w:styleId="WW8Num277z0">
    <w:name w:val="WW8Num277z0"/>
    <w:qFormat/>
    <w:rPr>
      <w:rFonts w:ascii="Symbol" w:hAnsi="Symbol" w:cs="Symbol"/>
    </w:rPr>
  </w:style>
  <w:style w:type="character" w:styleId="WW8Num278z0">
    <w:name w:val="WW8Num278z0"/>
    <w:qFormat/>
    <w:rPr>
      <w:rFonts w:ascii="Symbol" w:hAnsi="Symbol" w:cs="Symbol"/>
    </w:rPr>
  </w:style>
  <w:style w:type="character" w:styleId="WW8Num279z0">
    <w:name w:val="WW8Num279z0"/>
    <w:qFormat/>
    <w:rPr>
      <w:rFonts w:ascii="Symbol" w:hAnsi="Symbol" w:cs="Symbol"/>
    </w:rPr>
  </w:style>
  <w:style w:type="character" w:styleId="WW8Num280z0">
    <w:name w:val="WW8Num280z0"/>
    <w:qFormat/>
    <w:rPr>
      <w:rFonts w:ascii="Symbol" w:hAnsi="Symbol" w:cs="Symbol"/>
    </w:rPr>
  </w:style>
  <w:style w:type="character" w:styleId="WW8Num281z0">
    <w:name w:val="WW8Num281z0"/>
    <w:qFormat/>
    <w:rPr>
      <w:rFonts w:ascii="Symbol" w:hAnsi="Symbol" w:cs="Symbol"/>
    </w:rPr>
  </w:style>
  <w:style w:type="character" w:styleId="WW8Num282z0">
    <w:name w:val="WW8Num282z0"/>
    <w:qFormat/>
    <w:rPr>
      <w:rFonts w:ascii="Symbol" w:hAnsi="Symbol" w:cs="Symbol"/>
    </w:rPr>
  </w:style>
  <w:style w:type="character" w:styleId="WW8Num283z0">
    <w:name w:val="WW8Num283z0"/>
    <w:qFormat/>
    <w:rPr/>
  </w:style>
  <w:style w:type="character" w:styleId="WW8Num284z0">
    <w:name w:val="WW8Num284z0"/>
    <w:qFormat/>
    <w:rPr>
      <w:rFonts w:ascii="Symbol" w:hAnsi="Symbol" w:cs="Symbol"/>
    </w:rPr>
  </w:style>
  <w:style w:type="character" w:styleId="WW8Num285z0">
    <w:name w:val="WW8Num285z0"/>
    <w:qFormat/>
    <w:rPr>
      <w:rFonts w:ascii="Symbol" w:hAnsi="Symbol" w:cs="Symbol"/>
    </w:rPr>
  </w:style>
  <w:style w:type="character" w:styleId="WW8Num286z0">
    <w:name w:val="WW8Num286z0"/>
    <w:qFormat/>
    <w:rPr>
      <w:rFonts w:ascii="Symbol" w:hAnsi="Symbol" w:cs="Symbol"/>
    </w:rPr>
  </w:style>
  <w:style w:type="character" w:styleId="WW8Num287z0">
    <w:name w:val="WW8Num287z0"/>
    <w:qFormat/>
    <w:rPr>
      <w:rFonts w:ascii="Symbol" w:hAnsi="Symbol" w:cs="Symbol"/>
    </w:rPr>
  </w:style>
  <w:style w:type="character" w:styleId="WW8Num288z0">
    <w:name w:val="WW8Num288z0"/>
    <w:qFormat/>
    <w:rPr>
      <w:rFonts w:ascii="Symbol" w:hAnsi="Symbol" w:cs="Symbol"/>
    </w:rPr>
  </w:style>
  <w:style w:type="character" w:styleId="WW8Num289z0">
    <w:name w:val="WW8Num289z0"/>
    <w:qFormat/>
    <w:rPr>
      <w:rFonts w:ascii="Symbol" w:hAnsi="Symbol" w:cs="Symbol"/>
    </w:rPr>
  </w:style>
  <w:style w:type="character" w:styleId="WW8Num290z0">
    <w:name w:val="WW8Num290z0"/>
    <w:qFormat/>
    <w:rPr>
      <w:u w:val="none"/>
    </w:rPr>
  </w:style>
  <w:style w:type="character" w:styleId="WW8Num291z0">
    <w:name w:val="WW8Num291z0"/>
    <w:qFormat/>
    <w:rPr>
      <w:rFonts w:ascii="Symbol" w:hAnsi="Symbol" w:cs="Symbol"/>
    </w:rPr>
  </w:style>
  <w:style w:type="character" w:styleId="WW8Num292z0">
    <w:name w:val="WW8Num292z0"/>
    <w:qFormat/>
    <w:rPr>
      <w:rFonts w:ascii="Symbol" w:hAnsi="Symbol" w:cs="Symbol"/>
    </w:rPr>
  </w:style>
  <w:style w:type="character" w:styleId="WW8Num293z0">
    <w:name w:val="WW8Num293z0"/>
    <w:qFormat/>
    <w:rPr>
      <w:rFonts w:ascii="Symbol" w:hAnsi="Symbol" w:cs="Symbol"/>
    </w:rPr>
  </w:style>
  <w:style w:type="character" w:styleId="WW8Num294z0">
    <w:name w:val="WW8Num294z0"/>
    <w:qFormat/>
    <w:rPr>
      <w:rFonts w:ascii="Symbol" w:hAnsi="Symbol" w:cs="Symbol"/>
    </w:rPr>
  </w:style>
  <w:style w:type="character" w:styleId="WW8Num295z0">
    <w:name w:val="WW8Num295z0"/>
    <w:qFormat/>
    <w:rPr>
      <w:rFonts w:ascii="Symbol" w:hAnsi="Symbol" w:cs="Symbol"/>
    </w:rPr>
  </w:style>
  <w:style w:type="character" w:styleId="WW8Num296z0">
    <w:name w:val="WW8Num296z0"/>
    <w:qFormat/>
    <w:rPr>
      <w:rFonts w:ascii="Symbol" w:hAnsi="Symbol" w:cs="Symbol"/>
    </w:rPr>
  </w:style>
  <w:style w:type="character" w:styleId="WW8Num297z0">
    <w:name w:val="WW8Num297z0"/>
    <w:qFormat/>
    <w:rPr>
      <w:rFonts w:ascii="Symbol" w:hAnsi="Symbol" w:cs="Symbol"/>
    </w:rPr>
  </w:style>
  <w:style w:type="character" w:styleId="WW8Num298z0">
    <w:name w:val="WW8Num298z0"/>
    <w:qFormat/>
    <w:rPr>
      <w:rFonts w:ascii="Symbol" w:hAnsi="Symbol" w:cs="Symbol"/>
    </w:rPr>
  </w:style>
  <w:style w:type="character" w:styleId="WW8Num299z0">
    <w:name w:val="WW8Num299z0"/>
    <w:qFormat/>
    <w:rPr>
      <w:rFonts w:ascii="Symbol" w:hAnsi="Symbol" w:cs="Symbol"/>
    </w:rPr>
  </w:style>
  <w:style w:type="character" w:styleId="WW8Num300z0">
    <w:name w:val="WW8Num300z0"/>
    <w:qFormat/>
    <w:rPr>
      <w:rFonts w:ascii="Symbol" w:hAnsi="Symbol" w:cs="Symbol"/>
    </w:rPr>
  </w:style>
  <w:style w:type="character" w:styleId="WW8Num301z0">
    <w:name w:val="WW8Num301z0"/>
    <w:qFormat/>
    <w:rPr>
      <w:rFonts w:ascii="Symbol" w:hAnsi="Symbol" w:cs="Symbol"/>
    </w:rPr>
  </w:style>
  <w:style w:type="character" w:styleId="WW8Num302z0">
    <w:name w:val="WW8Num302z0"/>
    <w:qFormat/>
    <w:rPr>
      <w:rFonts w:ascii="Symbol" w:hAnsi="Symbol" w:cs="Symbol"/>
    </w:rPr>
  </w:style>
  <w:style w:type="character" w:styleId="WW8Num303z0">
    <w:name w:val="WW8Num303z0"/>
    <w:qFormat/>
    <w:rPr>
      <w:rFonts w:ascii="Symbol" w:hAnsi="Symbol" w:cs="Symbol"/>
    </w:rPr>
  </w:style>
  <w:style w:type="character" w:styleId="WW8Num304z0">
    <w:name w:val="WW8Num304z0"/>
    <w:qFormat/>
    <w:rPr>
      <w:rFonts w:ascii="Symbol" w:hAnsi="Symbol" w:cs="Symbol"/>
    </w:rPr>
  </w:style>
  <w:style w:type="character" w:styleId="WW8Num305z0">
    <w:name w:val="WW8Num305z0"/>
    <w:qFormat/>
    <w:rPr>
      <w:rFonts w:ascii="Symbol" w:hAnsi="Symbol" w:cs="Symbol"/>
    </w:rPr>
  </w:style>
  <w:style w:type="character" w:styleId="WW8Num306z0">
    <w:name w:val="WW8Num306z0"/>
    <w:qFormat/>
    <w:rPr>
      <w:rFonts w:ascii="Symbol" w:hAnsi="Symbol" w:cs="Symbol"/>
    </w:rPr>
  </w:style>
  <w:style w:type="character" w:styleId="WW8Num307z0">
    <w:name w:val="WW8Num307z0"/>
    <w:qFormat/>
    <w:rPr>
      <w:rFonts w:ascii="Symbol" w:hAnsi="Symbol" w:cs="Symbol"/>
    </w:rPr>
  </w:style>
  <w:style w:type="character" w:styleId="WW8Num308z0">
    <w:name w:val="WW8Num308z0"/>
    <w:qFormat/>
    <w:rPr>
      <w:rFonts w:ascii="Symbol" w:hAnsi="Symbol" w:cs="Symbol"/>
    </w:rPr>
  </w:style>
  <w:style w:type="character" w:styleId="WW8Num309z0">
    <w:name w:val="WW8Num309z0"/>
    <w:qFormat/>
    <w:rPr>
      <w:rFonts w:ascii="Symbol" w:hAnsi="Symbol" w:cs="Symbol"/>
    </w:rPr>
  </w:style>
  <w:style w:type="character" w:styleId="WW8Num310z0">
    <w:name w:val="WW8Num310z0"/>
    <w:qFormat/>
    <w:rPr>
      <w:rFonts w:ascii="Symbol" w:hAnsi="Symbol" w:cs="Symbol"/>
    </w:rPr>
  </w:style>
  <w:style w:type="character" w:styleId="WW8Num311z0">
    <w:name w:val="WW8Num311z0"/>
    <w:qFormat/>
    <w:rPr/>
  </w:style>
  <w:style w:type="character" w:styleId="WW8Num312z0">
    <w:name w:val="WW8Num312z0"/>
    <w:qFormat/>
    <w:rPr>
      <w:rFonts w:ascii="Symbol" w:hAnsi="Symbol" w:cs="Symbol"/>
    </w:rPr>
  </w:style>
  <w:style w:type="character" w:styleId="WW8Num313z0">
    <w:name w:val="WW8Num313z0"/>
    <w:qFormat/>
    <w:rPr>
      <w:rFonts w:ascii="Symbol" w:hAnsi="Symbol" w:cs="Symbol"/>
    </w:rPr>
  </w:style>
  <w:style w:type="character" w:styleId="WW8Num314z0">
    <w:name w:val="WW8Num314z0"/>
    <w:qFormat/>
    <w:rPr>
      <w:rFonts w:ascii="Symbol" w:hAnsi="Symbol" w:cs="Symbol"/>
      <w:b w:val="false"/>
      <w:i w:val="false"/>
      <w:color w:val="000000"/>
      <w:sz w:val="24"/>
    </w:rPr>
  </w:style>
  <w:style w:type="character" w:styleId="WW8Num314z1">
    <w:name w:val="WW8Num314z1"/>
    <w:qFormat/>
    <w:rPr>
      <w:rFonts w:ascii="Courier New" w:hAnsi="Courier New" w:cs="Courier New"/>
    </w:rPr>
  </w:style>
  <w:style w:type="character" w:styleId="WW8Num314z2">
    <w:name w:val="WW8Num314z2"/>
    <w:qFormat/>
    <w:rPr>
      <w:rFonts w:ascii="Wingdings" w:hAnsi="Wingdings" w:cs="Wingdings"/>
    </w:rPr>
  </w:style>
  <w:style w:type="character" w:styleId="WW8Num314z3">
    <w:name w:val="WW8Num314z3"/>
    <w:qFormat/>
    <w:rPr>
      <w:rFonts w:ascii="Symbol" w:hAnsi="Symbol" w:cs="Symbol"/>
    </w:rPr>
  </w:style>
  <w:style w:type="character" w:styleId="WW8Num315z0">
    <w:name w:val="WW8Num315z0"/>
    <w:qFormat/>
    <w:rPr>
      <w:rFonts w:ascii="Symbol" w:hAnsi="Symbol" w:cs="Symbol"/>
    </w:rPr>
  </w:style>
  <w:style w:type="character" w:styleId="WW8Num316z0">
    <w:name w:val="WW8Num316z0"/>
    <w:qFormat/>
    <w:rPr>
      <w:u w:val="none"/>
    </w:rPr>
  </w:style>
  <w:style w:type="character" w:styleId="WW8Num317z0">
    <w:name w:val="WW8Num317z0"/>
    <w:qFormat/>
    <w:rPr>
      <w:rFonts w:ascii="Symbol" w:hAnsi="Symbol" w:cs="Symbol"/>
    </w:rPr>
  </w:style>
  <w:style w:type="character" w:styleId="WW8Num317z1">
    <w:name w:val="WW8Num317z1"/>
    <w:qFormat/>
    <w:rPr>
      <w:rFonts w:ascii="Courier New" w:hAnsi="Courier New" w:cs="Courier New"/>
    </w:rPr>
  </w:style>
  <w:style w:type="character" w:styleId="WW8Num317z2">
    <w:name w:val="WW8Num317z2"/>
    <w:qFormat/>
    <w:rPr>
      <w:rFonts w:ascii="Wingdings" w:hAnsi="Wingdings" w:cs="Wingdings"/>
    </w:rPr>
  </w:style>
  <w:style w:type="character" w:styleId="WW8Num318z0">
    <w:name w:val="WW8Num318z0"/>
    <w:qFormat/>
    <w:rPr>
      <w:rFonts w:ascii="Symbol" w:hAnsi="Symbol" w:cs="Symbol"/>
    </w:rPr>
  </w:style>
  <w:style w:type="character" w:styleId="WW8Num319z0">
    <w:name w:val="WW8Num319z0"/>
    <w:qFormat/>
    <w:rPr>
      <w:rFonts w:ascii="Symbol" w:hAnsi="Symbol" w:cs="Symbol"/>
    </w:rPr>
  </w:style>
  <w:style w:type="character" w:styleId="WW8Num321z0">
    <w:name w:val="WW8Num321z0"/>
    <w:qFormat/>
    <w:rPr>
      <w:rFonts w:ascii="Symbol" w:hAnsi="Symbol" w:cs="Symbol"/>
    </w:rPr>
  </w:style>
  <w:style w:type="character" w:styleId="WW8Num322z0">
    <w:name w:val="WW8Num322z0"/>
    <w:qFormat/>
    <w:rPr>
      <w:rFonts w:ascii="Symbol" w:hAnsi="Symbol" w:cs="Symbol"/>
    </w:rPr>
  </w:style>
  <w:style w:type="character" w:styleId="WW8Num323z0">
    <w:name w:val="WW8Num323z0"/>
    <w:qFormat/>
    <w:rPr>
      <w:rFonts w:ascii="Symbol" w:hAnsi="Symbol" w:cs="Symbol"/>
    </w:rPr>
  </w:style>
  <w:style w:type="character" w:styleId="WW8Num324z0">
    <w:name w:val="WW8Num324z0"/>
    <w:qFormat/>
    <w:rPr>
      <w:rFonts w:ascii="Symbol" w:hAnsi="Symbol" w:cs="Symbol"/>
    </w:rPr>
  </w:style>
  <w:style w:type="character" w:styleId="WW8Num325z0">
    <w:name w:val="WW8Num325z0"/>
    <w:qFormat/>
    <w:rPr>
      <w:rFonts w:ascii="Symbol" w:hAnsi="Symbol" w:cs="Symbol"/>
    </w:rPr>
  </w:style>
  <w:style w:type="character" w:styleId="WW8Num326z0">
    <w:name w:val="WW8Num326z0"/>
    <w:qFormat/>
    <w:rPr>
      <w:rFonts w:ascii="Symbol" w:hAnsi="Symbol" w:cs="Symbol"/>
    </w:rPr>
  </w:style>
  <w:style w:type="character" w:styleId="WW8Num327z0">
    <w:name w:val="WW8Num327z0"/>
    <w:qFormat/>
    <w:rPr/>
  </w:style>
  <w:style w:type="character" w:styleId="WW8Num328z0">
    <w:name w:val="WW8Num328z0"/>
    <w:qFormat/>
    <w:rPr>
      <w:rFonts w:ascii="Symbol" w:hAnsi="Symbol" w:cs="Symbol"/>
    </w:rPr>
  </w:style>
  <w:style w:type="character" w:styleId="WW8Num329z0">
    <w:name w:val="WW8Num329z0"/>
    <w:qFormat/>
    <w:rPr>
      <w:rFonts w:ascii="Symbol" w:hAnsi="Symbol" w:cs="Symbol"/>
      <w:color w:val="auto"/>
      <w:sz w:val="16"/>
    </w:rPr>
  </w:style>
  <w:style w:type="character" w:styleId="WW8Num330z0">
    <w:name w:val="WW8Num330z0"/>
    <w:qFormat/>
    <w:rPr>
      <w:rFonts w:ascii="Symbol" w:hAnsi="Symbol" w:cs="Symbol"/>
    </w:rPr>
  </w:style>
  <w:style w:type="character" w:styleId="WW8Num331z0">
    <w:name w:val="WW8Num331z0"/>
    <w:qFormat/>
    <w:rPr>
      <w:rFonts w:ascii="Symbol" w:hAnsi="Symbol" w:cs="Symbol"/>
    </w:rPr>
  </w:style>
  <w:style w:type="character" w:styleId="WW8Num332z0">
    <w:name w:val="WW8Num332z0"/>
    <w:qFormat/>
    <w:rPr>
      <w:b/>
      <w:i w:val="false"/>
      <w:u w:val="none"/>
    </w:rPr>
  </w:style>
  <w:style w:type="character" w:styleId="WW8Num333z0">
    <w:name w:val="WW8Num333z0"/>
    <w:qFormat/>
    <w:rPr>
      <w:rFonts w:ascii="Symbol" w:hAnsi="Symbol" w:cs="Symbol"/>
    </w:rPr>
  </w:style>
  <w:style w:type="character" w:styleId="WW8Num334z0">
    <w:name w:val="WW8Num334z0"/>
    <w:qFormat/>
    <w:rPr/>
  </w:style>
  <w:style w:type="character" w:styleId="WW8Num335z0">
    <w:name w:val="WW8Num335z0"/>
    <w:qFormat/>
    <w:rPr>
      <w:rFonts w:ascii="Symbol" w:hAnsi="Symbol" w:cs="Symbol"/>
    </w:rPr>
  </w:style>
  <w:style w:type="character" w:styleId="WW8Num336z0">
    <w:name w:val="WW8Num336z0"/>
    <w:qFormat/>
    <w:rPr>
      <w:rFonts w:ascii="Symbol" w:hAnsi="Symbol" w:cs="Symbol"/>
    </w:rPr>
  </w:style>
  <w:style w:type="character" w:styleId="WW8Num337z0">
    <w:name w:val="WW8Num337z0"/>
    <w:qFormat/>
    <w:rPr>
      <w:rFonts w:ascii="Symbol" w:hAnsi="Symbol" w:cs="Symbol"/>
    </w:rPr>
  </w:style>
  <w:style w:type="character" w:styleId="WW8Num338z0">
    <w:name w:val="WW8Num338z0"/>
    <w:qFormat/>
    <w:rPr>
      <w:rFonts w:ascii="Symbol" w:hAnsi="Symbol" w:cs="Symbol"/>
    </w:rPr>
  </w:style>
  <w:style w:type="character" w:styleId="WW8Num339z0">
    <w:name w:val="WW8Num339z0"/>
    <w:qFormat/>
    <w:rPr>
      <w:rFonts w:ascii="Symbol" w:hAnsi="Symbol" w:cs="Symbol"/>
    </w:rPr>
  </w:style>
  <w:style w:type="character" w:styleId="WW8Num340z0">
    <w:name w:val="WW8Num340z0"/>
    <w:qFormat/>
    <w:rPr/>
  </w:style>
  <w:style w:type="character" w:styleId="WW8Num341z0">
    <w:name w:val="WW8Num341z0"/>
    <w:qFormat/>
    <w:rPr>
      <w:rFonts w:ascii="Symbol" w:hAnsi="Symbol" w:cs="Symbol"/>
    </w:rPr>
  </w:style>
  <w:style w:type="character" w:styleId="WW8Num342z0">
    <w:name w:val="WW8Num342z0"/>
    <w:qFormat/>
    <w:rPr>
      <w:rFonts w:ascii="Symbol" w:hAnsi="Symbol" w:cs="Symbol"/>
    </w:rPr>
  </w:style>
  <w:style w:type="character" w:styleId="WW8Num343z0">
    <w:name w:val="WW8Num343z0"/>
    <w:qFormat/>
    <w:rPr>
      <w:rFonts w:ascii="Symbol" w:hAnsi="Symbol" w:cs="Symbol"/>
    </w:rPr>
  </w:style>
  <w:style w:type="character" w:styleId="WW8Num344z0">
    <w:name w:val="WW8Num344z0"/>
    <w:qFormat/>
    <w:rPr>
      <w:rFonts w:ascii="Symbol" w:hAnsi="Symbol" w:cs="Symbol"/>
    </w:rPr>
  </w:style>
  <w:style w:type="character" w:styleId="WW8Num345z0">
    <w:name w:val="WW8Num345z0"/>
    <w:qFormat/>
    <w:rPr>
      <w:rFonts w:ascii="Symbol" w:hAnsi="Symbol" w:cs="Symbol"/>
    </w:rPr>
  </w:style>
  <w:style w:type="character" w:styleId="WW8Num346z0">
    <w:name w:val="WW8Num346z0"/>
    <w:qFormat/>
    <w:rPr>
      <w:rFonts w:ascii="Symbol" w:hAnsi="Symbol" w:cs="Symbol"/>
    </w:rPr>
  </w:style>
  <w:style w:type="character" w:styleId="WW8Num347z0">
    <w:name w:val="WW8Num347z0"/>
    <w:qFormat/>
    <w:rPr>
      <w:u w:val="none"/>
    </w:rPr>
  </w:style>
  <w:style w:type="character" w:styleId="WW8Num349z0">
    <w:name w:val="WW8Num349z0"/>
    <w:qFormat/>
    <w:rPr>
      <w:rFonts w:ascii="Symbol" w:hAnsi="Symbol" w:cs="Symbol"/>
    </w:rPr>
  </w:style>
  <w:style w:type="character" w:styleId="WW8Num350z0">
    <w:name w:val="WW8Num350z0"/>
    <w:qFormat/>
    <w:rPr>
      <w:rFonts w:ascii="Symbol" w:hAnsi="Symbol" w:cs="Symbol"/>
      <w:sz w:val="24"/>
    </w:rPr>
  </w:style>
  <w:style w:type="character" w:styleId="WW8Num351z0">
    <w:name w:val="WW8Num351z0"/>
    <w:qFormat/>
    <w:rPr>
      <w:rFonts w:ascii="Symbol" w:hAnsi="Symbol" w:cs="Symbol"/>
    </w:rPr>
  </w:style>
  <w:style w:type="character" w:styleId="WW8Num352z0">
    <w:name w:val="WW8Num352z0"/>
    <w:qFormat/>
    <w:rPr>
      <w:rFonts w:ascii="Symbol" w:hAnsi="Symbol" w:cs="Symbol"/>
    </w:rPr>
  </w:style>
  <w:style w:type="character" w:styleId="WW8Num353z0">
    <w:name w:val="WW8Num353z0"/>
    <w:qFormat/>
    <w:rPr>
      <w:rFonts w:ascii="Symbol" w:hAnsi="Symbol" w:cs="Symbol"/>
    </w:rPr>
  </w:style>
  <w:style w:type="character" w:styleId="WW8Num354z0">
    <w:name w:val="WW8Num354z0"/>
    <w:qFormat/>
    <w:rPr>
      <w:rFonts w:ascii="Symbol" w:hAnsi="Symbol" w:cs="Symbol"/>
    </w:rPr>
  </w:style>
  <w:style w:type="character" w:styleId="WW8Num355z0">
    <w:name w:val="WW8Num355z0"/>
    <w:qFormat/>
    <w:rPr>
      <w:rFonts w:ascii="Symbol" w:hAnsi="Symbol" w:cs="Symbol"/>
    </w:rPr>
  </w:style>
  <w:style w:type="character" w:styleId="WW8Num357z0">
    <w:name w:val="WW8Num357z0"/>
    <w:qFormat/>
    <w:rPr>
      <w:rFonts w:ascii="Symbol" w:hAnsi="Symbol" w:cs="Symbol"/>
    </w:rPr>
  </w:style>
  <w:style w:type="character" w:styleId="WW8Num358z0">
    <w:name w:val="WW8Num358z0"/>
    <w:qFormat/>
    <w:rPr>
      <w:rFonts w:ascii="Symbol" w:hAnsi="Symbol" w:cs="Symbol"/>
    </w:rPr>
  </w:style>
  <w:style w:type="character" w:styleId="WW8Num359z0">
    <w:name w:val="WW8Num359z0"/>
    <w:qFormat/>
    <w:rPr>
      <w:rFonts w:ascii="Symbol" w:hAnsi="Symbol" w:cs="Symbol"/>
    </w:rPr>
  </w:style>
  <w:style w:type="character" w:styleId="WW8Num360z0">
    <w:name w:val="WW8Num360z0"/>
    <w:qFormat/>
    <w:rPr>
      <w:rFonts w:ascii="Symbol" w:hAnsi="Symbol" w:cs="Symbol"/>
    </w:rPr>
  </w:style>
  <w:style w:type="character" w:styleId="WW8Num361z0">
    <w:name w:val="WW8Num361z0"/>
    <w:qFormat/>
    <w:rPr>
      <w:rFonts w:ascii="Symbol" w:hAnsi="Symbol" w:cs="Symbol"/>
    </w:rPr>
  </w:style>
  <w:style w:type="character" w:styleId="WW8Num362z0">
    <w:name w:val="WW8Num362z0"/>
    <w:qFormat/>
    <w:rPr>
      <w:rFonts w:ascii="Symbol" w:hAnsi="Symbol" w:cs="Symbol"/>
    </w:rPr>
  </w:style>
  <w:style w:type="character" w:styleId="WW8Num363z0">
    <w:name w:val="WW8Num363z0"/>
    <w:qFormat/>
    <w:rPr>
      <w:rFonts w:ascii="Symbol" w:hAnsi="Symbol" w:cs="Symbol"/>
    </w:rPr>
  </w:style>
  <w:style w:type="character" w:styleId="WW8Num364z0">
    <w:name w:val="WW8Num364z0"/>
    <w:qFormat/>
    <w:rPr>
      <w:rFonts w:ascii="Symbol" w:hAnsi="Symbol" w:cs="Symbol"/>
    </w:rPr>
  </w:style>
  <w:style w:type="character" w:styleId="WW8Num365z0">
    <w:name w:val="WW8Num365z0"/>
    <w:qFormat/>
    <w:rPr>
      <w:rFonts w:ascii="Symbol" w:hAnsi="Symbol" w:cs="Symbol"/>
    </w:rPr>
  </w:style>
  <w:style w:type="character" w:styleId="WW8Num366z0">
    <w:name w:val="WW8Num366z0"/>
    <w:qFormat/>
    <w:rPr>
      <w:rFonts w:ascii="Symbol" w:hAnsi="Symbol" w:cs="Symbol"/>
    </w:rPr>
  </w:style>
  <w:style w:type="character" w:styleId="WW8Num366z1">
    <w:name w:val="WW8Num366z1"/>
    <w:qFormat/>
    <w:rPr>
      <w:rFonts w:ascii="Courier New" w:hAnsi="Courier New" w:cs="Courier New"/>
    </w:rPr>
  </w:style>
  <w:style w:type="character" w:styleId="WW8Num366z2">
    <w:name w:val="WW8Num366z2"/>
    <w:qFormat/>
    <w:rPr>
      <w:rFonts w:ascii="Wingdings" w:hAnsi="Wingdings" w:cs="Wingdings"/>
    </w:rPr>
  </w:style>
  <w:style w:type="character" w:styleId="WW8Num367z0">
    <w:name w:val="WW8Num367z0"/>
    <w:qFormat/>
    <w:rPr>
      <w:rFonts w:ascii="Symbol" w:hAnsi="Symbol" w:cs="Symbol"/>
      <w:sz w:val="24"/>
    </w:rPr>
  </w:style>
  <w:style w:type="character" w:styleId="WW8Num368z0">
    <w:name w:val="WW8Num368z0"/>
    <w:qFormat/>
    <w:rPr>
      <w:rFonts w:ascii="Symbol" w:hAnsi="Symbol" w:cs="Symbol"/>
    </w:rPr>
  </w:style>
  <w:style w:type="character" w:styleId="WW8Num370z0">
    <w:name w:val="WW8Num370z0"/>
    <w:qFormat/>
    <w:rPr>
      <w:u w:val="none"/>
    </w:rPr>
  </w:style>
  <w:style w:type="character" w:styleId="WW8Num371z0">
    <w:name w:val="WW8Num371z0"/>
    <w:qFormat/>
    <w:rPr>
      <w:rFonts w:ascii="Symbol" w:hAnsi="Symbol" w:cs="Symbol"/>
    </w:rPr>
  </w:style>
  <w:style w:type="character" w:styleId="WW8Num372z0">
    <w:name w:val="WW8Num372z0"/>
    <w:qFormat/>
    <w:rPr>
      <w:rFonts w:ascii="Symbol" w:hAnsi="Symbol" w:cs="Symbol"/>
    </w:rPr>
  </w:style>
  <w:style w:type="character" w:styleId="WW8Num373z0">
    <w:name w:val="WW8Num373z0"/>
    <w:qFormat/>
    <w:rPr>
      <w:rFonts w:ascii="Symbol" w:hAnsi="Symbol" w:cs="Symbol"/>
    </w:rPr>
  </w:style>
  <w:style w:type="character" w:styleId="WW8Num374z0">
    <w:name w:val="WW8Num374z0"/>
    <w:qFormat/>
    <w:rPr>
      <w:rFonts w:ascii="Symbol" w:hAnsi="Symbol" w:cs="Symbol"/>
    </w:rPr>
  </w:style>
  <w:style w:type="character" w:styleId="WW8Num375z0">
    <w:name w:val="WW8Num375z0"/>
    <w:qFormat/>
    <w:rPr>
      <w:rFonts w:ascii="Symbol" w:hAnsi="Symbol" w:cs="Symbol"/>
    </w:rPr>
  </w:style>
  <w:style w:type="character" w:styleId="WW8Num376z0">
    <w:name w:val="WW8Num376z0"/>
    <w:qFormat/>
    <w:rPr>
      <w:rFonts w:ascii="Symbol" w:hAnsi="Symbol" w:cs="Symbol"/>
    </w:rPr>
  </w:style>
  <w:style w:type="character" w:styleId="WW8Num377z0">
    <w:name w:val="WW8Num377z0"/>
    <w:qFormat/>
    <w:rPr>
      <w:rFonts w:ascii="Symbol" w:hAnsi="Symbol" w:cs="Symbol"/>
    </w:rPr>
  </w:style>
  <w:style w:type="character" w:styleId="WW8Num378z0">
    <w:name w:val="WW8Num378z0"/>
    <w:qFormat/>
    <w:rPr>
      <w:rFonts w:ascii="Symbol" w:hAnsi="Symbol" w:cs="Symbol"/>
    </w:rPr>
  </w:style>
  <w:style w:type="character" w:styleId="WW8Num379z0">
    <w:name w:val="WW8Num379z0"/>
    <w:qFormat/>
    <w:rPr>
      <w:u w:val="none"/>
    </w:rPr>
  </w:style>
  <w:style w:type="character" w:styleId="WW8Num380z0">
    <w:name w:val="WW8Num380z0"/>
    <w:qFormat/>
    <w:rPr>
      <w:rFonts w:ascii="Symbol" w:hAnsi="Symbol" w:cs="Symbol"/>
    </w:rPr>
  </w:style>
  <w:style w:type="character" w:styleId="WW8Num382z0">
    <w:name w:val="WW8Num382z0"/>
    <w:qFormat/>
    <w:rPr>
      <w:rFonts w:ascii="Symbol" w:hAnsi="Symbol" w:cs="Symbol"/>
    </w:rPr>
  </w:style>
  <w:style w:type="character" w:styleId="WW8Num383z0">
    <w:name w:val="WW8Num383z0"/>
    <w:qFormat/>
    <w:rPr>
      <w:rFonts w:ascii="Symbol" w:hAnsi="Symbol" w:cs="Symbol"/>
    </w:rPr>
  </w:style>
  <w:style w:type="character" w:styleId="WW8Num385z0">
    <w:name w:val="WW8Num385z0"/>
    <w:qFormat/>
    <w:rPr>
      <w:rFonts w:ascii="Symbol" w:hAnsi="Symbol" w:cs="Symbol"/>
    </w:rPr>
  </w:style>
  <w:style w:type="character" w:styleId="WW8Num386z0">
    <w:name w:val="WW8Num386z0"/>
    <w:qFormat/>
    <w:rPr>
      <w:rFonts w:ascii="Symbol" w:hAnsi="Symbol" w:cs="Symbol"/>
    </w:rPr>
  </w:style>
  <w:style w:type="character" w:styleId="WW8Num388z0">
    <w:name w:val="WW8Num388z0"/>
    <w:qFormat/>
    <w:rPr>
      <w:rFonts w:ascii="Symbol" w:hAnsi="Symbol" w:cs="Symbol"/>
    </w:rPr>
  </w:style>
  <w:style w:type="character" w:styleId="WW8Num389z0">
    <w:name w:val="WW8Num389z0"/>
    <w:qFormat/>
    <w:rPr>
      <w:rFonts w:ascii="Symbol" w:hAnsi="Symbol" w:cs="Symbol"/>
    </w:rPr>
  </w:style>
  <w:style w:type="character" w:styleId="WW8Num390z0">
    <w:name w:val="WW8Num390z0"/>
    <w:qFormat/>
    <w:rPr>
      <w:rFonts w:ascii="Symbol" w:hAnsi="Symbol" w:cs="Symbol"/>
    </w:rPr>
  </w:style>
  <w:style w:type="character" w:styleId="WW8Num391z0">
    <w:name w:val="WW8Num391z0"/>
    <w:qFormat/>
    <w:rPr>
      <w:rFonts w:ascii="Symbol" w:hAnsi="Symbol" w:cs="Symbol"/>
    </w:rPr>
  </w:style>
  <w:style w:type="character" w:styleId="WW8Num392z0">
    <w:name w:val="WW8Num392z0"/>
    <w:qFormat/>
    <w:rPr>
      <w:rFonts w:ascii="Symbol" w:hAnsi="Symbol" w:cs="Symbol"/>
    </w:rPr>
  </w:style>
  <w:style w:type="character" w:styleId="WW8Num393z0">
    <w:name w:val="WW8Num393z0"/>
    <w:qFormat/>
    <w:rPr>
      <w:rFonts w:ascii="Symbol" w:hAnsi="Symbol" w:cs="Symbol"/>
    </w:rPr>
  </w:style>
  <w:style w:type="character" w:styleId="WW8Num394z0">
    <w:name w:val="WW8Num394z0"/>
    <w:qFormat/>
    <w:rPr/>
  </w:style>
  <w:style w:type="character" w:styleId="WW8Num395z0">
    <w:name w:val="WW8Num395z0"/>
    <w:qFormat/>
    <w:rPr>
      <w:rFonts w:ascii="Symbol" w:hAnsi="Symbol" w:cs="Symbol"/>
    </w:rPr>
  </w:style>
  <w:style w:type="character" w:styleId="WW8Num396z0">
    <w:name w:val="WW8Num396z0"/>
    <w:qFormat/>
    <w:rPr>
      <w:rFonts w:ascii="Symbol" w:hAnsi="Symbol" w:cs="Symbol"/>
    </w:rPr>
  </w:style>
  <w:style w:type="character" w:styleId="WW8Num397z0">
    <w:name w:val="WW8Num397z0"/>
    <w:qFormat/>
    <w:rPr>
      <w:rFonts w:ascii="Symbol" w:hAnsi="Symbol" w:cs="Symbol"/>
    </w:rPr>
  </w:style>
  <w:style w:type="character" w:styleId="WW8Num399z0">
    <w:name w:val="WW8Num399z0"/>
    <w:qFormat/>
    <w:rPr>
      <w:rFonts w:ascii="Symbol" w:hAnsi="Symbol" w:cs="Symbol"/>
    </w:rPr>
  </w:style>
  <w:style w:type="character" w:styleId="WW8Num400z0">
    <w:name w:val="WW8Num400z0"/>
    <w:qFormat/>
    <w:rPr>
      <w:rFonts w:ascii="Symbol" w:hAnsi="Symbol" w:cs="Symbol"/>
    </w:rPr>
  </w:style>
  <w:style w:type="character" w:styleId="WW8Num401z0">
    <w:name w:val="WW8Num401z0"/>
    <w:qFormat/>
    <w:rPr>
      <w:rFonts w:ascii="Symbol" w:hAnsi="Symbol" w:cs="Symbol"/>
      <w:sz w:val="24"/>
    </w:rPr>
  </w:style>
  <w:style w:type="character" w:styleId="WW8Num402z0">
    <w:name w:val="WW8Num402z0"/>
    <w:qFormat/>
    <w:rPr>
      <w:rFonts w:ascii="Symbol" w:hAnsi="Symbol" w:cs="Symbol"/>
    </w:rPr>
  </w:style>
  <w:style w:type="character" w:styleId="WW8Num403z0">
    <w:name w:val="WW8Num403z0"/>
    <w:qFormat/>
    <w:rPr>
      <w:rFonts w:ascii="Symbol" w:hAnsi="Symbol" w:cs="Symbol"/>
    </w:rPr>
  </w:style>
  <w:style w:type="character" w:styleId="WW8Num404z0">
    <w:name w:val="WW8Num404z0"/>
    <w:qFormat/>
    <w:rPr>
      <w:rFonts w:ascii="Symbol" w:hAnsi="Symbol" w:cs="Symbol"/>
    </w:rPr>
  </w:style>
  <w:style w:type="character" w:styleId="WW8Num405z0">
    <w:name w:val="WW8Num405z0"/>
    <w:qFormat/>
    <w:rPr>
      <w:rFonts w:ascii="Symbol" w:hAnsi="Symbol" w:cs="Symbol"/>
      <w:sz w:val="24"/>
    </w:rPr>
  </w:style>
  <w:style w:type="character" w:styleId="WW8Num406z0">
    <w:name w:val="WW8Num406z0"/>
    <w:qFormat/>
    <w:rPr>
      <w:u w:val="none"/>
    </w:rPr>
  </w:style>
  <w:style w:type="character" w:styleId="WW8Num407z0">
    <w:name w:val="WW8Num407z0"/>
    <w:qFormat/>
    <w:rPr>
      <w:rFonts w:ascii="Symbol" w:hAnsi="Symbol" w:cs="Symbol"/>
    </w:rPr>
  </w:style>
  <w:style w:type="character" w:styleId="WW8Num408z0">
    <w:name w:val="WW8Num408z0"/>
    <w:qFormat/>
    <w:rPr>
      <w:rFonts w:ascii="Symbol" w:hAnsi="Symbol" w:cs="Symbol"/>
    </w:rPr>
  </w:style>
  <w:style w:type="character" w:styleId="WW8Num409z0">
    <w:name w:val="WW8Num409z0"/>
    <w:qFormat/>
    <w:rPr>
      <w:rFonts w:ascii="Symbol" w:hAnsi="Symbol" w:cs="Symbol"/>
    </w:rPr>
  </w:style>
  <w:style w:type="character" w:styleId="WW8Num410z0">
    <w:name w:val="WW8Num410z0"/>
    <w:qFormat/>
    <w:rPr>
      <w:rFonts w:ascii="Symbol" w:hAnsi="Symbol" w:cs="Symbol"/>
    </w:rPr>
  </w:style>
  <w:style w:type="character" w:styleId="WW8Num411z0">
    <w:name w:val="WW8Num411z0"/>
    <w:qFormat/>
    <w:rPr>
      <w:rFonts w:ascii="Symbol" w:hAnsi="Symbol" w:cs="Symbol"/>
    </w:rPr>
  </w:style>
  <w:style w:type="character" w:styleId="WW8Num412z0">
    <w:name w:val="WW8Num412z0"/>
    <w:qFormat/>
    <w:rPr>
      <w:rFonts w:ascii="Symbol" w:hAnsi="Symbol" w:cs="Symbol"/>
    </w:rPr>
  </w:style>
  <w:style w:type="character" w:styleId="WW8Num413z0">
    <w:name w:val="WW8Num413z0"/>
    <w:qFormat/>
    <w:rPr>
      <w:rFonts w:ascii="Symbol" w:hAnsi="Symbol" w:cs="Symbol"/>
    </w:rPr>
  </w:style>
  <w:style w:type="character" w:styleId="WW8Num414z0">
    <w:name w:val="WW8Num414z0"/>
    <w:qFormat/>
    <w:rPr>
      <w:rFonts w:ascii="Symbol" w:hAnsi="Symbol" w:cs="Symbol"/>
    </w:rPr>
  </w:style>
  <w:style w:type="character" w:styleId="WW8Num415z0">
    <w:name w:val="WW8Num415z0"/>
    <w:qFormat/>
    <w:rPr>
      <w:rFonts w:ascii="Symbol" w:hAnsi="Symbol" w:cs="Symbol"/>
    </w:rPr>
  </w:style>
  <w:style w:type="character" w:styleId="WW8Num416z0">
    <w:name w:val="WW8Num416z0"/>
    <w:qFormat/>
    <w:rPr>
      <w:rFonts w:ascii="Symbol" w:hAnsi="Symbol" w:cs="Symbol"/>
    </w:rPr>
  </w:style>
  <w:style w:type="character" w:styleId="WW8Num417z0">
    <w:name w:val="WW8Num417z0"/>
    <w:qFormat/>
    <w:rPr>
      <w:rFonts w:ascii="Symbol" w:hAnsi="Symbol" w:cs="Symbol"/>
    </w:rPr>
  </w:style>
  <w:style w:type="character" w:styleId="WW8Num418z0">
    <w:name w:val="WW8Num418z0"/>
    <w:qFormat/>
    <w:rPr>
      <w:rFonts w:ascii="Symbol" w:hAnsi="Symbol" w:cs="Symbol"/>
    </w:rPr>
  </w:style>
  <w:style w:type="character" w:styleId="WW8Num419z0">
    <w:name w:val="WW8Num419z0"/>
    <w:qFormat/>
    <w:rPr>
      <w:rFonts w:ascii="Symbol" w:hAnsi="Symbol" w:cs="Symbol"/>
    </w:rPr>
  </w:style>
  <w:style w:type="character" w:styleId="WW8Num420z0">
    <w:name w:val="WW8Num420z0"/>
    <w:qFormat/>
    <w:rPr>
      <w:rFonts w:ascii="Symbol" w:hAnsi="Symbol" w:cs="Symbol"/>
    </w:rPr>
  </w:style>
  <w:style w:type="character" w:styleId="WW8Num421z0">
    <w:name w:val="WW8Num421z0"/>
    <w:qFormat/>
    <w:rPr>
      <w:rFonts w:ascii="Symbol" w:hAnsi="Symbol" w:cs="Symbol"/>
    </w:rPr>
  </w:style>
  <w:style w:type="character" w:styleId="WW8Num422z0">
    <w:name w:val="WW8Num422z0"/>
    <w:qFormat/>
    <w:rPr>
      <w:rFonts w:ascii="Symbol" w:hAnsi="Symbol" w:cs="Symbol"/>
    </w:rPr>
  </w:style>
  <w:style w:type="character" w:styleId="WW8Num423z0">
    <w:name w:val="WW8Num423z0"/>
    <w:qFormat/>
    <w:rPr>
      <w:rFonts w:ascii="Symbol" w:hAnsi="Symbol" w:cs="Symbol"/>
    </w:rPr>
  </w:style>
  <w:style w:type="character" w:styleId="WW8Num424z0">
    <w:name w:val="WW8Num424z0"/>
    <w:qFormat/>
    <w:rPr>
      <w:rFonts w:ascii="Symbol" w:hAnsi="Symbol" w:cs="Symbol"/>
    </w:rPr>
  </w:style>
  <w:style w:type="character" w:styleId="WW8Num425z0">
    <w:name w:val="WW8Num425z0"/>
    <w:qFormat/>
    <w:rPr>
      <w:rFonts w:ascii="Symbol" w:hAnsi="Symbol" w:cs="Symbol"/>
    </w:rPr>
  </w:style>
  <w:style w:type="character" w:styleId="WW8Num427z0">
    <w:name w:val="WW8Num427z0"/>
    <w:qFormat/>
    <w:rPr>
      <w:rFonts w:ascii="Symbol" w:hAnsi="Symbol" w:cs="Symbol"/>
    </w:rPr>
  </w:style>
  <w:style w:type="character" w:styleId="WW8Num429z0">
    <w:name w:val="WW8Num429z0"/>
    <w:qFormat/>
    <w:rPr>
      <w:rFonts w:ascii="Symbol" w:hAnsi="Symbol" w:cs="Symbol"/>
    </w:rPr>
  </w:style>
  <w:style w:type="character" w:styleId="WW8Num430z0">
    <w:name w:val="WW8Num430z0"/>
    <w:qFormat/>
    <w:rPr>
      <w:rFonts w:ascii="Symbol" w:hAnsi="Symbol" w:cs="Symbol"/>
    </w:rPr>
  </w:style>
  <w:style w:type="character" w:styleId="WW8Num431z0">
    <w:name w:val="WW8Num431z0"/>
    <w:qFormat/>
    <w:rPr>
      <w:rFonts w:ascii="Symbol" w:hAnsi="Symbol" w:cs="Symbol"/>
    </w:rPr>
  </w:style>
  <w:style w:type="character" w:styleId="WW8Num432z0">
    <w:name w:val="WW8Num432z0"/>
    <w:qFormat/>
    <w:rPr>
      <w:rFonts w:ascii="Symbol" w:hAnsi="Symbol" w:cs="Symbol"/>
    </w:rPr>
  </w:style>
  <w:style w:type="character" w:styleId="WW8Num433z0">
    <w:name w:val="WW8Num433z0"/>
    <w:qFormat/>
    <w:rPr>
      <w:rFonts w:ascii="Symbol" w:hAnsi="Symbol" w:cs="Symbol"/>
    </w:rPr>
  </w:style>
  <w:style w:type="character" w:styleId="WW8Num434z0">
    <w:name w:val="WW8Num434z0"/>
    <w:qFormat/>
    <w:rPr>
      <w:rFonts w:ascii="Symbol" w:hAnsi="Symbol" w:cs="Symbol"/>
    </w:rPr>
  </w:style>
  <w:style w:type="character" w:styleId="WW8Num435z0">
    <w:name w:val="WW8Num435z0"/>
    <w:qFormat/>
    <w:rPr>
      <w:rFonts w:ascii="Symbol" w:hAnsi="Symbol" w:cs="Symbol"/>
    </w:rPr>
  </w:style>
  <w:style w:type="character" w:styleId="WW8Num436z0">
    <w:name w:val="WW8Num436z0"/>
    <w:qFormat/>
    <w:rPr>
      <w:rFonts w:ascii="Symbol" w:hAnsi="Symbol" w:cs="Symbol"/>
    </w:rPr>
  </w:style>
  <w:style w:type="character" w:styleId="WW8Num437z0">
    <w:name w:val="WW8Num437z0"/>
    <w:qFormat/>
    <w:rPr>
      <w:rFonts w:ascii="Symbol" w:hAnsi="Symbol" w:cs="Symbol"/>
    </w:rPr>
  </w:style>
  <w:style w:type="character" w:styleId="WW8Num438z0">
    <w:name w:val="WW8Num438z0"/>
    <w:qFormat/>
    <w:rPr>
      <w:rFonts w:ascii="Symbol" w:hAnsi="Symbol" w:cs="Symbol"/>
    </w:rPr>
  </w:style>
  <w:style w:type="character" w:styleId="WW8Num439z0">
    <w:name w:val="WW8Num439z0"/>
    <w:qFormat/>
    <w:rPr>
      <w:rFonts w:ascii="Symbol" w:hAnsi="Symbol" w:cs="Symbol"/>
    </w:rPr>
  </w:style>
  <w:style w:type="character" w:styleId="WW8Num440z0">
    <w:name w:val="WW8Num440z0"/>
    <w:qFormat/>
    <w:rPr>
      <w:rFonts w:ascii="Symbol" w:hAnsi="Symbol" w:cs="Symbol"/>
    </w:rPr>
  </w:style>
  <w:style w:type="character" w:styleId="WW8Num441z0">
    <w:name w:val="WW8Num441z0"/>
    <w:qFormat/>
    <w:rPr>
      <w:rFonts w:ascii="Symbol" w:hAnsi="Symbol" w:cs="Symbol"/>
    </w:rPr>
  </w:style>
  <w:style w:type="character" w:styleId="WW8Num442z0">
    <w:name w:val="WW8Num442z0"/>
    <w:qFormat/>
    <w:rPr>
      <w:rFonts w:ascii="Symbol" w:hAnsi="Symbol" w:cs="Symbol"/>
    </w:rPr>
  </w:style>
  <w:style w:type="character" w:styleId="WW8Num443z0">
    <w:name w:val="WW8Num443z0"/>
    <w:qFormat/>
    <w:rPr>
      <w:rFonts w:ascii="Symbol" w:hAnsi="Symbol" w:cs="Symbol"/>
    </w:rPr>
  </w:style>
  <w:style w:type="character" w:styleId="WW8Num444z0">
    <w:name w:val="WW8Num444z0"/>
    <w:qFormat/>
    <w:rPr>
      <w:rFonts w:ascii="Symbol" w:hAnsi="Symbol" w:cs="Symbol"/>
    </w:rPr>
  </w:style>
  <w:style w:type="character" w:styleId="WW8Num445z0">
    <w:name w:val="WW8Num445z0"/>
    <w:qFormat/>
    <w:rPr>
      <w:rFonts w:ascii="Symbol" w:hAnsi="Symbol" w:cs="Symbol"/>
    </w:rPr>
  </w:style>
  <w:style w:type="character" w:styleId="WW8Num446z0">
    <w:name w:val="WW8Num446z0"/>
    <w:qFormat/>
    <w:rPr>
      <w:u w:val="none"/>
    </w:rPr>
  </w:style>
  <w:style w:type="character" w:styleId="WW8Num447z0">
    <w:name w:val="WW8Num447z0"/>
    <w:qFormat/>
    <w:rPr>
      <w:rFonts w:ascii="Symbol" w:hAnsi="Symbol" w:cs="Symbol"/>
    </w:rPr>
  </w:style>
  <w:style w:type="character" w:styleId="WW8Num448z0">
    <w:name w:val="WW8Num448z0"/>
    <w:qFormat/>
    <w:rPr>
      <w:rFonts w:ascii="Symbol" w:hAnsi="Symbol" w:cs="Symbol"/>
    </w:rPr>
  </w:style>
  <w:style w:type="character" w:styleId="WW8Num449z0">
    <w:name w:val="WW8Num449z0"/>
    <w:qFormat/>
    <w:rPr>
      <w:rFonts w:ascii="Symbol" w:hAnsi="Symbol" w:cs="Symbol"/>
    </w:rPr>
  </w:style>
  <w:style w:type="character" w:styleId="WW8Num450z0">
    <w:name w:val="WW8Num450z0"/>
    <w:qFormat/>
    <w:rPr>
      <w:rFonts w:ascii="Symbol" w:hAnsi="Symbol" w:cs="Symbol"/>
    </w:rPr>
  </w:style>
  <w:style w:type="character" w:styleId="WW8Num451z0">
    <w:name w:val="WW8Num451z0"/>
    <w:qFormat/>
    <w:rPr>
      <w:rFonts w:ascii="Symbol" w:hAnsi="Symbol" w:cs="Symbol"/>
    </w:rPr>
  </w:style>
  <w:style w:type="character" w:styleId="WW8Num452z0">
    <w:name w:val="WW8Num452z0"/>
    <w:qFormat/>
    <w:rPr>
      <w:rFonts w:ascii="Symbol" w:hAnsi="Symbol" w:cs="Symbol"/>
    </w:rPr>
  </w:style>
  <w:style w:type="character" w:styleId="WW8Num453z0">
    <w:name w:val="WW8Num453z0"/>
    <w:qFormat/>
    <w:rPr>
      <w:rFonts w:ascii="Symbol" w:hAnsi="Symbol" w:cs="Symbol"/>
    </w:rPr>
  </w:style>
  <w:style w:type="character" w:styleId="WW8Num454z0">
    <w:name w:val="WW8Num454z0"/>
    <w:qFormat/>
    <w:rPr>
      <w:rFonts w:ascii="Symbol" w:hAnsi="Symbol" w:cs="Symbol"/>
    </w:rPr>
  </w:style>
  <w:style w:type="character" w:styleId="WW8Num455z0">
    <w:name w:val="WW8Num455z0"/>
    <w:qFormat/>
    <w:rPr>
      <w:rFonts w:ascii="Symbol" w:hAnsi="Symbol" w:cs="Symbol"/>
    </w:rPr>
  </w:style>
  <w:style w:type="character" w:styleId="WW8Num456z0">
    <w:name w:val="WW8Num456z0"/>
    <w:qFormat/>
    <w:rPr>
      <w:rFonts w:ascii="Symbol" w:hAnsi="Symbol" w:cs="Symbol"/>
    </w:rPr>
  </w:style>
  <w:style w:type="character" w:styleId="WW8Num457z0">
    <w:name w:val="WW8Num457z0"/>
    <w:qFormat/>
    <w:rPr>
      <w:rFonts w:ascii="Symbol" w:hAnsi="Symbol" w:cs="Symbol"/>
    </w:rPr>
  </w:style>
  <w:style w:type="character" w:styleId="WW8Num458z0">
    <w:name w:val="WW8Num458z0"/>
    <w:qFormat/>
    <w:rPr/>
  </w:style>
  <w:style w:type="character" w:styleId="WW8Num459z0">
    <w:name w:val="WW8Num459z0"/>
    <w:qFormat/>
    <w:rPr>
      <w:u w:val="none"/>
    </w:rPr>
  </w:style>
  <w:style w:type="character" w:styleId="WW8Num460z0">
    <w:name w:val="WW8Num460z0"/>
    <w:qFormat/>
    <w:rPr>
      <w:rFonts w:ascii="Symbol" w:hAnsi="Symbol" w:cs="Symbol"/>
    </w:rPr>
  </w:style>
  <w:style w:type="character" w:styleId="WW8Num461z0">
    <w:name w:val="WW8Num461z0"/>
    <w:qFormat/>
    <w:rPr>
      <w:rFonts w:ascii="Symbol" w:hAnsi="Symbol" w:cs="Symbol"/>
    </w:rPr>
  </w:style>
  <w:style w:type="character" w:styleId="WW8Num462z0">
    <w:name w:val="WW8Num462z0"/>
    <w:qFormat/>
    <w:rPr>
      <w:rFonts w:ascii="Symbol" w:hAnsi="Symbol" w:cs="Symbol"/>
    </w:rPr>
  </w:style>
  <w:style w:type="character" w:styleId="WW8Num463z0">
    <w:name w:val="WW8Num463z0"/>
    <w:qFormat/>
    <w:rPr>
      <w:rFonts w:ascii="Symbol" w:hAnsi="Symbol" w:cs="Symbol"/>
      <w:sz w:val="24"/>
    </w:rPr>
  </w:style>
  <w:style w:type="character" w:styleId="WW8Num464z0">
    <w:name w:val="WW8Num464z0"/>
    <w:qFormat/>
    <w:rPr>
      <w:rFonts w:ascii="Symbol" w:hAnsi="Symbol" w:cs="Symbol"/>
    </w:rPr>
  </w:style>
  <w:style w:type="character" w:styleId="WW8Num465z0">
    <w:name w:val="WW8Num465z0"/>
    <w:qFormat/>
    <w:rPr/>
  </w:style>
  <w:style w:type="character" w:styleId="WW8Num466z0">
    <w:name w:val="WW8Num466z0"/>
    <w:qFormat/>
    <w:rPr>
      <w:rFonts w:ascii="Symbol" w:hAnsi="Symbol" w:cs="Symbol"/>
    </w:rPr>
  </w:style>
  <w:style w:type="character" w:styleId="WW8Num468z0">
    <w:name w:val="WW8Num468z0"/>
    <w:qFormat/>
    <w:rPr>
      <w:rFonts w:ascii="Symbol" w:hAnsi="Symbol" w:cs="Symbol"/>
    </w:rPr>
  </w:style>
  <w:style w:type="character" w:styleId="WW8Num469z0">
    <w:name w:val="WW8Num469z0"/>
    <w:qFormat/>
    <w:rPr>
      <w:rFonts w:ascii="Symbol" w:hAnsi="Symbol" w:cs="Symbol"/>
    </w:rPr>
  </w:style>
  <w:style w:type="character" w:styleId="WW8Num470z0">
    <w:name w:val="WW8Num470z0"/>
    <w:qFormat/>
    <w:rPr>
      <w:rFonts w:ascii="Symbol" w:hAnsi="Symbol" w:cs="Symbol"/>
    </w:rPr>
  </w:style>
  <w:style w:type="character" w:styleId="WW8Num471z0">
    <w:name w:val="WW8Num471z0"/>
    <w:qFormat/>
    <w:rPr/>
  </w:style>
  <w:style w:type="character" w:styleId="WW8Num472z0">
    <w:name w:val="WW8Num472z0"/>
    <w:qFormat/>
    <w:rPr>
      <w:rFonts w:ascii="Symbol" w:hAnsi="Symbol" w:cs="Symbol"/>
    </w:rPr>
  </w:style>
  <w:style w:type="character" w:styleId="WW8Num473z0">
    <w:name w:val="WW8Num473z0"/>
    <w:qFormat/>
    <w:rPr>
      <w:rFonts w:ascii="Symbol" w:hAnsi="Symbol" w:cs="Symbol"/>
    </w:rPr>
  </w:style>
  <w:style w:type="character" w:styleId="WW8Num474z0">
    <w:name w:val="WW8Num474z0"/>
    <w:qFormat/>
    <w:rPr>
      <w:rFonts w:ascii="Symbol" w:hAnsi="Symbol" w:cs="Symbol"/>
    </w:rPr>
  </w:style>
  <w:style w:type="character" w:styleId="WW8Num475z0">
    <w:name w:val="WW8Num475z0"/>
    <w:qFormat/>
    <w:rPr>
      <w:rFonts w:ascii="Symbol" w:hAnsi="Symbol" w:cs="Symbol"/>
    </w:rPr>
  </w:style>
  <w:style w:type="character" w:styleId="WW8Num476z0">
    <w:name w:val="WW8Num476z0"/>
    <w:qFormat/>
    <w:rPr>
      <w:rFonts w:ascii="Symbol" w:hAnsi="Symbol" w:cs="Symbol"/>
    </w:rPr>
  </w:style>
  <w:style w:type="character" w:styleId="WW8Num477z0">
    <w:name w:val="WW8Num477z0"/>
    <w:qFormat/>
    <w:rPr>
      <w:rFonts w:ascii="Symbol" w:hAnsi="Symbol" w:cs="Symbol"/>
    </w:rPr>
  </w:style>
  <w:style w:type="character" w:styleId="WW8Num478z0">
    <w:name w:val="WW8Num478z0"/>
    <w:qFormat/>
    <w:rPr>
      <w:rFonts w:ascii="Symbol" w:hAnsi="Symbol" w:cs="Symbol"/>
    </w:rPr>
  </w:style>
  <w:style w:type="character" w:styleId="WW8Num479z0">
    <w:name w:val="WW8Num479z0"/>
    <w:qFormat/>
    <w:rPr>
      <w:b/>
      <w:i w:val="false"/>
    </w:rPr>
  </w:style>
  <w:style w:type="character" w:styleId="WW8Num480z0">
    <w:name w:val="WW8Num480z0"/>
    <w:qFormat/>
    <w:rPr>
      <w:rFonts w:ascii="Symbol" w:hAnsi="Symbol" w:cs="Symbol"/>
    </w:rPr>
  </w:style>
  <w:style w:type="character" w:styleId="WW8Num481z0">
    <w:name w:val="WW8Num481z0"/>
    <w:qFormat/>
    <w:rPr>
      <w:rFonts w:ascii="Symbol" w:hAnsi="Symbol" w:cs="Symbol"/>
      <w:color w:val="auto"/>
      <w:sz w:val="16"/>
    </w:rPr>
  </w:style>
  <w:style w:type="character" w:styleId="WW8Num482z0">
    <w:name w:val="WW8Num482z0"/>
    <w:qFormat/>
    <w:rPr>
      <w:b/>
      <w:i w:val="false"/>
      <w:u w:val="none"/>
    </w:rPr>
  </w:style>
  <w:style w:type="character" w:styleId="WW8Num483z0">
    <w:name w:val="WW8Num483z0"/>
    <w:qFormat/>
    <w:rPr>
      <w:rFonts w:ascii="Symbol" w:hAnsi="Symbol" w:cs="Symbol"/>
    </w:rPr>
  </w:style>
  <w:style w:type="character" w:styleId="WW8Num484z0">
    <w:name w:val="WW8Num484z0"/>
    <w:qFormat/>
    <w:rPr>
      <w:rFonts w:ascii="Symbol" w:hAnsi="Symbol" w:cs="Symbol"/>
    </w:rPr>
  </w:style>
  <w:style w:type="character" w:styleId="WW8Num485z0">
    <w:name w:val="WW8Num485z0"/>
    <w:qFormat/>
    <w:rPr>
      <w:rFonts w:ascii="Symbol" w:hAnsi="Symbol" w:cs="Symbol"/>
    </w:rPr>
  </w:style>
  <w:style w:type="character" w:styleId="WW8Num486z0">
    <w:name w:val="WW8Num486z0"/>
    <w:qFormat/>
    <w:rPr>
      <w:rFonts w:ascii="Symbol" w:hAnsi="Symbol" w:cs="Symbol"/>
    </w:rPr>
  </w:style>
  <w:style w:type="character" w:styleId="WW8Num487z0">
    <w:name w:val="WW8Num487z0"/>
    <w:qFormat/>
    <w:rPr>
      <w:rFonts w:ascii="Symbol" w:hAnsi="Symbol" w:cs="Symbol"/>
    </w:rPr>
  </w:style>
  <w:style w:type="character" w:styleId="WW8Num488z0">
    <w:name w:val="WW8Num488z0"/>
    <w:qFormat/>
    <w:rPr>
      <w:rFonts w:ascii="Symbol" w:hAnsi="Symbol" w:cs="Symbol"/>
    </w:rPr>
  </w:style>
  <w:style w:type="character" w:styleId="WW8Num489z0">
    <w:name w:val="WW8Num489z0"/>
    <w:qFormat/>
    <w:rPr/>
  </w:style>
  <w:style w:type="character" w:styleId="WW8Num490z0">
    <w:name w:val="WW8Num490z0"/>
    <w:qFormat/>
    <w:rPr/>
  </w:style>
  <w:style w:type="character" w:styleId="WW8Num491z0">
    <w:name w:val="WW8Num491z0"/>
    <w:qFormat/>
    <w:rPr>
      <w:rFonts w:ascii="Symbol" w:hAnsi="Symbol" w:cs="Symbol"/>
    </w:rPr>
  </w:style>
  <w:style w:type="character" w:styleId="WW8Num492z0">
    <w:name w:val="WW8Num492z0"/>
    <w:qFormat/>
    <w:rPr>
      <w:rFonts w:ascii="Symbol" w:hAnsi="Symbol" w:cs="Symbol"/>
    </w:rPr>
  </w:style>
  <w:style w:type="character" w:styleId="WW8Num493z0">
    <w:name w:val="WW8Num493z0"/>
    <w:qFormat/>
    <w:rPr>
      <w:rFonts w:ascii="Symbol" w:hAnsi="Symbol" w:cs="Symbol"/>
    </w:rPr>
  </w:style>
  <w:style w:type="character" w:styleId="WW8Num494z0">
    <w:name w:val="WW8Num494z0"/>
    <w:qFormat/>
    <w:rPr>
      <w:rFonts w:ascii="Symbol" w:hAnsi="Symbol" w:cs="Symbol"/>
    </w:rPr>
  </w:style>
  <w:style w:type="character" w:styleId="WW8Num495z0">
    <w:name w:val="WW8Num495z0"/>
    <w:qFormat/>
    <w:rPr>
      <w:rFonts w:ascii="Symbol" w:hAnsi="Symbol" w:cs="Symbol"/>
    </w:rPr>
  </w:style>
  <w:style w:type="character" w:styleId="WW8Num496z0">
    <w:name w:val="WW8Num496z0"/>
    <w:qFormat/>
    <w:rPr>
      <w:rFonts w:ascii="Symbol" w:hAnsi="Symbol" w:cs="Symbol"/>
    </w:rPr>
  </w:style>
  <w:style w:type="character" w:styleId="WW8Num497z0">
    <w:name w:val="WW8Num497z0"/>
    <w:qFormat/>
    <w:rPr>
      <w:rFonts w:ascii="Symbol" w:hAnsi="Symbol" w:cs="Symbol"/>
    </w:rPr>
  </w:style>
  <w:style w:type="character" w:styleId="WW8Num498z0">
    <w:name w:val="WW8Num498z0"/>
    <w:qFormat/>
    <w:rPr>
      <w:rFonts w:ascii="Symbol" w:hAnsi="Symbol" w:cs="Symbol"/>
    </w:rPr>
  </w:style>
  <w:style w:type="character" w:styleId="WW8Num499z0">
    <w:name w:val="WW8Num499z0"/>
    <w:qFormat/>
    <w:rPr>
      <w:u w:val="none"/>
    </w:rPr>
  </w:style>
  <w:style w:type="character" w:styleId="WW8Num500z0">
    <w:name w:val="WW8Num500z0"/>
    <w:qFormat/>
    <w:rPr>
      <w:rFonts w:ascii="Symbol" w:hAnsi="Symbol" w:cs="Symbol"/>
    </w:rPr>
  </w:style>
  <w:style w:type="character" w:styleId="WW8Num501z0">
    <w:name w:val="WW8Num501z0"/>
    <w:qFormat/>
    <w:rPr>
      <w:rFonts w:ascii="Symbol" w:hAnsi="Symbol" w:cs="Symbol"/>
    </w:rPr>
  </w:style>
  <w:style w:type="character" w:styleId="WW8Num502z0">
    <w:name w:val="WW8Num502z0"/>
    <w:qFormat/>
    <w:rPr/>
  </w:style>
  <w:style w:type="character" w:styleId="WW8Num503z0">
    <w:name w:val="WW8Num503z0"/>
    <w:qFormat/>
    <w:rPr>
      <w:rFonts w:ascii="Symbol" w:hAnsi="Symbol" w:cs="Symbol"/>
    </w:rPr>
  </w:style>
  <w:style w:type="character" w:styleId="WW8Num504z0">
    <w:name w:val="WW8Num504z0"/>
    <w:qFormat/>
    <w:rPr>
      <w:rFonts w:ascii="Symbol" w:hAnsi="Symbol" w:cs="Symbol"/>
    </w:rPr>
  </w:style>
  <w:style w:type="character" w:styleId="WW8Num505z0">
    <w:name w:val="WW8Num505z0"/>
    <w:qFormat/>
    <w:rPr>
      <w:rFonts w:ascii="Symbol" w:hAnsi="Symbol" w:cs="Symbol"/>
    </w:rPr>
  </w:style>
  <w:style w:type="character" w:styleId="WW8Num506z0">
    <w:name w:val="WW8Num506z0"/>
    <w:qFormat/>
    <w:rPr>
      <w:rFonts w:ascii="Symbol" w:hAnsi="Symbol" w:cs="Symbol"/>
    </w:rPr>
  </w:style>
  <w:style w:type="character" w:styleId="WW8Num507z0">
    <w:name w:val="WW8Num507z0"/>
    <w:qFormat/>
    <w:rPr>
      <w:rFonts w:ascii="Symbol" w:hAnsi="Symbol" w:cs="Symbol"/>
    </w:rPr>
  </w:style>
  <w:style w:type="character" w:styleId="WW8Num508z0">
    <w:name w:val="WW8Num508z0"/>
    <w:qFormat/>
    <w:rPr>
      <w:rFonts w:ascii="Symbol" w:hAnsi="Symbol" w:cs="Symbol"/>
    </w:rPr>
  </w:style>
  <w:style w:type="character" w:styleId="WW8Num509z0">
    <w:name w:val="WW8Num509z0"/>
    <w:qFormat/>
    <w:rPr>
      <w:rFonts w:ascii="Symbol" w:hAnsi="Symbol" w:cs="Symbol"/>
    </w:rPr>
  </w:style>
  <w:style w:type="character" w:styleId="WW8Num510z0">
    <w:name w:val="WW8Num510z0"/>
    <w:qFormat/>
    <w:rPr>
      <w:rFonts w:ascii="Symbol" w:hAnsi="Symbol" w:cs="Symbol"/>
    </w:rPr>
  </w:style>
  <w:style w:type="character" w:styleId="WW8Num511z0">
    <w:name w:val="WW8Num511z0"/>
    <w:qFormat/>
    <w:rPr>
      <w:rFonts w:ascii="Symbol" w:hAnsi="Symbol" w:cs="Symbol"/>
    </w:rPr>
  </w:style>
  <w:style w:type="character" w:styleId="WW8Num512z0">
    <w:name w:val="WW8Num512z0"/>
    <w:qFormat/>
    <w:rPr>
      <w:rFonts w:ascii="Symbol" w:hAnsi="Symbol" w:cs="Symbol"/>
    </w:rPr>
  </w:style>
  <w:style w:type="character" w:styleId="WW8Num513z0">
    <w:name w:val="WW8Num513z0"/>
    <w:qFormat/>
    <w:rPr>
      <w:rFonts w:ascii="Symbol" w:hAnsi="Symbol" w:cs="Symbol"/>
    </w:rPr>
  </w:style>
  <w:style w:type="character" w:styleId="WW8Num514z0">
    <w:name w:val="WW8Num514z0"/>
    <w:qFormat/>
    <w:rPr/>
  </w:style>
  <w:style w:type="character" w:styleId="WW8Num515z0">
    <w:name w:val="WW8Num515z0"/>
    <w:qFormat/>
    <w:rPr>
      <w:rFonts w:ascii="Symbol" w:hAnsi="Symbol" w:cs="Symbol"/>
    </w:rPr>
  </w:style>
  <w:style w:type="character" w:styleId="WW8NumSt16z0">
    <w:name w:val="WW8NumSt16z0"/>
    <w:qFormat/>
    <w:rPr>
      <w:rFonts w:ascii="Symbol" w:hAnsi="Symbol" w:cs="Symbol"/>
    </w:rPr>
  </w:style>
  <w:style w:type="character" w:styleId="WW8NumSt111z0">
    <w:name w:val="WW8NumSt11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jc w:val="center"/>
    </w:pPr>
    <w:rPr>
      <w:rFonts w:ascii="CG Times" w:hAnsi="CG Times" w:cs="CG Times"/>
      <w:b/>
      <w:sz w:val="24"/>
    </w:rPr>
  </w:style>
  <w:style w:type="paragraph" w:styleId="BodyText">
    <w:name w:val="Body Text"/>
    <w:basedOn w:val="Normal"/>
    <w:pPr>
      <w:jc w:val="both"/>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spacing w:before="60" w:after="60"/>
      <w:ind w:hanging="360" w:start="360" w:end="0"/>
    </w:pPr>
    <w:rPr/>
  </w:style>
  <w:style w:type="paragraph" w:styleId="BodyTextIndent">
    <w:name w:val="Body Text Indent"/>
    <w:basedOn w:val="Normal"/>
    <w:pPr>
      <w:jc w:val="both"/>
    </w:pPr>
    <w:rPr>
      <w:rFonts w:ascii="Arial" w:hAnsi="Arial" w:cs="Arial"/>
      <w:b/>
      <w:sz w:val="24"/>
    </w:rPr>
  </w:style>
  <w:style w:type="paragraph" w:styleId="BodyTextIndent2">
    <w:name w:val="Body Text Indent 2"/>
    <w:basedOn w:val="Normal"/>
    <w:qFormat/>
    <w:pPr>
      <w:ind w:hanging="1440" w:start="1440" w:end="0"/>
      <w:jc w:val="both"/>
    </w:pPr>
    <w:rPr>
      <w:rFonts w:ascii="Arial" w:hAnsi="Arial" w:cs="Arial"/>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keepNext w:val="true"/>
      <w:keepLines/>
      <w:tabs>
        <w:tab w:val="clear" w:pos="720"/>
        <w:tab w:val="left" w:pos="1080" w:leader="none"/>
        <w:tab w:val="left" w:pos="7920" w:leader="none"/>
        <w:tab w:val="left" w:pos="8370" w:leader="none"/>
      </w:tabs>
      <w:jc w:val="both"/>
    </w:pPr>
    <w:rPr>
      <w:rFonts w:ascii="Arial" w:hAnsi="Arial" w:cs="Arial"/>
      <w:b/>
      <w:sz w:val="24"/>
    </w:rPr>
  </w:style>
  <w:style w:type="paragraph" w:styleId="BodyText3">
    <w:name w:val="Body Text 3"/>
    <w:basedOn w:val="Normal"/>
    <w:qFormat/>
    <w:pPr>
      <w:tabs>
        <w:tab w:val="clear" w:pos="720"/>
        <w:tab w:val="left" w:pos="1440" w:leader="none"/>
        <w:tab w:val="left" w:pos="8370" w:leader="none"/>
      </w:tabs>
    </w:pPr>
    <w:rPr>
      <w:rFonts w:ascii="Arial" w:hAnsi="Arial" w:cs="Arial"/>
      <w:sz w:val="24"/>
    </w:rPr>
  </w:style>
  <w:style w:type="paragraph" w:styleId="BodyTextIndent3">
    <w:name w:val="Body Text Indent 3"/>
    <w:basedOn w:val="Normal"/>
    <w:qFormat/>
    <w:pPr>
      <w:keepNext w:val="true"/>
      <w:keepLines/>
      <w:ind w:firstLine="720" w:start="0" w:end="0"/>
      <w:jc w:val="both"/>
    </w:pPr>
    <w:rPr>
      <w:rFonts w:ascii="Arial" w:hAnsi="Arial" w:cs="Arial"/>
      <w:b/>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2001-04-17T17:23:00Z</dcterms:created>
  <dc:creator>llee</dc:creator>
  <dc:description/>
  <dc:language>en-CA</dc:language>
  <cp:lastModifiedBy>jcooley</cp:lastModifiedBy>
  <cp:lastPrinted>2001-04-16T11:39:00Z</cp:lastPrinted>
  <dcterms:modified xsi:type="dcterms:W3CDTF">2001-04-17T17:57:00Z</dcterms:modified>
  <cp:revision>4</cp:revision>
  <dc:subject/>
  <dc:title> </dc:title>
</cp:coreProperties>
</file>