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998"/>
        <w:gridCol w:w="3600"/>
        <w:gridCol w:w="3960"/>
      </w:tblGrid>
      <w:tr>
        <w:trPr>
          <w:trHeight w:val="720" w:hRule="atLeast"/>
        </w:trPr>
        <w:tc>
          <w:tcPr>
            <w:tcW w:w="1998" w:type="dxa"/>
            <w:tcBorders/>
          </w:tcPr>
          <w:p>
            <w:pPr>
              <w:pStyle w:val="Header"/>
              <w:widowControl w:val="false"/>
              <w:tabs>
                <w:tab w:val="clear" w:pos="4320"/>
                <w:tab w:val="right" w:pos="8640" w:leader="none"/>
              </w:tabs>
              <w:rPr>
                <w:sz w:val="20"/>
              </w:rPr>
            </w:pPr>
            <w:r>
              <w:rPr>
                <w:sz w:val="20"/>
              </w:rPr>
              <w:drawing>
                <wp:inline distT="0" distB="0" distL="0" distR="0">
                  <wp:extent cx="819150" cy="8191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19150" cy="819150"/>
                          </a:xfrm>
                          <a:prstGeom prst="rect">
                            <a:avLst/>
                          </a:prstGeom>
                          <a:noFill/>
                        </pic:spPr>
                      </pic:pic>
                    </a:graphicData>
                  </a:graphic>
                </wp:inline>
              </w:drawing>
            </w:r>
          </w:p>
        </w:tc>
        <w:tc>
          <w:tcPr>
            <w:tcW w:w="3600" w:type="dxa"/>
            <w:tcBorders/>
          </w:tcPr>
          <w:p>
            <w:pPr>
              <w:pStyle w:val="Normal"/>
              <w:widowControl w:val="false"/>
              <w:tabs>
                <w:tab w:val="clear" w:pos="720"/>
                <w:tab w:val="right" w:pos="8640" w:leader="none"/>
              </w:tabs>
              <w:snapToGrid w:val="false"/>
              <w:jc w:val="center"/>
              <w:rPr>
                <w:sz w:val="20"/>
              </w:rPr>
            </w:pPr>
            <w:r>
              <w:rPr>
                <w:sz w:val="20"/>
              </w:rPr>
            </w:r>
          </w:p>
        </w:tc>
        <w:tc>
          <w:tcPr>
            <w:tcW w:w="3960" w:type="dxa"/>
            <w:tcBorders/>
          </w:tcPr>
          <w:p>
            <w:pPr>
              <w:pStyle w:val="Normal"/>
              <w:widowControl w:val="false"/>
              <w:tabs>
                <w:tab w:val="clear" w:pos="720"/>
                <w:tab w:val="right" w:pos="8640" w:leader="none"/>
              </w:tabs>
              <w:snapToGrid w:val="false"/>
              <w:jc w:val="center"/>
              <w:rPr>
                <w:b/>
                <w:sz w:val="16"/>
              </w:rPr>
            </w:pPr>
            <w:r>
              <w:rPr>
                <w:b/>
                <w:sz w:val="16"/>
              </w:rPr>
            </w:r>
          </w:p>
          <w:p>
            <w:pPr>
              <w:pStyle w:val="Normal"/>
              <w:widowControl w:val="false"/>
              <w:tabs>
                <w:tab w:val="clear" w:pos="720"/>
                <w:tab w:val="right" w:pos="8640" w:leader="none"/>
              </w:tabs>
              <w:jc w:val="center"/>
              <w:rPr>
                <w:b/>
                <w:sz w:val="16"/>
              </w:rPr>
            </w:pPr>
            <w:r>
              <w:rPr>
                <w:b/>
                <w:sz w:val="16"/>
              </w:rPr>
            </w:r>
          </w:p>
          <w:p>
            <w:pPr>
              <w:pStyle w:val="Heading3"/>
              <w:ind w:hanging="0" w:start="0"/>
              <w:rPr>
                <w:sz w:val="16"/>
              </w:rPr>
            </w:pPr>
            <w:r>
              <w:rPr>
                <w:sz w:val="16"/>
              </w:rPr>
              <w:t>INTEROFFICE</w:t>
            </w:r>
          </w:p>
          <w:p>
            <w:pPr>
              <w:pStyle w:val="Normal"/>
              <w:widowControl w:val="false"/>
              <w:tabs>
                <w:tab w:val="clear" w:pos="720"/>
                <w:tab w:val="right" w:pos="8640" w:leader="none"/>
              </w:tabs>
              <w:jc w:val="center"/>
              <w:rPr>
                <w:b/>
                <w:sz w:val="16"/>
              </w:rPr>
            </w:pPr>
            <w:r>
              <w:rPr>
                <w:b/>
                <w:sz w:val="16"/>
              </w:rPr>
              <w:t>MEMORANDUM</w:t>
            </w:r>
          </w:p>
          <w:p>
            <w:pPr>
              <w:pStyle w:val="Normal"/>
              <w:widowControl w:val="false"/>
              <w:tabs>
                <w:tab w:val="clear" w:pos="720"/>
                <w:tab w:val="right" w:pos="8640" w:leader="none"/>
              </w:tabs>
              <w:jc w:val="center"/>
              <w:rPr>
                <w:b/>
                <w:sz w:val="16"/>
              </w:rPr>
            </w:pPr>
            <w:r>
              <w:rPr>
                <w:b/>
                <w:sz w:val="16"/>
              </w:rPr>
            </w:r>
          </w:p>
        </w:tc>
      </w:tr>
    </w:tbl>
    <w:p>
      <w:pPr>
        <w:pStyle w:val="Normal"/>
        <w:widowControl w:val="false"/>
        <w:tabs>
          <w:tab w:val="clear" w:pos="720"/>
          <w:tab w:val="right" w:pos="8640" w:leader="none"/>
        </w:tabs>
        <w:rPr>
          <w:sz w:val="16"/>
        </w:rPr>
      </w:pPr>
      <w:r>
        <w:rPr>
          <w:sz w:val="16"/>
        </w:rPr>
      </w:r>
    </w:p>
    <w:p>
      <w:pPr>
        <w:pStyle w:val="Normal"/>
        <w:widowControl w:val="false"/>
        <w:tabs>
          <w:tab w:val="clear" w:pos="720"/>
          <w:tab w:val="right" w:pos="9360" w:leader="none"/>
        </w:tabs>
        <w:jc w:val="end"/>
        <w:rPr/>
      </w:pPr>
      <w:r>
        <w:rPr>
          <w:sz w:val="16"/>
        </w:rPr>
        <w:tab/>
      </w:r>
      <w:r>
        <w:rPr>
          <w:b/>
          <w:sz w:val="16"/>
        </w:rPr>
        <w:t>PRIVILEGED AND CONFIDENTIAL</w:t>
      </w:r>
    </w:p>
    <w:p>
      <w:pPr>
        <w:pStyle w:val="Heading2"/>
        <w:ind w:hanging="0" w:start="0"/>
        <w:rPr>
          <w:sz w:val="16"/>
        </w:rPr>
      </w:pPr>
      <w:r>
        <w:rPr>
          <w:sz w:val="16"/>
        </w:rPr>
        <w:tab/>
        <w:t>ATTORNEY CLIENT COMMUNICATION</w:t>
      </w:r>
    </w:p>
    <w:p>
      <w:pPr>
        <w:pStyle w:val="Heading1"/>
        <w:keepNext w:val="false"/>
        <w:widowControl w:val="false"/>
        <w:tabs>
          <w:tab w:val="clear" w:pos="720"/>
          <w:tab w:val="right" w:pos="9360" w:leader="none"/>
        </w:tabs>
        <w:spacing w:before="0" w:after="60"/>
        <w:ind w:hanging="0" w:start="0"/>
        <w:jc w:val="end"/>
        <w:rPr>
          <w:rFonts w:ascii="Times New Roman" w:hAnsi="Times New Roman" w:cs="Times New Roman"/>
          <w:sz w:val="16"/>
        </w:rPr>
      </w:pPr>
      <w:r>
        <w:rPr>
          <w:rFonts w:cs="Times New Roman" w:ascii="Times New Roman" w:hAnsi="Times New Roman"/>
          <w:sz w:val="16"/>
        </w:rPr>
        <w:tab/>
        <w:t>ATTORNEY WORK PRODUCT</w:t>
      </w:r>
    </w:p>
    <w:p>
      <w:pPr>
        <w:pStyle w:val="Normal"/>
        <w:rPr>
          <w:rFonts w:ascii="Times New Roman" w:hAnsi="Times New Roman" w:cs="Times New Roman"/>
          <w:sz w:val="20"/>
        </w:rPr>
      </w:pPr>
      <w:r>
        <w:rPr>
          <w:rFonts w:cs="Times New Roman"/>
          <w:sz w:val="20"/>
        </w:rPr>
      </w:r>
    </w:p>
    <w:tbl>
      <w:tblPr>
        <w:tblW w:w="9360" w:type="dxa"/>
        <w:jc w:val="start"/>
        <w:tblInd w:w="0" w:type="dxa"/>
        <w:tblLayout w:type="fixed"/>
        <w:tblCellMar>
          <w:top w:w="0" w:type="dxa"/>
          <w:start w:w="0" w:type="dxa"/>
          <w:bottom w:w="0" w:type="dxa"/>
          <w:end w:w="0" w:type="dxa"/>
        </w:tblCellMar>
      </w:tblPr>
      <w:tblGrid>
        <w:gridCol w:w="1440"/>
        <w:gridCol w:w="7920"/>
      </w:tblGrid>
      <w:tr>
        <w:trPr>
          <w:trHeight w:val="207" w:hRule="atLeast"/>
        </w:trPr>
        <w:tc>
          <w:tcPr>
            <w:tcW w:w="1440" w:type="dxa"/>
            <w:tcBorders/>
          </w:tcPr>
          <w:p>
            <w:pPr>
              <w:pStyle w:val="MemoHeading"/>
              <w:widowControl w:val="false"/>
              <w:spacing w:before="0" w:after="180"/>
              <w:rPr>
                <w:rFonts w:ascii="Times New Roman" w:hAnsi="Times New Roman" w:cs="Times New Roman"/>
              </w:rPr>
            </w:pPr>
            <w:r>
              <w:rPr>
                <w:rFonts w:cs="Times New Roman" w:ascii="Times New Roman" w:hAnsi="Times New Roman"/>
              </w:rPr>
              <w:t>TO:</w:t>
            </w:r>
          </w:p>
        </w:tc>
        <w:tc>
          <w:tcPr>
            <w:tcW w:w="7920" w:type="dxa"/>
            <w:tcBorders/>
          </w:tcPr>
          <w:p>
            <w:pPr>
              <w:pStyle w:val="Normal"/>
              <w:widowControl w:val="false"/>
              <w:spacing w:before="0" w:after="180"/>
              <w:ind w:end="216"/>
              <w:rPr>
                <w:sz w:val="20"/>
              </w:rPr>
            </w:pPr>
            <w:r>
              <w:rPr>
                <w:sz w:val="20"/>
              </w:rPr>
              <w:t>Dave Delainey, Janet Dietrich, Vicki Sharp</w:t>
            </w:r>
          </w:p>
        </w:tc>
      </w:tr>
      <w:tr>
        <w:trPr>
          <w:trHeight w:val="162" w:hRule="atLeast"/>
        </w:trPr>
        <w:tc>
          <w:tcPr>
            <w:tcW w:w="1440" w:type="dxa"/>
            <w:tcBorders/>
          </w:tcPr>
          <w:p>
            <w:pPr>
              <w:pStyle w:val="MemoHeading"/>
              <w:widowControl w:val="false"/>
              <w:spacing w:before="0" w:after="180"/>
              <w:rPr>
                <w:rFonts w:ascii="Times New Roman" w:hAnsi="Times New Roman" w:cs="Times New Roman"/>
              </w:rPr>
            </w:pPr>
            <w:r>
              <w:rPr>
                <w:rFonts w:cs="Times New Roman" w:ascii="Times New Roman" w:hAnsi="Times New Roman"/>
              </w:rPr>
              <w:t>FROM:</w:t>
            </w:r>
          </w:p>
        </w:tc>
        <w:tc>
          <w:tcPr>
            <w:tcW w:w="7920" w:type="dxa"/>
            <w:tcBorders/>
          </w:tcPr>
          <w:p>
            <w:pPr>
              <w:pStyle w:val="Normal"/>
              <w:widowControl w:val="false"/>
              <w:spacing w:before="0" w:after="180"/>
              <w:ind w:end="216"/>
              <w:rPr>
                <w:sz w:val="20"/>
              </w:rPr>
            </w:pPr>
            <w:r>
              <w:rPr>
                <w:sz w:val="20"/>
              </w:rPr>
              <w:t>Travis McCullough, Deborah Asmus, Michael Smith</w:t>
            </w:r>
          </w:p>
        </w:tc>
      </w:tr>
      <w:tr>
        <w:trPr>
          <w:trHeight w:val="279" w:hRule="atLeast"/>
        </w:trPr>
        <w:tc>
          <w:tcPr>
            <w:tcW w:w="1440" w:type="dxa"/>
            <w:tcBorders/>
          </w:tcPr>
          <w:p>
            <w:pPr>
              <w:pStyle w:val="MemoHeading"/>
              <w:widowControl w:val="false"/>
              <w:spacing w:before="0" w:after="180"/>
              <w:rPr>
                <w:rFonts w:ascii="Times New Roman" w:hAnsi="Times New Roman" w:cs="Times New Roman"/>
              </w:rPr>
            </w:pPr>
            <w:r>
              <w:rPr>
                <w:rFonts w:cs="Times New Roman" w:ascii="Times New Roman" w:hAnsi="Times New Roman"/>
              </w:rPr>
              <w:t>DATE:</w:t>
            </w:r>
          </w:p>
        </w:tc>
        <w:tc>
          <w:tcPr>
            <w:tcW w:w="7920" w:type="dxa"/>
            <w:tcBorders/>
          </w:tcPr>
          <w:p>
            <w:pPr>
              <w:pStyle w:val="Normal"/>
              <w:widowControl w:val="false"/>
              <w:spacing w:before="0" w:after="180"/>
              <w:ind w:end="216"/>
              <w:rPr>
                <w:sz w:val="20"/>
              </w:rPr>
            </w:pPr>
            <w:r>
              <w:rPr>
                <w:sz w:val="20"/>
              </w:rPr>
              <w:t>June 22, 2001</w:t>
            </w:r>
          </w:p>
        </w:tc>
      </w:tr>
      <w:tr>
        <w:trPr>
          <w:trHeight w:val="414" w:hRule="atLeast"/>
        </w:trPr>
        <w:tc>
          <w:tcPr>
            <w:tcW w:w="1440" w:type="dxa"/>
            <w:tcBorders/>
          </w:tcPr>
          <w:p>
            <w:pPr>
              <w:pStyle w:val="MemoHeading"/>
              <w:widowControl w:val="false"/>
              <w:spacing w:before="0" w:after="180"/>
              <w:rPr>
                <w:rFonts w:ascii="Times New Roman" w:hAnsi="Times New Roman" w:cs="Times New Roman"/>
              </w:rPr>
            </w:pPr>
            <w:r>
              <w:rPr>
                <w:rFonts w:cs="Times New Roman" w:ascii="Times New Roman" w:hAnsi="Times New Roman"/>
              </w:rPr>
              <w:t>SUBJECT:</w:t>
            </w:r>
          </w:p>
        </w:tc>
        <w:tc>
          <w:tcPr>
            <w:tcW w:w="7920" w:type="dxa"/>
            <w:tcBorders/>
          </w:tcPr>
          <w:p>
            <w:pPr>
              <w:pStyle w:val="Normal"/>
              <w:widowControl w:val="false"/>
              <w:spacing w:before="0" w:after="120"/>
              <w:ind w:end="216"/>
              <w:rPr>
                <w:sz w:val="20"/>
              </w:rPr>
            </w:pPr>
            <w:r>
              <w:rPr>
                <w:sz w:val="20"/>
              </w:rPr>
              <w:t>Risk Memorandum; Sysco</w:t>
            </w:r>
          </w:p>
          <w:p>
            <w:pPr>
              <w:pStyle w:val="Heading4"/>
              <w:rPr>
                <w:sz w:val="18"/>
              </w:rPr>
            </w:pPr>
            <w:r>
              <w:rPr>
                <w:sz w:val="18"/>
              </w:rPr>
              <w:t>LEGAL RISK RATING: 5</w:t>
            </w:r>
          </w:p>
          <w:p>
            <w:pPr>
              <w:pStyle w:val="Normal"/>
              <w:rPr>
                <w:sz w:val="18"/>
              </w:rPr>
            </w:pPr>
            <w:r>
              <w:rPr>
                <w:sz w:val="18"/>
              </w:rPr>
            </w:r>
          </w:p>
        </w:tc>
      </w:tr>
    </w:tbl>
    <w:p>
      <w:pPr>
        <w:pStyle w:val="Normal"/>
        <w:rPr>
          <w:sz w:val="20"/>
        </w:rPr>
      </w:pPr>
      <w:r>
        <w:rPr>
          <w:sz w:val="20"/>
        </w:rPr>
        <w:t xml:space="preserve">EES proposes to enter into a 10-year, fixed price Commodity Supply Agreement with Sysco Corporation to supply all of the electricity requirements for ten refrigerated warehouse facilities located in the state of California.   The following summarizes the key legal risks associated with the Sysco Agreement. </w:t>
      </w:r>
    </w:p>
    <w:p>
      <w:pPr>
        <w:pStyle w:val="Normal"/>
        <w:rPr>
          <w:sz w:val="20"/>
        </w:rPr>
      </w:pPr>
      <w:r>
        <w:rPr>
          <w:sz w:val="20"/>
        </w:rPr>
      </w:r>
    </w:p>
    <w:p>
      <w:pPr>
        <w:pStyle w:val="Normal"/>
        <w:numPr>
          <w:ilvl w:val="0"/>
          <w:numId w:val="2"/>
        </w:numPr>
        <w:rPr>
          <w:sz w:val="20"/>
        </w:rPr>
      </w:pPr>
      <w:r>
        <w:rPr>
          <w:sz w:val="20"/>
        </w:rPr>
        <w:t>The Sysco Agreement is not based on the recently approved EES Master, but is instead based on the form of master agreement previously utilized by EES; however, key provisions from the new EES Master have been incorporated into the Sysco Agreement, together with the exceptions discussed below.</w:t>
      </w:r>
    </w:p>
    <w:p>
      <w:pPr>
        <w:pStyle w:val="Normal"/>
        <w:rPr>
          <w:rFonts w:ascii="Tms Rmn" w:hAnsi="Tms Rmn" w:cs="Tms Rmn"/>
          <w:color w:val="000000"/>
          <w:sz w:val="20"/>
        </w:rPr>
      </w:pPr>
      <w:r>
        <w:rPr>
          <w:rFonts w:cs="Tms Rmn" w:ascii="Tms Rmn" w:hAnsi="Tms Rmn"/>
          <w:color w:val="000000"/>
          <w:sz w:val="20"/>
        </w:rPr>
      </w:r>
    </w:p>
    <w:p>
      <w:pPr>
        <w:pStyle w:val="Normal"/>
        <w:numPr>
          <w:ilvl w:val="0"/>
          <w:numId w:val="2"/>
        </w:numPr>
        <w:rPr>
          <w:sz w:val="20"/>
        </w:rPr>
      </w:pPr>
      <w:r>
        <w:rPr>
          <w:rFonts w:cs="Tms Rmn" w:ascii="Tms Rmn" w:hAnsi="Tms Rmn"/>
          <w:color w:val="000000"/>
          <w:sz w:val="20"/>
        </w:rPr>
        <w:t>The energy markets in California are evolving, and it is unclear what solutions to the current problems will be forthcoming.  In this environment, there is a dramatically increased risk that provisions in the contract will be contested or subject to unanticipated interpretations when and after new statutes are passed and orders or regulations are issued.</w:t>
      </w:r>
    </w:p>
    <w:p>
      <w:pPr>
        <w:pStyle w:val="Normal"/>
        <w:rPr>
          <w:sz w:val="20"/>
        </w:rPr>
      </w:pPr>
      <w:r>
        <w:rPr>
          <w:sz w:val="20"/>
        </w:rPr>
      </w:r>
    </w:p>
    <w:p>
      <w:pPr>
        <w:pStyle w:val="Normal"/>
        <w:numPr>
          <w:ilvl w:val="0"/>
          <w:numId w:val="2"/>
        </w:numPr>
        <w:rPr>
          <w:sz w:val="20"/>
        </w:rPr>
      </w:pPr>
      <w:r>
        <w:rPr>
          <w:sz w:val="20"/>
        </w:rPr>
        <w:t>The Sysco Agreement is a 10-year requirements contract at a fixed price during a time of extreme energy price volatility; the Sysco Agreement also provides Sysco with the ability to close or substitute facilities, which could alter Sysco's overall power usage over the term of the agreement. Although EES’ business value proposition (long-term fixed price retail generation) does not presuppose a mechanism for a price re-opener (nor is one contained in either the Sysco Agreement or the EES Master), the desk has priced these risks of price volatility and usage variances into the deal.  Additionally, the Sysco agreement provides for market-based adjustments for usages that are outside a 90/110% minimum/maximum usage “band” and defined limitations on the closure/substitution of facilities, all of which provide EES with some protection and allowed the desk to price the risk in the deal.</w:t>
      </w:r>
    </w:p>
    <w:p>
      <w:pPr>
        <w:pStyle w:val="Normal"/>
        <w:rPr>
          <w:sz w:val="20"/>
        </w:rPr>
      </w:pPr>
      <w:r>
        <w:rPr>
          <w:sz w:val="20"/>
        </w:rPr>
      </w:r>
    </w:p>
    <w:p>
      <w:pPr>
        <w:pStyle w:val="Normal"/>
        <w:numPr>
          <w:ilvl w:val="0"/>
          <w:numId w:val="2"/>
        </w:numPr>
        <w:rPr>
          <w:sz w:val="20"/>
        </w:rPr>
      </w:pPr>
      <w:r>
        <w:rPr>
          <w:sz w:val="20"/>
        </w:rPr>
        <w:t>The Sysco Agreement provides for a “pass through” of “Distribution and Related Charges” to Sysco.  Given the current regulatory environment in California, there is no assurance that this definition will capture all future charges imposed by the regulatory authorities that EES might want to pass through, and as a result, EES may have to bear certain costs that are not currently anticipated.  However, the definition of Distribution and Related Charges is fairly comprehensive, and the risk of changes in law that might result in increased charges to EES is further mitigated by the “Reg Out” provision defined below.</w:t>
      </w:r>
    </w:p>
    <w:p>
      <w:pPr>
        <w:pStyle w:val="Normal"/>
        <w:rPr>
          <w:sz w:val="20"/>
        </w:rPr>
      </w:pPr>
      <w:r>
        <w:rPr>
          <w:sz w:val="20"/>
        </w:rPr>
      </w:r>
    </w:p>
    <w:p>
      <w:pPr>
        <w:pStyle w:val="Normal"/>
        <w:numPr>
          <w:ilvl w:val="0"/>
          <w:numId w:val="2"/>
        </w:numPr>
        <w:rPr>
          <w:sz w:val="20"/>
        </w:rPr>
      </w:pPr>
      <w:r>
        <w:rPr>
          <w:sz w:val="20"/>
        </w:rPr>
        <w:t xml:space="preserve">The “Reg Out” provision permits either party to terminate in the event of a change in law that, among other things, has a “material adverse effect” on either party’s ability to perform the agreement, or results in a Tax (as defined) that EES cannot "pass through" to Sysco. The “Reg Out” triggers are fairly broad, which can work for or against Enron depending on the situation (since either EES or Sysco may terminate the Agreement).    In contrast, the new EES Master’s “Reg Out” provision is more favorable to EES in that it only permits EES to exercise the “Reg Out” clause and also permits EES to terminate the Agreement if a change in law alters a “fundamental economic assumption” upon which it relied.  Both of the EES Master and the Sysco agreements provide only for EES' calculation of EES' gain or loss in the event of a termination of the Agreement (i.e., neither provide for calculation or payment of Sysco's gain or loss) and payment by the appropriate party. </w:t>
      </w:r>
    </w:p>
    <w:p>
      <w:pPr>
        <w:pStyle w:val="Normal"/>
        <w:rPr>
          <w:sz w:val="20"/>
        </w:rPr>
      </w:pPr>
      <w:r>
        <w:rPr>
          <w:sz w:val="20"/>
        </w:rPr>
      </w:r>
    </w:p>
    <w:p>
      <w:pPr>
        <w:pStyle w:val="Normal"/>
        <w:numPr>
          <w:ilvl w:val="0"/>
          <w:numId w:val="2"/>
        </w:numPr>
        <w:rPr>
          <w:sz w:val="20"/>
        </w:rPr>
      </w:pPr>
      <w:r>
        <w:rPr>
          <w:sz w:val="20"/>
        </w:rPr>
        <w:t xml:space="preserve">The new EES Master provides EES with a right to terminate for Utility non-performance and suspension of “direct access,” each of which will trigger an Early Termination Payment.  In contrast, the Sysco Agreement treats Utility non-performance as a force majeure event resulting in a suspension of the parties’ performance that does not trigger the payment of an Early Termination Payment. Consequently, in the event of Utility non-performance under the Sysco Agreement, EES could have an "in-the-money" position that could not be liquidated for the period of time that the utility non-performance continued.    Termination of “direct access” under the Sysco Agreement results in suspension (and not termination) of EES’ performance obligations for successive one-year periods while "direct access" has been terminated (which suspension right may not be exercised by EES prior to the expiration of ninety days from  the Commencement Date), and EES calculates and pays or collects an Early Termination Payment for each one-year period during which "direct access" has been terminated (as opposed to EES being able to unwind its position for the remainder of the ten-year term).   Finally, EES is not permitted to suspend performance of its obligations under the agreement if EES has elected to return the Sysco Parties to utility service but is then unable to return them to direct access service.    </w:t>
      </w:r>
    </w:p>
    <w:p>
      <w:pPr>
        <w:pStyle w:val="Normal"/>
        <w:rPr>
          <w:sz w:val="20"/>
        </w:rPr>
      </w:pPr>
      <w:r>
        <w:rPr>
          <w:sz w:val="20"/>
        </w:rPr>
      </w:r>
    </w:p>
    <w:p>
      <w:pPr>
        <w:pStyle w:val="Normal"/>
        <w:rPr>
          <w:sz w:val="20"/>
        </w:rPr>
      </w:pPr>
      <w:r>
        <w:rPr>
          <w:sz w:val="20"/>
        </w:rPr>
      </w:r>
    </w:p>
    <w:p>
      <w:pPr>
        <w:pStyle w:val="Normal"/>
        <w:rPr>
          <w:sz w:val="20"/>
        </w:rPr>
      </w:pPr>
      <w:r>
        <w:rPr>
          <w:sz w:val="20"/>
        </w:rPr>
        <w:t>cc:</w:t>
      </w:r>
    </w:p>
    <w:p>
      <w:pPr>
        <w:pStyle w:val="Normal"/>
        <w:rPr>
          <w:sz w:val="20"/>
        </w:rPr>
      </w:pPr>
      <w:r>
        <w:rPr>
          <w:sz w:val="20"/>
        </w:rPr>
        <w:t>Mark Haedicke</w:t>
        <w:tab/>
        <w:tab/>
        <w:t>Tim Belden</w:t>
        <w:tab/>
        <w:tab/>
        <w:t>Denise Furey</w:t>
      </w:r>
    </w:p>
    <w:p>
      <w:pPr>
        <w:pStyle w:val="Normal"/>
        <w:rPr>
          <w:sz w:val="20"/>
        </w:rPr>
      </w:pPr>
      <w:r>
        <w:rPr>
          <w:sz w:val="20"/>
        </w:rPr>
        <w:t>Chuck Randall</w:t>
        <w:tab/>
        <w:tab/>
        <w:t>Sean Holmes</w:t>
        <w:tab/>
        <w:tab/>
        <w:t>Chris Riley</w:t>
      </w:r>
    </w:p>
    <w:p>
      <w:pPr>
        <w:pStyle w:val="Normal"/>
        <w:rPr>
          <w:sz w:val="20"/>
        </w:rPr>
      </w:pPr>
      <w:r>
        <w:rPr>
          <w:sz w:val="20"/>
        </w:rPr>
        <w:t>Steve Hall</w:t>
        <w:tab/>
        <w:tab/>
        <w:t>Hector Gutierrez</w:t>
        <w:tab/>
        <w:tab/>
        <w:t>Beth Apke</w:t>
      </w:r>
    </w:p>
    <w:sectPr>
      <w:type w:val="nextPage"/>
      <w:pgSz w:w="12240" w:h="15840"/>
      <w:pgMar w:left="1440" w:right="1440" w:gutter="0" w:header="0" w:top="720"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widowControl w:val="false"/>
      <w:numPr>
        <w:ilvl w:val="1"/>
        <w:numId w:val="1"/>
      </w:numPr>
      <w:tabs>
        <w:tab w:val="clear" w:pos="720"/>
        <w:tab w:val="right" w:pos="9360" w:leader="none"/>
      </w:tabs>
      <w:jc w:val="end"/>
      <w:outlineLvl w:val="1"/>
    </w:pPr>
    <w:rPr>
      <w:b/>
      <w:sz w:val="22"/>
    </w:rPr>
  </w:style>
  <w:style w:type="paragraph" w:styleId="Heading3">
    <w:name w:val="heading 3"/>
    <w:basedOn w:val="Normal"/>
    <w:next w:val="Normal"/>
    <w:qFormat/>
    <w:pPr>
      <w:keepNext w:val="true"/>
      <w:widowControl w:val="false"/>
      <w:numPr>
        <w:ilvl w:val="2"/>
        <w:numId w:val="1"/>
      </w:numPr>
      <w:tabs>
        <w:tab w:val="clear" w:pos="720"/>
        <w:tab w:val="right" w:pos="8640" w:leader="none"/>
      </w:tabs>
      <w:jc w:val="center"/>
      <w:outlineLvl w:val="2"/>
    </w:pPr>
    <w:rPr>
      <w:b/>
      <w:sz w:val="22"/>
    </w:rPr>
  </w:style>
  <w:style w:type="paragraph" w:styleId="Heading4">
    <w:name w:val="heading 4"/>
    <w:basedOn w:val="Normal"/>
    <w:next w:val="Normal"/>
    <w:qFormat/>
    <w:pPr>
      <w:keepNext w:val="true"/>
      <w:widowControl w:val="false"/>
      <w:numPr>
        <w:ilvl w:val="3"/>
        <w:numId w:val="1"/>
      </w:numPr>
      <w:spacing w:before="0" w:after="120"/>
      <w:ind w:hanging="0" w:start="0" w:end="216"/>
      <w:outlineLvl w:val="3"/>
    </w:pPr>
    <w:rPr>
      <w:b/>
      <w:sz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MemoHeading">
    <w:name w:val="Memo Heading"/>
    <w:qFormat/>
    <w:pPr>
      <w:widowControl/>
      <w:bidi w:val="0"/>
      <w:spacing w:before="0" w:after="180"/>
    </w:pPr>
    <w:rPr>
      <w:rFonts w:ascii="Arial" w:hAnsi="Arial" w:eastAsia="Times New Roman" w:cs="Arial"/>
      <w:b/>
      <w:color w:val="auto"/>
      <w:sz w:val="20"/>
      <w:szCs w:val="20"/>
      <w:lang w:val="en-US" w:eastAsia="en-CA"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2001-06-25T16:20:00Z</dcterms:created>
  <dc:creator>Travis C. McCullough</dc:creator>
  <dc:description/>
  <dc:language>en-CA</dc:language>
  <cp:lastModifiedBy>dasmus</cp:lastModifiedBy>
  <cp:lastPrinted>2001-06-25T11:22:00Z</cp:lastPrinted>
  <dcterms:modified xsi:type="dcterms:W3CDTF">2001-06-25T18:46:00Z</dcterms:modified>
  <cp:revision>6</cp:revision>
  <dc:subject/>
  <dc:title>The Sysco agreement is not on the recently-approved EES Master; however, key provisions from the EES Master have been incorpor</dc:title>
</cp:coreProperties>
</file>