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Date:</w:t>
        <w:tab/>
        <w:t>March 20, 2001</w:t>
        <w:tab/>
        <w:tab/>
        <w:tab/>
        <w:tab/>
      </w:r>
    </w:p>
    <w:p>
      <w:pPr>
        <w:pStyle w:val="Normal"/>
        <w:tabs>
          <w:tab w:val="clear" w:pos="720"/>
          <w:tab w:val="left" w:pos="1170" w:leader="none"/>
        </w:tabs>
        <w:rPr>
          <w:rFonts w:ascii="Arial" w:hAnsi="Arial" w:cs="Arial"/>
          <w:sz w:val="16"/>
        </w:rPr>
      </w:pPr>
      <w:r>
        <w:rPr>
          <w:rFonts w:cs="Arial" w:ascii="Arial" w:hAnsi="Arial"/>
          <w:sz w:val="16"/>
        </w:rPr>
      </w:r>
    </w:p>
    <w:p>
      <w:pPr>
        <w:pStyle w:val="BodyText"/>
        <w:tabs>
          <w:tab w:val="clear" w:pos="720"/>
          <w:tab w:val="left" w:pos="1440" w:leader="none"/>
        </w:tabs>
        <w:rPr/>
      </w:pPr>
      <w:r>
        <w:rPr/>
        <w:t>To:</w:t>
        <w:tab/>
        <w:t>Stan Horton</w:t>
      </w:r>
    </w:p>
    <w:p>
      <w:pPr>
        <w:pStyle w:val="BodyText"/>
        <w:tabs>
          <w:tab w:val="clear" w:pos="720"/>
          <w:tab w:val="left" w:pos="1440" w:leader="none"/>
        </w:tabs>
        <w:rPr/>
      </w:pPr>
      <w:r>
        <w:rPr/>
        <w:tab/>
        <w:t>Cliff Baxter</w:t>
      </w:r>
    </w:p>
    <w:p>
      <w:pPr>
        <w:pStyle w:val="BodyText"/>
        <w:tabs>
          <w:tab w:val="clear" w:pos="720"/>
          <w:tab w:val="left" w:pos="1440" w:leader="none"/>
        </w:tabs>
        <w:rPr/>
      </w:pPr>
      <w:r>
        <w:rPr/>
      </w:r>
    </w:p>
    <w:p>
      <w:pPr>
        <w:pStyle w:val="BodyText"/>
        <w:tabs>
          <w:tab w:val="clear" w:pos="720"/>
          <w:tab w:val="left" w:pos="1440" w:leader="none"/>
        </w:tabs>
        <w:rPr/>
      </w:pPr>
      <w:r>
        <w:rPr/>
        <w:t>Cc:</w:t>
        <w:tab/>
        <w:t>Mark Metts</w:t>
      </w:r>
    </w:p>
    <w:p>
      <w:pPr>
        <w:pStyle w:val="BodyText"/>
        <w:tabs>
          <w:tab w:val="clear" w:pos="720"/>
          <w:tab w:val="left" w:pos="1440" w:leader="none"/>
        </w:tabs>
        <w:rPr/>
      </w:pPr>
      <w:r>
        <w:rPr/>
        <w:tab/>
        <w:t>Gary Smith</w:t>
      </w:r>
      <w:r>
        <w:rPr/>
        <w:fldChar w:fldCharType="begin"/>
      </w:r>
      <w:r>
        <w:rPr/>
        <w:instrText xml:space="preserve"> FILLIN "Send To"</w:instrText>
      </w:r>
      <w:r>
        <w:rPr/>
        <w:fldChar w:fldCharType="separate"/>
      </w:r>
      <w:r>
        <w:rPr/>
      </w:r>
      <w:r>
        <w:rPr/>
        <w:fldChar w:fldCharType="end"/>
      </w:r>
      <w:r>
        <w:rPr/>
        <w:fldChar w:fldCharType="begin"/>
      </w:r>
      <w:r>
        <w:rPr/>
        <w:instrText xml:space="preserve"> FILLIN "Copies To"</w:instrText>
      </w:r>
      <w:r>
        <w:rPr/>
        <w:fldChar w:fldCharType="separate"/>
      </w:r>
      <w:r>
        <w:rPr/>
      </w:r>
      <w:r>
        <w:rPr/>
        <w:fldChar w:fldCharType="end"/>
      </w:r>
    </w:p>
    <w:p>
      <w:pPr>
        <w:pStyle w:val="Normal"/>
        <w:tabs>
          <w:tab w:val="clear" w:pos="720"/>
          <w:tab w:val="left" w:pos="1170" w:leader="none"/>
        </w:tabs>
        <w:rPr>
          <w:rFonts w:ascii="Arial" w:hAnsi="Arial" w:cs="Arial"/>
          <w:sz w:val="16"/>
        </w:rPr>
      </w:pPr>
      <w:r>
        <w:rPr>
          <w:rFonts w:cs="Arial" w:ascii="Arial" w:hAnsi="Arial"/>
          <w:sz w:val="16"/>
        </w:rPr>
      </w:r>
    </w:p>
    <w:p>
      <w:pPr>
        <w:pStyle w:val="Normal"/>
        <w:tabs>
          <w:tab w:val="clear" w:pos="720"/>
          <w:tab w:val="left" w:pos="1440" w:leader="none"/>
        </w:tabs>
        <w:rPr>
          <w:rFonts w:ascii="Arial" w:hAnsi="Arial" w:cs="Arial"/>
          <w:sz w:val="24"/>
        </w:rPr>
      </w:pPr>
      <w:r>
        <w:rPr>
          <w:rFonts w:cs="Arial" w:ascii="Arial" w:hAnsi="Arial"/>
          <w:sz w:val="24"/>
        </w:rPr>
        <w:t>From:</w:t>
        <w:tab/>
        <w:t>Adam Umanoff</w:t>
      </w:r>
      <w:r>
        <w:rPr>
          <w:rFonts w:cs="Arial" w:ascii="Arial" w:hAnsi="Arial"/>
          <w:sz w:val="24"/>
        </w:rPr>
        <w:fldChar w:fldCharType="begin"/>
      </w:r>
      <w:r>
        <w:rPr>
          <w:sz w:val="24"/>
          <w:rFonts w:cs="Arial" w:ascii="Arial" w:hAnsi="Arial"/>
        </w:rPr>
        <w:instrText xml:space="preserve"> FILLIN "From Sender"</w:instrText>
      </w:r>
      <w:r>
        <w:rPr>
          <w:sz w:val="24"/>
          <w:rFonts w:cs="Arial" w:ascii="Arial" w:hAnsi="Arial"/>
        </w:rPr>
        <w:fldChar w:fldCharType="separate"/>
      </w:r>
      <w:r>
        <w:rPr>
          <w:sz w:val="24"/>
          <w:rFonts w:cs="Arial" w:ascii="Arial" w:hAnsi="Arial"/>
        </w:rPr>
      </w:r>
      <w:r>
        <w:rPr>
          <w:sz w:val="24"/>
          <w:rFonts w:cs="Arial" w:ascii="Arial" w:hAnsi="Arial"/>
        </w:rPr>
        <w:fldChar w:fldCharType="end"/>
      </w:r>
    </w:p>
    <w:p>
      <w:pPr>
        <w:pStyle w:val="Normal"/>
        <w:tabs>
          <w:tab w:val="clear" w:pos="720"/>
          <w:tab w:val="left" w:pos="1170" w:leader="none"/>
        </w:tabs>
        <w:rPr>
          <w:rFonts w:ascii="Arial" w:hAnsi="Arial" w:cs="Arial"/>
          <w:sz w:val="16"/>
        </w:rPr>
      </w:pPr>
      <w:r>
        <w:rPr>
          <w:rFonts w:cs="Arial" w:ascii="Arial" w:hAnsi="Arial"/>
          <w:sz w:val="16"/>
        </w:rPr>
      </w:r>
    </w:p>
    <w:p>
      <w:pPr>
        <w:pStyle w:val="Normal"/>
        <w:tabs>
          <w:tab w:val="clear" w:pos="720"/>
          <w:tab w:val="left" w:pos="1440" w:leader="none"/>
        </w:tabs>
        <w:spacing w:lineRule="auto" w:line="360"/>
        <w:rPr>
          <w:rFonts w:ascii="Arial" w:hAnsi="Arial" w:cs="Arial"/>
        </w:rPr>
      </w:pPr>
      <w:r>
        <w:rPr>
          <w:rFonts w:cs="Arial" w:ascii="Arial" w:hAnsi="Arial"/>
          <w:sz w:val="24"/>
        </w:rPr>
        <w:t>Subject:</w:t>
      </w:r>
      <w:r>
        <w:rPr>
          <w:rFonts w:cs="Arial" w:ascii="Arial" w:hAnsi="Arial"/>
          <w:caps/>
          <w:sz w:val="24"/>
        </w:rPr>
        <w:tab/>
        <w:t xml:space="preserve">Enron Wind – management retention RecoMmendation </w:t>
        <w:tab/>
        <w:tab/>
      </w:r>
      <w:r>
        <w:rPr>
          <w:rFonts w:cs="Arial" w:ascii="Arial" w:hAnsi="Arial"/>
          <w:caps/>
          <w:sz w:val="24"/>
        </w:rPr>
        <w:fldChar w:fldCharType="begin"/>
      </w:r>
      <w:r>
        <w:rPr>
          <w:caps/>
          <w:sz w:val="24"/>
          <w:rFonts w:cs="Arial" w:ascii="Arial" w:hAnsi="Arial"/>
        </w:rPr>
        <w:instrText xml:space="preserve"> FILLIN "SUBJECT"</w:instrText>
      </w:r>
      <w:r>
        <w:rPr>
          <w:caps/>
          <w:sz w:val="24"/>
          <w:rFonts w:cs="Arial" w:ascii="Arial" w:hAnsi="Arial"/>
        </w:rPr>
        <w:fldChar w:fldCharType="separate"/>
      </w:r>
      <w:r>
        <w:rPr>
          <w:caps/>
          <w:sz w:val="24"/>
          <w:rFonts w:cs="Arial" w:ascii="Arial" w:hAnsi="Arial"/>
        </w:rPr>
      </w:r>
      <w:r>
        <w:rPr>
          <w:caps/>
          <w:sz w:val="24"/>
          <w:rFonts w:cs="Arial" w:ascii="Arial" w:hAnsi="Arial"/>
        </w:rPr>
        <w:fldChar w:fldCharType="end"/>
      </w:r>
    </w:p>
    <w:p>
      <w:pPr>
        <w:pStyle w:val="Normal"/>
        <w:pBdr>
          <w:bottom w:val="single" w:sz="18" w:space="1" w:color="000000"/>
        </w:pBdr>
        <w:ind w:end="-270"/>
        <w:rPr>
          <w:rFonts w:ascii="Arial" w:hAnsi="Arial" w:cs="Arial"/>
        </w:rPr>
      </w:pPr>
      <w:r>
        <w:rPr>
          <w:rFonts w:cs="Arial" w:ascii="Arial" w:hAnsi="Arial"/>
        </w:rPr>
      </w:r>
    </w:p>
    <w:p>
      <w:pPr>
        <w:pStyle w:val="Normal"/>
        <w:rPr>
          <w:rFonts w:ascii="Arial" w:hAnsi="Arial" w:cs="Arial"/>
          <w:sz w:val="24"/>
        </w:rPr>
      </w:pPr>
      <w:r>
        <w:rPr>
          <w:rFonts w:cs="Arial" w:ascii="Arial" w:hAnsi="Arial"/>
          <w:sz w:val="24"/>
        </w:rPr>
      </w:r>
    </w:p>
    <w:p>
      <w:pPr>
        <w:pStyle w:val="BodyText"/>
        <w:rPr/>
      </w:pPr>
      <w:bookmarkStart w:id="0" w:name="Go_to_body_of_Memo"/>
      <w:bookmarkEnd w:id="0"/>
      <w:r>
        <w:rPr/>
        <w:t>When Cliff and I met last week, you asked for my specific thoughts on what needs to be done to “keep the wheels on” at the wind company while we sell the business.  While there are a number of management and business issues to be addressed (which I will discuss with Stan this week), the most pressing is to ensure we retain our management team and properly motivate the team to maximize Enron’s value in the sale of the wind business.  For Stan’s benefit, I will briefly review wind company history  to give you a sense for the retention risk we are facing.  Then, as Cliff asked, I have some specific recommendations.</w:t>
      </w:r>
    </w:p>
    <w:p>
      <w:pPr>
        <w:pStyle w:val="BodyText"/>
        <w:rPr/>
      </w:pPr>
      <w:r>
        <w:rPr/>
      </w:r>
    </w:p>
    <w:p>
      <w:pPr>
        <w:pStyle w:val="BodyText"/>
        <w:rPr>
          <w:b/>
        </w:rPr>
      </w:pPr>
      <w:r>
        <w:rPr>
          <w:b/>
        </w:rPr>
        <w:t>Recent History at Enron Wind.</w:t>
      </w:r>
    </w:p>
    <w:p>
      <w:pPr>
        <w:pStyle w:val="BodyText"/>
        <w:rPr/>
      </w:pPr>
      <w:r>
        <w:rPr/>
      </w:r>
    </w:p>
    <w:p>
      <w:pPr>
        <w:pStyle w:val="BodyText"/>
        <w:rPr/>
      </w:pPr>
      <w:r>
        <w:rPr/>
        <w:t>Here’s a quick bullet point summary of the last few years:</w:t>
      </w:r>
    </w:p>
    <w:p>
      <w:pPr>
        <w:pStyle w:val="BodyText"/>
        <w:rPr/>
      </w:pPr>
      <w:r>
        <w:rPr/>
      </w:r>
    </w:p>
    <w:p>
      <w:pPr>
        <w:pStyle w:val="BodyText"/>
        <w:numPr>
          <w:ilvl w:val="0"/>
          <w:numId w:val="3"/>
        </w:numPr>
        <w:rPr/>
      </w:pPr>
      <w:r>
        <w:rPr/>
        <w:t xml:space="preserve">Enron acquires U.S.-based Zond in 1997 followed by the acquisition of German-based Tacke; wind business initially reports into Bob Kelly, then Tom White;  </w:t>
      </w:r>
    </w:p>
    <w:p>
      <w:pPr>
        <w:pStyle w:val="BodyText"/>
        <w:numPr>
          <w:ilvl w:val="0"/>
          <w:numId w:val="3"/>
        </w:numPr>
        <w:rPr/>
      </w:pPr>
      <w:r>
        <w:rPr/>
        <w:t xml:space="preserve">Through early 2000, Enron owns approximately 80% of the wind company;  former Zond shareholders and several members of management own the remaining 20%; </w:t>
      </w:r>
    </w:p>
    <w:p>
      <w:pPr>
        <w:pStyle w:val="BodyText"/>
        <w:numPr>
          <w:ilvl w:val="0"/>
          <w:numId w:val="4"/>
        </w:numPr>
        <w:rPr/>
      </w:pPr>
      <w:r>
        <w:rPr/>
        <w:t>Summer, 1999 company sale effort (Project Kite);</w:t>
      </w:r>
    </w:p>
    <w:p>
      <w:pPr>
        <w:pStyle w:val="BodyText"/>
        <w:numPr>
          <w:ilvl w:val="0"/>
          <w:numId w:val="4"/>
        </w:numPr>
        <w:rPr/>
      </w:pPr>
      <w:r>
        <w:rPr/>
        <w:t>Fall, 1999 developing dispute between Enron and wind company minority shareholders over strategic direction; wind business now reports into Kurt Huneke;</w:t>
      </w:r>
    </w:p>
    <w:p>
      <w:pPr>
        <w:pStyle w:val="BodyText"/>
        <w:numPr>
          <w:ilvl w:val="0"/>
          <w:numId w:val="4"/>
        </w:numPr>
        <w:rPr/>
      </w:pPr>
      <w:r>
        <w:rPr/>
        <w:t>Spring, 2000 buy-out of minority shareholders, replacement of wind company CEO and change of wind company compensation system from one in which management participates in wind business value appreciation (through stock options in wind company) to Enron compensation system (salary/cash bonus/LTIP), along with major pitch to management team to embrace new Enron compensation system;</w:t>
      </w:r>
    </w:p>
    <w:p>
      <w:pPr>
        <w:pStyle w:val="BodyText"/>
        <w:numPr>
          <w:ilvl w:val="0"/>
          <w:numId w:val="4"/>
        </w:numPr>
        <w:rPr/>
      </w:pPr>
      <w:r>
        <w:rPr/>
        <w:t>Summer, 2000 company sale effort as part of broader Project Summer;</w:t>
      </w:r>
    </w:p>
    <w:p>
      <w:pPr>
        <w:pStyle w:val="BodyText"/>
        <w:numPr>
          <w:ilvl w:val="0"/>
          <w:numId w:val="4"/>
        </w:numPr>
        <w:rPr/>
      </w:pPr>
      <w:r>
        <w:rPr/>
        <w:t>2000 management changes, with business run by Karas (through early 2000); Ramm (for a few months in 2000); Huneke (until his retirement); Noles (for the past year); wind business now reports into Cliff;</w:t>
      </w:r>
    </w:p>
    <w:p>
      <w:pPr>
        <w:pStyle w:val="BodyText"/>
        <w:numPr>
          <w:ilvl w:val="0"/>
          <w:numId w:val="4"/>
        </w:numPr>
        <w:rPr/>
      </w:pPr>
      <w:r>
        <w:rPr/>
        <w:t>Fall 2000-to-date company sale effort (Project Aura).</w:t>
      </w:r>
    </w:p>
    <w:p>
      <w:pPr>
        <w:pStyle w:val="BodyText"/>
        <w:rPr/>
      </w:pPr>
      <w:r>
        <w:rPr/>
      </w:r>
    </w:p>
    <w:p>
      <w:pPr>
        <w:pStyle w:val="BodyText"/>
        <w:rPr/>
      </w:pPr>
      <w:r>
        <w:rPr/>
        <w:t>This history, while perhaps not uncommon for Enron or any large company, has been a challenge for our management team, most of whom have averaged over 10 years with the company, and has raised concern over:</w:t>
      </w:r>
    </w:p>
    <w:p>
      <w:pPr>
        <w:pStyle w:val="BodyText"/>
        <w:rPr/>
      </w:pPr>
      <w:r>
        <w:rPr/>
      </w:r>
    </w:p>
    <w:p>
      <w:pPr>
        <w:pStyle w:val="BodyText"/>
        <w:numPr>
          <w:ilvl w:val="0"/>
          <w:numId w:val="4"/>
        </w:numPr>
        <w:rPr/>
      </w:pPr>
      <w:r>
        <w:rPr/>
        <w:t>the lack of senior management stability;</w:t>
      </w:r>
    </w:p>
    <w:p>
      <w:pPr>
        <w:pStyle w:val="BodyText"/>
        <w:numPr>
          <w:ilvl w:val="0"/>
          <w:numId w:val="4"/>
        </w:numPr>
        <w:rPr/>
      </w:pPr>
      <w:r>
        <w:rPr/>
        <w:t>the recent lack of experienced senior management with consistent, industry-specific business strategy;</w:t>
      </w:r>
    </w:p>
    <w:p>
      <w:pPr>
        <w:pStyle w:val="BodyText"/>
        <w:numPr>
          <w:ilvl w:val="0"/>
          <w:numId w:val="4"/>
        </w:numPr>
        <w:rPr/>
      </w:pPr>
      <w:r>
        <w:rPr/>
        <w:t>the inability to recruit key personnel;</w:t>
      </w:r>
    </w:p>
    <w:p>
      <w:pPr>
        <w:pStyle w:val="BodyText"/>
        <w:numPr>
          <w:ilvl w:val="0"/>
          <w:numId w:val="4"/>
        </w:numPr>
        <w:rPr/>
      </w:pPr>
      <w:r>
        <w:rPr/>
        <w:t xml:space="preserve">the disclosure, through the sales efforts, of some of our most sensitive business information to competitors; </w:t>
      </w:r>
    </w:p>
    <w:p>
      <w:pPr>
        <w:pStyle w:val="BodyText"/>
        <w:numPr>
          <w:ilvl w:val="0"/>
          <w:numId w:val="4"/>
        </w:numPr>
        <w:rPr/>
      </w:pPr>
      <w:r>
        <w:rPr/>
        <w:t>a growing awareness in the marketplace of the continuing sale effort and a reluctance by certain customers to do business with us; and</w:t>
      </w:r>
    </w:p>
    <w:p>
      <w:pPr>
        <w:pStyle w:val="BodyText"/>
        <w:numPr>
          <w:ilvl w:val="0"/>
          <w:numId w:val="4"/>
        </w:numPr>
        <w:rPr/>
      </w:pPr>
      <w:r>
        <w:rPr/>
        <w:t xml:space="preserve">the nature of our current compensation system (there is little faith in the LTIP component as most senior people have not received their 2000 LTIP, and even if received, have little confidence in long-term vesting in light of the sale effort; in addition, while bonuses for 2000 were paid, there is understandable concern over bonuses for 2001).  </w:t>
      </w:r>
    </w:p>
    <w:p>
      <w:pPr>
        <w:pStyle w:val="BodyText"/>
        <w:rPr/>
      </w:pPr>
      <w:r>
        <w:rPr/>
      </w:r>
    </w:p>
    <w:p>
      <w:pPr>
        <w:pStyle w:val="BodyText"/>
        <w:rPr/>
      </w:pPr>
      <w:r>
        <w:rPr/>
        <w:t xml:space="preserve">As a result, I don’t think there is a single member of our management team who isn’t either actively looking for something new to do or at least considering his or her options.  For example, as you know, Herbert Peels, currently our head of global manufacturing (and who I want to run all of our European activity), has an offer to join a European gearbox manufacturer (Flenders) to run a spin-off which will supply gearboxes exclusively to the wind industry.  He wants to make a decision on this opportunity immediately (his deadline was last Friday, but I have bought some time with him while I work on the broader issue with you).  </w:t>
      </w:r>
    </w:p>
    <w:p>
      <w:pPr>
        <w:pStyle w:val="BodyText"/>
        <w:rPr/>
      </w:pPr>
      <w:r>
        <w:rPr/>
      </w:r>
    </w:p>
    <w:p>
      <w:pPr>
        <w:pStyle w:val="BodyText"/>
        <w:rPr/>
      </w:pPr>
      <w:r>
        <w:rPr>
          <w:b/>
        </w:rPr>
        <w:t>Retention and Motivation of Management</w:t>
      </w:r>
      <w:r>
        <w:rPr/>
        <w:t xml:space="preserve">. The value of Enron Wind is largely in our management team.  While we certainly own some important proprietary technology, several manufacturing facilities, operating projects and other hard assets, most of our value is driven off of our new business activity (the sale of turbines and developed wind projects) and that activity is driven entirely by our intellectual capital – our management.  Therefore, I think it is critical for us to focus on the retention and motivation of our management team.  I suggest we do the following: </w:t>
      </w:r>
    </w:p>
    <w:p>
      <w:pPr>
        <w:pStyle w:val="BodyText"/>
        <w:rPr/>
      </w:pPr>
      <w:r>
        <w:rPr/>
      </w:r>
    </w:p>
    <w:p>
      <w:pPr>
        <w:pStyle w:val="BodyText"/>
        <w:numPr>
          <w:ilvl w:val="0"/>
          <w:numId w:val="2"/>
        </w:numPr>
        <w:rPr/>
      </w:pPr>
      <w:r>
        <w:rPr>
          <w:b/>
        </w:rPr>
        <w:t>2000 Equity Commitments</w:t>
      </w:r>
      <w:r>
        <w:rPr/>
        <w:t>.  Other than for 3 senior people who had specific contract protections (myself included), no Enron equity was distributed to employees for year 2000 performance.  This includes LTIP for our management, KEYSOP and All-Employee Stock Grants.  We did announce that we would cash-out the All-Employee Stock Option Grants at the earlier of close of sale and June 30,2001 (at a cost of about $2mm).  I think we should do the same with respect to LTIP and KEYSOP. The approximate cost of doing this is (a) LTIP Cash-Out - $600k (cashing out at 100% of the value of restricted stock and 25% of the value of stock options); and (b) KEYSOP Cash-Out - $200k (cashing out at 30% of the value of stock options);  total cost $800k.</w:t>
      </w:r>
    </w:p>
    <w:p>
      <w:pPr>
        <w:pStyle w:val="BodyText"/>
        <w:ind w:start="720" w:end="0"/>
        <w:rPr/>
      </w:pPr>
      <w:r>
        <w:rPr/>
      </w:r>
    </w:p>
    <w:p>
      <w:pPr>
        <w:pStyle w:val="BodyText"/>
        <w:numPr>
          <w:ilvl w:val="0"/>
          <w:numId w:val="2"/>
        </w:numPr>
        <w:rPr/>
      </w:pPr>
      <w:r>
        <w:rPr>
          <w:b/>
        </w:rPr>
        <w:t>Transaction Bonus Pool</w:t>
      </w:r>
      <w:r>
        <w:rPr/>
        <w:t>.  We should establish a transaction bonus pool to be allocated to the management team (along with some additional key  employees who are instrumental in the sale process).  Last year, a pool was set up (in the aggregate amount of about $6mm) and divided into a divestiture bonus and a post-sale retention bonus. I recommend a larger pool in a variable amount based upon sale success as follows:</w:t>
      </w:r>
    </w:p>
    <w:p>
      <w:pPr>
        <w:pStyle w:val="BodyText"/>
        <w:ind w:start="720" w:end="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
              <w:rPr>
                <w:b/>
              </w:rPr>
            </w:pPr>
            <w:r>
              <w:rPr>
                <w:b/>
              </w:rPr>
              <w:t>Gross Sale Proceeds</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b/>
              </w:rPr>
            </w:pPr>
            <w:r>
              <w:rPr>
                <w:b/>
              </w:rPr>
              <w:t>Bonus Pool Percentage</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b/>
              </w:rPr>
            </w:pPr>
            <w:r>
              <w:rPr>
                <w:b/>
              </w:rPr>
              <w:t>Bonus Pool $</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$400mm</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1.50%</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$06.00mm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$450mm</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1.75%</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$07.88mm</w:t>
            </w:r>
          </w:p>
        </w:tc>
      </w:tr>
      <w:tr>
        <w:trPr/>
        <w:tc>
          <w:tcPr>
            <w:tcW w:w="3192" w:type="dxa"/>
            <w:tcBorders>
              <w:top w:val="single" w:sz="4" w:space="0" w:color="000000"/>
              <w:start w:val="single" w:sz="4" w:space="0" w:color="000000"/>
              <w:bottom w:val="single" w:sz="4" w:space="0" w:color="000000"/>
              <w:end w:val="single" w:sz="4" w:space="0" w:color="000000"/>
            </w:tcBorders>
            <w:vAlign w:val="center"/>
          </w:tcPr>
          <w:p>
            <w:pPr>
              <w:pStyle w:val="BodyText"/>
              <w:rPr/>
            </w:pPr>
            <w:r>
              <w:rPr/>
              <w:t>$500mm</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2.00%</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$10.00mm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$550mm</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2.25%</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$12.375mm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$600mm</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2.50%</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pPr>
            <w:r>
              <w:rPr/>
              <w:t>$15.00mm</w:t>
            </w:r>
          </w:p>
        </w:tc>
      </w:tr>
    </w:tbl>
    <w:p>
      <w:pPr>
        <w:pStyle w:val="BodyText"/>
        <w:ind w:firstLine="360" w:start="720" w:end="0"/>
        <w:rPr/>
      </w:pPr>
      <w:r>
        <w:rPr/>
      </w:r>
    </w:p>
    <w:p>
      <w:pPr>
        <w:pStyle w:val="BodyText"/>
        <w:ind w:start="1080" w:end="0"/>
        <w:rPr/>
      </w:pPr>
      <w:r>
        <w:rPr/>
        <w:t xml:space="preserve">I also recommend that the pool be divided into 3 traunches.  Traunche 1 -  roughly 2/3 of the pool, payable on closing of sale (divestiture bonus).  Traunche 2 - the remaining 1/3 would be used as a post-sale retention bonus (buyer’s retention bonus).  Traunche 3 -  approximately 25% of the divestiture bonus pool would be available as a pre-sale retention bonus pool, payable on November 30 if no sale has occurred by that date (Enron’s retention bonus).  Any payments from Enron’s retention bonus would be credited against any future divestiture bonuses. </w:t>
      </w:r>
    </w:p>
    <w:p>
      <w:pPr>
        <w:pStyle w:val="BodyText"/>
        <w:ind w:start="1080" w:end="0"/>
        <w:rPr/>
      </w:pPr>
      <w:r>
        <w:rPr/>
      </w:r>
    </w:p>
    <w:p>
      <w:pPr>
        <w:pStyle w:val="BodyText"/>
        <w:ind w:start="1080" w:end="0"/>
        <w:rPr/>
      </w:pPr>
      <w:r>
        <w:rPr/>
        <w:t>Here is my rationale for this package.  First, as to amount, I think a sliding percentage based on gross sale price properly aligns management’s goals with Enron’s in maximizing sale price.  While the gross amount I am proposing is potentially larger than what was established last year, I think it is warranted in light of the retention risks.  Cliff and Stan – I realize that I am proposing a lot of money, but I think these amounts are reasonable.  One important comment on the variable amount.  Mark points out that buyer’s will view such a plan negatively as it could give management an incentive to inflate the value of the business.  I don't disagree.  Clearly, we need to balance the management incentive against any possible negative impact on a sale transaction.  At the end of the day, if this risk is too significant, I would support a fixed bonus pool as is currently in place.</w:t>
      </w:r>
    </w:p>
    <w:p>
      <w:pPr>
        <w:pStyle w:val="BodyText"/>
        <w:ind w:start="1080" w:end="0"/>
        <w:rPr/>
      </w:pPr>
      <w:r>
        <w:rPr/>
      </w:r>
    </w:p>
    <w:p>
      <w:pPr>
        <w:pStyle w:val="BodyText"/>
        <w:ind w:start="1080" w:end="0"/>
        <w:rPr/>
      </w:pPr>
      <w:r>
        <w:rPr/>
        <w:t xml:space="preserve">Second, I think splitting the bonus pool between a divestiture bonus and a buyer’s retention bonus makes sense, giving our buyer some clear hold on key employees.  </w:t>
      </w:r>
    </w:p>
    <w:p>
      <w:pPr>
        <w:pStyle w:val="BodyText"/>
        <w:ind w:start="1080" w:end="0"/>
        <w:rPr/>
      </w:pPr>
      <w:r>
        <w:rPr/>
      </w:r>
    </w:p>
    <w:p>
      <w:pPr>
        <w:pStyle w:val="BodyText"/>
        <w:ind w:start="1080" w:end="0"/>
        <w:rPr/>
      </w:pPr>
      <w:r>
        <w:rPr/>
        <w:t>Finally, I think the Enron retention bonus is critical. To date, we have not been successful in selling the company. Without this retention incentive, if a sale does not occur, people will be working for only salary and bonus (and with a reasonable concern that bonus might not be achieved and LTIP would be withheld as it has been this year); this is not an exciting prospect.  In addition, I want to show our clear willingness to pay people for working in an environment where they are trying to both manage the business and sell the company.  Finally, while I would propose to allocate most of the Enron retention bonus pool now (and inform people so we get the benefit of the retention incentive), I would hold some portion back to address surprises along the way.</w:t>
      </w:r>
    </w:p>
    <w:p>
      <w:pPr>
        <w:pStyle w:val="BodyText"/>
        <w:ind w:start="1080" w:end="0"/>
        <w:rPr>
          <w:rFonts w:eastAsia="Arial"/>
        </w:rPr>
      </w:pPr>
      <w:r>
        <w:rPr>
          <w:rFonts w:eastAsia="Arial"/>
        </w:rPr>
        <w:t xml:space="preserve"> </w:t>
      </w:r>
    </w:p>
    <w:p>
      <w:pPr>
        <w:pStyle w:val="BodyText"/>
        <w:ind w:start="1080" w:end="0"/>
        <w:rPr/>
      </w:pPr>
      <w:r>
        <w:rPr/>
        <w:t>Stan - Once we agree on the structure and amount of this incentive plan,  I will make specific recommendations on allocating the pool among the management team members.  I would like the two of us to do this together.  This will give you a chance to learn more about our people and my view of their relative value to the business and the sale effort.</w:t>
      </w:r>
    </w:p>
    <w:p>
      <w:pPr>
        <w:pStyle w:val="BodyText"/>
        <w:rPr/>
      </w:pPr>
      <w:r>
        <w:rPr/>
      </w:r>
    </w:p>
    <w:p>
      <w:pPr>
        <w:pStyle w:val="BodyText"/>
        <w:rPr/>
      </w:pPr>
      <w:r>
        <w:rPr/>
      </w:r>
    </w:p>
    <w:p>
      <w:pPr>
        <w:pStyle w:val="BodyText"/>
        <w:rPr/>
      </w:pPr>
      <w:r>
        <w:rPr/>
        <w:t>I plan to visit with Stan on Thursday to discuss broader business issues.  In light of Herbert’s situation (and the general retention concern), I would like to resolve this as soon as possible – this week if we can.</w:t>
      </w:r>
    </w:p>
    <w:p>
      <w:pPr>
        <w:pStyle w:val="BodyText"/>
        <w:rPr/>
      </w:pPr>
      <w:r>
        <w:rPr/>
      </w:r>
      <w:r>
        <w:br w:type="page"/>
      </w:r>
    </w:p>
    <w:p>
      <w:pPr>
        <w:pStyle w:val="BodyText"/>
        <w:rPr/>
      </w:pPr>
      <w:r>
        <w:rPr/>
      </w:r>
    </w:p>
    <w:sectPr>
      <w:headerReference w:type="default" r:id="rId2"/>
      <w:headerReference w:type="first" r:id="rId3"/>
      <w:footerReference w:type="default" r:id="rId4"/>
      <w:footerReference w:type="first" r:id="rId5"/>
      <w:type w:val="nextPage"/>
      <w:pgSz w:w="12240" w:h="15840"/>
      <w:pgMar w:left="1440" w:right="1440" w:gutter="0" w:header="360" w:top="630" w:footer="620" w:bottom="6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/mnt/main-storage/datasets/enron-docs/doc/EWC_MngmntRet_3_01.doc</w:t>
    </w:r>
    <w:r>
      <w:rPr>
        <w:sz w:val="16"/>
        <w:rFonts w:cs="Arial" w:ascii="Arial" w:hAnsi="Arial"/>
        <w:lang w:eastAsia="en-US"/>
      </w:rPr>
      <w:fldChar w:fldCharType="end"/>
    </w:r>
  </w:p>
  <w:p>
    <w:pPr>
      <w:pStyle w:val="Footer"/>
      <w:jc w:val="center"/>
      <w:rPr>
        <w:rFonts w:ascii="Arial" w:hAnsi="Arial" w:cs="Arial"/>
        <w:sz w:val="16"/>
      </w:rPr>
    </w:pPr>
    <w:r>
      <w:rPr>
        <w:rFonts w:cs="Arial" w:ascii="Arial" w:hAnsi="Arial"/>
        <w:sz w:val="16"/>
      </w:rPr>
    </w:r>
  </w:p>
  <w:p>
    <w:pPr>
      <w:pStyle w:val="Footer"/>
      <w:pBdr>
        <w:top w:val="single" w:sz="8" w:space="1" w:color="000000"/>
      </w:pBdr>
      <w:jc w:val="center"/>
      <w:rPr>
        <w:rFonts w:ascii="Arial" w:hAnsi="Arial" w:cs="Arial"/>
        <w:sz w:val="16"/>
      </w:rPr>
    </w:pPr>
    <w:r>
      <w:rPr>
        <w:rFonts w:cs="Arial" w:ascii="Arial" w:hAnsi="Arial"/>
        <w:sz w:val="16"/>
      </w:rPr>
    </w:r>
  </w:p>
  <w:p>
    <w:pPr>
      <w:pStyle w:val="Footer"/>
      <w:pBdr>
        <w:top w:val="single" w:sz="8" w:space="1" w:color="000000"/>
      </w:pBdr>
      <w:jc w:val="center"/>
      <w:rPr/>
    </w:pPr>
    <w:r>
      <w:rPr>
        <w:rFonts w:cs="Arial" w:ascii="Arial" w:hAnsi="Arial"/>
        <w:sz w:val="16"/>
      </w:rPr>
      <w:t xml:space="preserve">444 S. Flower Street, Suite 4545, Los Angeles, California 90071-2946 </w:t>
    </w:r>
    <w:r>
      <w:rPr>
        <w:rFonts w:eastAsia="Symbol" w:cs="Symbol" w:ascii="Symbol" w:hAnsi="Symbol"/>
        <w:sz w:val="16"/>
      </w:rPr>
      <w:sym w:font="Symbol" w:char="f0b7"/>
    </w:r>
    <w:r>
      <w:rPr>
        <w:rFonts w:cs="Arial" w:ascii="Arial" w:hAnsi="Arial"/>
        <w:sz w:val="16"/>
      </w:rPr>
      <w:t xml:space="preserve"> Phone:  213-452-4881 </w:t>
    </w:r>
    <w:r>
      <w:rPr>
        <w:rFonts w:eastAsia="Symbol" w:cs="Symbol" w:ascii="Symbol" w:hAnsi="Symbol"/>
        <w:sz w:val="16"/>
      </w:rPr>
      <w:sym w:font="Symbol" w:char="f0b7"/>
    </w:r>
    <w:r>
      <w:rPr>
        <w:rFonts w:cs="Arial" w:ascii="Arial" w:hAnsi="Arial"/>
        <w:sz w:val="16"/>
      </w:rPr>
      <w:t xml:space="preserve"> Fax: 213-452-4888</w:t>
    </w:r>
  </w:p>
  <w:p>
    <w:pPr>
      <w:pStyle w:val="Footer"/>
      <w:pBdr>
        <w:top w:val="single" w:sz="8" w:space="1" w:color="000000"/>
      </w:pBdr>
      <w:jc w:val="center"/>
      <w:rPr/>
    </w:pPr>
    <w:r>
      <w:rPr>
        <w:rFonts w:cs="Arial" w:ascii="Arial" w:hAnsi="Arial"/>
        <w:sz w:val="16"/>
      </w:rPr>
      <w:t xml:space="preserve">E-mail: aumanof@enron.com </w:t>
    </w:r>
    <w:r>
      <w:rPr>
        <w:rFonts w:eastAsia="Symbol" w:cs="Symbol" w:ascii="Symbol" w:hAnsi="Symbol"/>
        <w:sz w:val="16"/>
      </w:rPr>
      <w:sym w:font="Symbol" w:char="f0b7"/>
    </w:r>
    <w:r>
      <w:rPr>
        <w:rFonts w:cs="Arial" w:ascii="Arial" w:hAnsi="Arial"/>
        <w:sz w:val="16"/>
      </w:rPr>
      <w:t xml:space="preserve"> Web Address: http://www.wind.enron.com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/mnt/main-storage/datasets/enron-docs/doc/EWC_MngmntRet_3_01.doc</w:t>
    </w:r>
    <w:r>
      <w:rPr>
        <w:sz w:val="16"/>
        <w:rFonts w:cs="Arial" w:ascii="Arial" w:hAnsi="Arial"/>
        <w:lang w:eastAsia="en-US"/>
      </w:rPr>
      <w:fldChar w:fldCharType="end"/>
    </w:r>
  </w:p>
  <w:p>
    <w:pPr>
      <w:pStyle w:val="Footer"/>
      <w:jc w:val="center"/>
      <w:rPr>
        <w:rFonts w:ascii="Arial" w:hAnsi="Arial" w:cs="Arial"/>
        <w:sz w:val="16"/>
      </w:rPr>
    </w:pPr>
    <w:r>
      <w:rPr>
        <w:rFonts w:cs="Arial" w:ascii="Arial" w:hAnsi="Arial"/>
        <w:sz w:val="16"/>
      </w:rPr>
    </w:r>
  </w:p>
  <w:p>
    <w:pPr>
      <w:pStyle w:val="Footer"/>
      <w:jc w:val="cen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Fonts w:ascii="Arial" w:hAnsi="Arial" w:cs="Arial"/>
      </w:rPr>
    </w:pPr>
    <w:r>
      <w:rPr>
        <w:rStyle w:val="PageNumber"/>
        <w:rFonts w:cs="Arial" w:ascii="Arial" w:hAnsi="Arial"/>
      </w:rPr>
      <w:t xml:space="preserve">Memo-Page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p>
    <w:pPr>
      <w:pStyle w:val="Header"/>
      <w:jc w:val="end"/>
      <w:rPr>
        <w:rStyle w:val="PageNumber"/>
        <w:rFonts w:ascii="Arial" w:hAnsi="Arial" w:cs="Arial"/>
      </w:rPr>
    </w:pPr>
    <w:r>
      <w:rPr/>
    </w:r>
  </w:p>
  <w:p>
    <w:pPr>
      <w:pStyle w:val="Header"/>
      <w:jc w:val="end"/>
      <w:rPr>
        <w:rStyle w:val="PageNumber"/>
        <w:rFonts w:ascii="Arial" w:hAnsi="Arial" w:cs="Arial"/>
      </w:rPr>
    </w:pPr>
    <w:r>
      <w:rPr/>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28" w:type="dxa"/>
      <w:jc w:val="start"/>
      <w:tblInd w:w="0" w:type="dxa"/>
      <w:tblLayout w:type="fixed"/>
      <w:tblCellMar>
        <w:top w:w="0" w:type="dxa"/>
        <w:start w:w="108" w:type="dxa"/>
        <w:bottom w:w="0" w:type="dxa"/>
        <w:end w:w="108" w:type="dxa"/>
      </w:tblCellMar>
    </w:tblPr>
    <w:tblGrid>
      <w:gridCol w:w="9828"/>
    </w:tblGrid>
    <w:tr>
      <w:trPr/>
      <w:tc>
        <w:tcPr>
          <w:tcW w:w="9828" w:type="dxa"/>
          <w:tcBorders/>
        </w:tcPr>
        <w:p>
          <w:pPr>
            <w:pStyle w:val="Header"/>
            <w:rPr>
              <w:b/>
              <w:sz w:val="18"/>
            </w:rPr>
          </w:pPr>
          <w:r>
            <w:rPr>
              <w:b/>
              <w:sz w:val="18"/>
            </w:rPr>
            <w:drawing>
              <wp:inline distT="0" distB="0" distL="0" distR="0">
                <wp:extent cx="1202690" cy="1202690"/>
                <wp:effectExtent l="0" t="0" r="0" b="0"/>
                <wp:docPr id="1" name="ENE34BL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34BLK" descr="" title=""/>
                        <pic:cNvPicPr>
                          <a:picLocks noChangeAspect="1" noChangeArrowheads="1"/>
                        </pic:cNvPicPr>
                      </pic:nvPicPr>
                      <pic:blipFill>
                        <a:blip r:embed="rId1"/>
                        <a:srcRect l="-13" t="-13" r="-13" b="-13"/>
                        <a:stretch>
                          <a:fillRect/>
                        </a:stretch>
                      </pic:blipFill>
                      <pic:spPr bwMode="auto">
                        <a:xfrm>
                          <a:off x="0" y="0"/>
                          <a:ext cx="1202690" cy="1202690"/>
                        </a:xfrm>
                        <a:prstGeom prst="rect">
                          <a:avLst/>
                        </a:prstGeom>
                        <a:noFill/>
                      </pic:spPr>
                    </pic:pic>
                  </a:graphicData>
                </a:graphic>
              </wp:inline>
            </w:drawing>
          </w:r>
          <w:r>
            <mc:AlternateContent>
              <mc:Choice Requires="wps">
                <w:drawing>
                  <wp:anchor behindDoc="1" distT="0" distB="0" distL="114935" distR="114935" simplePos="0" locked="0" layoutInCell="0" allowOverlap="1" relativeHeight="3">
                    <wp:simplePos x="0" y="0"/>
                    <wp:positionH relativeFrom="margin">
                      <wp:posOffset>4297680</wp:posOffset>
                    </wp:positionH>
                    <wp:positionV relativeFrom="paragraph">
                      <wp:posOffset>-45720</wp:posOffset>
                    </wp:positionV>
                    <wp:extent cx="1828800" cy="1463040"/>
                    <wp:effectExtent l="0" t="0" r="0" b="0"/>
                    <wp:wrapNone/>
                    <wp:docPr id="2" name="Frame1"/>
                    <a:graphic xmlns:a="http://schemas.openxmlformats.org/drawingml/2006/main">
                      <a:graphicData uri="http://schemas.microsoft.com/office/word/2010/wordprocessingShape">
                        <wps:wsp>
                          <wps:cNvSpPr txBox="1"/>
                          <wps:spPr>
                            <a:xfrm>
                              <a:off x="0" y="0"/>
                              <a:ext cx="1828800" cy="1463040"/>
                            </a:xfrm>
                            <a:prstGeom prst="rect"/>
                            <a:solidFill>
                              <a:srgbClr val="FFFFFF">
                                <a:alpha val="0"/>
                              </a:srgbClr>
                            </a:solidFill>
                          </wps:spPr>
                          <wps:txbx>
                            <w:txbxContent>
                              <w:p>
                                <w:pPr>
                                  <w:pStyle w:val="Normal"/>
                                  <w:rPr>
                                    <w:rFonts w:ascii="Arial" w:hAnsi="Arial" w:cs="Arial"/>
                                    <w:b/>
                                    <w:sz w:val="24"/>
                                  </w:rPr>
                                </w:pPr>
                                <w:r>
                                  <w:rPr>
                                    <w:rFonts w:cs="Arial" w:ascii="Arial" w:hAnsi="Arial"/>
                                    <w:b/>
                                    <w:sz w:val="24"/>
                                  </w:rPr>
                                  <w:t>Enron Wind Corp.</w:t>
                                </w:r>
                              </w:p>
                              <w:p>
                                <w:pPr>
                                  <w:pStyle w:val="Normal"/>
                                  <w:rPr>
                                    <w:rFonts w:ascii="Arial" w:hAnsi="Arial" w:cs="Arial"/>
                                  </w:rPr>
                                </w:pPr>
                                <w:r>
                                  <w:rPr>
                                    <w:rFonts w:cs="Arial" w:ascii="Arial" w:hAnsi="Arial"/>
                                  </w:rPr>
                                  <w:t>444 S. Flower Street</w:t>
                                </w:r>
                              </w:p>
                              <w:p>
                                <w:pPr>
                                  <w:pStyle w:val="Normal"/>
                                  <w:rPr>
                                    <w:rFonts w:ascii="Arial" w:hAnsi="Arial" w:cs="Arial"/>
                                  </w:rPr>
                                </w:pPr>
                                <w:r>
                                  <w:rPr>
                                    <w:rFonts w:cs="Arial" w:ascii="Arial" w:hAnsi="Arial"/>
                                  </w:rPr>
                                  <w:t>Suite 4545</w:t>
                                </w:r>
                              </w:p>
                              <w:p>
                                <w:pPr>
                                  <w:pStyle w:val="Normal"/>
                                  <w:rPr>
                                    <w:rFonts w:ascii="Arial" w:hAnsi="Arial" w:cs="Arial"/>
                                  </w:rPr>
                                </w:pPr>
                                <w:r>
                                  <w:rPr>
                                    <w:rFonts w:cs="Arial" w:ascii="Arial" w:hAnsi="Arial"/>
                                  </w:rPr>
                                  <w:t>Los Angeles, CA 90071</w:t>
                                </w:r>
                              </w:p>
                              <w:p>
                                <w:pPr>
                                  <w:pStyle w:val="Normal"/>
                                  <w:rPr>
                                    <w:rFonts w:ascii="Arial" w:hAnsi="Arial" w:cs="Arial"/>
                                  </w:rPr>
                                </w:pPr>
                                <w:r>
                                  <w:rPr>
                                    <w:rFonts w:cs="Arial" w:ascii="Arial" w:hAnsi="Arial"/>
                                  </w:rPr>
                                  <w:t>Tel: (213) 452-4881</w:t>
                                </w:r>
                              </w:p>
                              <w:p>
                                <w:pPr>
                                  <w:pStyle w:val="Normal"/>
                                  <w:rPr>
                                    <w:rFonts w:ascii="Arial" w:hAnsi="Arial" w:cs="Arial"/>
                                  </w:rPr>
                                </w:pPr>
                                <w:r>
                                  <w:rPr>
                                    <w:rFonts w:cs="Arial" w:ascii="Arial" w:hAnsi="Arial"/>
                                  </w:rPr>
                                  <w:t>Fax: (213) 452-4894</w:t>
                                </w:r>
                              </w:p>
                              <w:p>
                                <w:pPr>
                                  <w:pStyle w:val="Normal"/>
                                  <w:rPr>
                                    <w:rFonts w:ascii="Arial" w:hAnsi="Arial" w:cs="Arial"/>
                                  </w:rPr>
                                </w:pPr>
                                <w:r>
                                  <w:rPr>
                                    <w:rFonts w:cs="Arial" w:ascii="Arial" w:hAnsi="Arial"/>
                                  </w:rPr>
                                  <w:t>Adam.Umanoff@enron.com</w:t>
                                </w:r>
                              </w:p>
                              <w:p>
                                <w:pPr>
                                  <w:pStyle w:val="Normal"/>
                                  <w:rPr>
                                    <w:rFonts w:ascii="Arial" w:hAnsi="Arial" w:cs="Arial"/>
                                  </w:rPr>
                                </w:pPr>
                                <w:r>
                                  <w:rPr>
                                    <w:rFonts w:cs="Arial" w:ascii="Arial" w:hAnsi="Arial"/>
                                  </w:rPr>
                                  <w:t>www.wind.enron.com</w:t>
                                </w:r>
                              </w:p>
                            </w:txbxContent>
                          </wps:txbx>
                          <wps:bodyPr anchor="t" lIns="92075" tIns="46355" rIns="92075" bIns="46355">
                            <a:noAutofit/>
                          </wps:bodyPr>
                        </wps:wsp>
                      </a:graphicData>
                    </a:graphic>
                  </wp:anchor>
                </w:drawing>
              </mc:Choice>
              <mc:Fallback>
                <w:pict>
                  <v:rect fillcolor="#FFFFFF" style="position:absolute;rotation:-0;width:144pt;height:115.2pt;mso-wrap-distance-left:9.05pt;mso-wrap-distance-right:9.05pt;mso-wrap-distance-top:0pt;mso-wrap-distance-bottom:0pt;margin-top:-3.6pt;mso-position-vertical-relative:text;margin-left:338.4pt;mso-position-horizontal-relative:margin">
                    <v:fill opacity="0f"/>
                    <v:textbox inset="0.100694444444444in,0.0506944444444444in,0.100694444444444in,0.0506944444444444in">
                      <w:txbxContent>
                        <w:p>
                          <w:pPr>
                            <w:pStyle w:val="Normal"/>
                            <w:rPr>
                              <w:rFonts w:ascii="Arial" w:hAnsi="Arial" w:cs="Arial"/>
                              <w:b/>
                              <w:sz w:val="24"/>
                            </w:rPr>
                          </w:pPr>
                          <w:r>
                            <w:rPr>
                              <w:rFonts w:cs="Arial" w:ascii="Arial" w:hAnsi="Arial"/>
                              <w:b/>
                              <w:sz w:val="24"/>
                            </w:rPr>
                            <w:t>Enron Wind Corp.</w:t>
                          </w:r>
                        </w:p>
                        <w:p>
                          <w:pPr>
                            <w:pStyle w:val="Normal"/>
                            <w:rPr>
                              <w:rFonts w:ascii="Arial" w:hAnsi="Arial" w:cs="Arial"/>
                            </w:rPr>
                          </w:pPr>
                          <w:r>
                            <w:rPr>
                              <w:rFonts w:cs="Arial" w:ascii="Arial" w:hAnsi="Arial"/>
                            </w:rPr>
                            <w:t>444 S. Flower Street</w:t>
                          </w:r>
                        </w:p>
                        <w:p>
                          <w:pPr>
                            <w:pStyle w:val="Normal"/>
                            <w:rPr>
                              <w:rFonts w:ascii="Arial" w:hAnsi="Arial" w:cs="Arial"/>
                            </w:rPr>
                          </w:pPr>
                          <w:r>
                            <w:rPr>
                              <w:rFonts w:cs="Arial" w:ascii="Arial" w:hAnsi="Arial"/>
                            </w:rPr>
                            <w:t>Suite 4545</w:t>
                          </w:r>
                        </w:p>
                        <w:p>
                          <w:pPr>
                            <w:pStyle w:val="Normal"/>
                            <w:rPr>
                              <w:rFonts w:ascii="Arial" w:hAnsi="Arial" w:cs="Arial"/>
                            </w:rPr>
                          </w:pPr>
                          <w:r>
                            <w:rPr>
                              <w:rFonts w:cs="Arial" w:ascii="Arial" w:hAnsi="Arial"/>
                            </w:rPr>
                            <w:t>Los Angeles, CA 90071</w:t>
                          </w:r>
                        </w:p>
                        <w:p>
                          <w:pPr>
                            <w:pStyle w:val="Normal"/>
                            <w:rPr>
                              <w:rFonts w:ascii="Arial" w:hAnsi="Arial" w:cs="Arial"/>
                            </w:rPr>
                          </w:pPr>
                          <w:r>
                            <w:rPr>
                              <w:rFonts w:cs="Arial" w:ascii="Arial" w:hAnsi="Arial"/>
                            </w:rPr>
                            <w:t>Tel: (213) 452-4881</w:t>
                          </w:r>
                        </w:p>
                        <w:p>
                          <w:pPr>
                            <w:pStyle w:val="Normal"/>
                            <w:rPr>
                              <w:rFonts w:ascii="Arial" w:hAnsi="Arial" w:cs="Arial"/>
                            </w:rPr>
                          </w:pPr>
                          <w:r>
                            <w:rPr>
                              <w:rFonts w:cs="Arial" w:ascii="Arial" w:hAnsi="Arial"/>
                            </w:rPr>
                            <w:t>Fax: (213) 452-4894</w:t>
                          </w:r>
                        </w:p>
                        <w:p>
                          <w:pPr>
                            <w:pStyle w:val="Normal"/>
                            <w:rPr>
                              <w:rFonts w:ascii="Arial" w:hAnsi="Arial" w:cs="Arial"/>
                            </w:rPr>
                          </w:pPr>
                          <w:r>
                            <w:rPr>
                              <w:rFonts w:cs="Arial" w:ascii="Arial" w:hAnsi="Arial"/>
                            </w:rPr>
                            <w:t>Adam.Umanoff@enron.com</w:t>
                          </w:r>
                        </w:p>
                        <w:p>
                          <w:pPr>
                            <w:pStyle w:val="Normal"/>
                            <w:rPr>
                              <w:rFonts w:ascii="Arial" w:hAnsi="Arial" w:cs="Arial"/>
                            </w:rPr>
                          </w:pPr>
                          <w:r>
                            <w:rPr>
                              <w:rFonts w:cs="Arial" w:ascii="Arial" w:hAnsi="Arial"/>
                            </w:rPr>
                            <w:t>www.wind.enron.com</w:t>
                          </w:r>
                        </w:p>
                      </w:txbxContent>
                    </v:textbox>
                    <w10:wrap type="none"/>
                  </v:rect>
                </w:pict>
              </mc:Fallback>
            </mc:AlternateContent>
          </w:r>
        </w:p>
      </w:tc>
    </w:tr>
    <w:tr>
      <w:trPr>
        <w:trHeight w:val="1134" w:hRule="atLeast"/>
      </w:trPr>
      <w:tc>
        <w:tcPr>
          <w:tcW w:w="9828" w:type="dxa"/>
          <w:tcBorders/>
        </w:tcPr>
        <w:p>
          <w:pPr>
            <w:pStyle w:val="Heading"/>
            <w:pBdr>
              <w:top w:val="single" w:sz="18" w:space="7" w:color="000000"/>
              <w:bottom w:val="single" w:sz="18" w:space="7" w:color="000000"/>
            </w:pBdr>
            <w:rPr>
              <w:sz w:val="48"/>
            </w:rPr>
          </w:pPr>
          <w:r>
            <w:rPr>
              <w:sz w:val="48"/>
            </w:rPr>
            <w:t>MEMORANDUM</w:t>
          </w:r>
        </w:p>
        <w:p>
          <w:pPr>
            <w:pStyle w:val="Header"/>
            <w:rPr>
              <w:rFonts w:ascii="Arial" w:hAnsi="Arial" w:cs="Arial"/>
              <w:sz w:val="16"/>
            </w:rPr>
          </w:pPr>
          <w:r>
            <w:rPr>
              <w:rFonts w:cs="Arial" w:ascii="Arial" w:hAnsi="Arial"/>
              <w:sz w:val="16"/>
            </w:rPr>
          </w:r>
        </w:p>
      </w:tc>
    </w:tr>
  </w:tbl>
  <w:p>
    <w:pPr>
      <w:pStyle w:val="Header"/>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numFmt w:val="bullet"/>
      <w:lvlText w:val="-"/>
      <w:lvlJc w:val="start"/>
      <w:pPr>
        <w:tabs>
          <w:tab w:val="num" w:pos="1080"/>
        </w:tabs>
        <w:ind w:start="1080" w:hanging="360"/>
      </w:pPr>
      <w:rPr>
        <w:rFonts w:ascii="Times New Roman" w:hAnsi="Times New Roman" w:cs="Times New Roman" w:hint="default"/>
      </w:rPr>
    </w:lvl>
  </w:abstractNum>
  <w:abstractNum w:abstractNumId="4">
    <w:lvl w:ilvl="0">
      <w:numFmt w:val="bullet"/>
      <w:lvlText w:val="-"/>
      <w:lvlJc w:val="start"/>
      <w:pPr>
        <w:tabs>
          <w:tab w:val="num" w:pos="1080"/>
        </w:tabs>
        <w:ind w:start="10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tabs>
        <w:tab w:val="clear" w:pos="720"/>
        <w:tab w:val="left" w:pos="1440" w:leader="none"/>
      </w:tabs>
      <w:outlineLvl w:val="1"/>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4" w:space="1" w:color="000000"/>
        <w:bottom w:val="single" w:sz="4" w:space="1" w:color="000000"/>
      </w:pBdr>
      <w:jc w:val="center"/>
    </w:pPr>
    <w:rPr>
      <w:rFonts w:ascii="Arial" w:hAnsi="Arial" w:cs="Arial"/>
      <w:b/>
      <w:sz w:val="5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EWC Memo with Auto Fields</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2001-03-19T18:11:00Z</dcterms:created>
  <dc:creator>Melanie Curran</dc:creator>
  <dc:description/>
  <dc:language>en-CA</dc:language>
  <cp:lastModifiedBy>Adam Umanoff</cp:lastModifiedBy>
  <cp:lastPrinted>2001-03-18T07:57:00Z</cp:lastPrinted>
  <dcterms:modified xsi:type="dcterms:W3CDTF">2001-03-20T19:59:00Z</dcterms:modified>
  <cp:revision>8</cp:revision>
  <dc:subject/>
  <dc:title>MEMORANDUM</dc:title>
</cp:coreProperties>
</file>