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color w:val="000080"/>
        </w:rPr>
        <w:t>EU Consulting</w:t>
        <w:tab/>
        <w:tab/>
        <w:tab/>
        <w:tab/>
        <w:tab/>
        <w:tab/>
        <w:tab/>
        <w:tab/>
        <w:t xml:space="preserve">        </w:t>
      </w:r>
      <w:r>
        <w:rPr>
          <w:color w:val="000080"/>
          <w:sz w:val="20"/>
        </w:rPr>
        <w:t>April</w:t>
      </w:r>
      <w:r>
        <w:rPr>
          <w:color w:val="000080"/>
        </w:rPr>
        <w:t xml:space="preserve"> </w:t>
      </w:r>
      <w:r>
        <w:rPr>
          <w:color w:val="000080"/>
          <w:sz w:val="20"/>
        </w:rPr>
        <w:t>2001</w:t>
      </w:r>
    </w:p>
    <w:p>
      <w:pPr>
        <w:pStyle w:val="Heading3"/>
        <w:ind w:hanging="0" w:start="0"/>
        <w:rPr>
          <w:color w:val="000080"/>
        </w:rPr>
      </w:pPr>
      <w:r>
        <w:rPr>
          <w:color w:val="000080"/>
        </w:rPr>
        <w:t>Bognar Enterprises Inc.</w:t>
        <w:tab/>
        <w:tab/>
        <w:tab/>
        <w:tab/>
        <w:tab/>
        <w:tab/>
        <w:tab/>
        <w:t xml:space="preserve">       PROPOSAL</w:t>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pStyle w:val="Normal"/>
        <w:rPr>
          <w:b/>
          <w:bCs/>
          <w:i/>
          <w:i/>
          <w:iCs/>
          <w:color w:val="CC3300"/>
          <w:sz w:val="28"/>
        </w:rPr>
      </w:pPr>
      <w:r>
        <w:rPr>
          <w:b/>
          <w:bCs/>
          <w:i/>
          <w:iCs/>
          <w:color w:val="CC3300"/>
          <w:sz w:val="28"/>
        </w:rPr>
      </w:r>
    </w:p>
    <w:p>
      <w:pPr>
        <w:sectPr>
          <w:headerReference w:type="default" r:id="rId2"/>
          <w:headerReference w:type="first" r:id="rId3"/>
          <w:footerReference w:type="default" r:id="rId4"/>
          <w:footerReference w:type="first" r:id="rId5"/>
          <w:type w:val="nextPage"/>
          <w:pgSz w:w="11906" w:h="16838"/>
          <w:pgMar w:left="1418" w:right="1418" w:gutter="0" w:header="680" w:top="1134" w:footer="1077" w:bottom="1133"/>
          <w:pgNumType w:fmt="decimal"/>
          <w:formProt w:val="false"/>
          <w:titlePg/>
          <w:textDirection w:val="lrTb"/>
          <w:docGrid w:type="default" w:linePitch="360" w:charSpace="0"/>
        </w:sectPr>
      </w:pPr>
    </w:p>
    <w:p>
      <w:pPr>
        <w:pStyle w:val="Heading2"/>
        <w:ind w:hanging="0" w:start="0"/>
        <w:rPr>
          <w:sz w:val="48"/>
        </w:rPr>
      </w:pPr>
      <w:r>
        <w:rPr>
          <w:sz w:val="48"/>
        </w:rPr>
        <w:t xml:space="preserve"> </w:t>
      </w:r>
      <w:r>
        <w:rPr>
          <w:sz w:val="48"/>
        </w:rPr>
        <w:t>Multiclient Study</w:t>
      </w:r>
      <w:r>
        <mc:AlternateContent>
          <mc:Choice Requires="wps">
            <w:drawing>
              <wp:anchor behindDoc="0" distT="0" distB="0" distL="114935" distR="114935" simplePos="0" locked="0" layoutInCell="1" allowOverlap="1" relativeHeight="7">
                <wp:simplePos x="0" y="0"/>
                <wp:positionH relativeFrom="column">
                  <wp:posOffset>-186055</wp:posOffset>
                </wp:positionH>
                <wp:positionV relativeFrom="paragraph">
                  <wp:posOffset>751840</wp:posOffset>
                </wp:positionV>
                <wp:extent cx="6208395" cy="5082540"/>
                <wp:effectExtent l="0" t="0" r="0" b="0"/>
                <wp:wrapNone/>
                <wp:docPr id="2" name="Frame1"/>
                <a:graphic xmlns:a="http://schemas.openxmlformats.org/drawingml/2006/main">
                  <a:graphicData uri="http://schemas.microsoft.com/office/word/2010/wordprocessingShape">
                    <wps:wsp>
                      <wps:cNvSpPr txBox="1"/>
                      <wps:spPr>
                        <a:xfrm>
                          <a:off x="0" y="0"/>
                          <a:ext cx="6208395" cy="5082540"/>
                        </a:xfrm>
                        <a:prstGeom prst="rect"/>
                        <a:solidFill>
                          <a:srgbClr val="FFFFFF"/>
                        </a:solidFill>
                        <a:ln w="25400">
                          <a:solidFill>
                            <a:srgbClr val="000080"/>
                          </a:solidFill>
                        </a:ln>
                      </wps:spPr>
                      <wps:txbx>
                        <w:txbxContent>
                          <w:p>
                            <w:pPr>
                              <w:pStyle w:val="Normal"/>
                              <w:rPr/>
                            </w:pPr>
                            <w:r>
                              <w:rPr/>
                            </w:r>
                          </w:p>
                          <w:p>
                            <w:pPr>
                              <w:pStyle w:val="Normal"/>
                              <w:shd w:fill="FFFFFF" w:val="clear"/>
                              <w:rPr/>
                            </w:pPr>
                            <w:r>
                              <w:rPr/>
                            </w:r>
                          </w:p>
                          <w:p>
                            <w:pPr>
                              <w:pStyle w:val="Heading4"/>
                              <w:shd w:fill="FFFFFF" w:val="clear"/>
                              <w:ind w:hanging="0" w:start="0"/>
                              <w:rPr>
                                <w:color w:val="000080"/>
                                <w:sz w:val="110"/>
                              </w:rPr>
                            </w:pPr>
                            <w:r>
                              <w:rPr>
                                <w:color w:val="000080"/>
                                <w:sz w:val="110"/>
                              </w:rPr>
                            </w:r>
                          </w:p>
                          <w:p>
                            <w:pPr>
                              <w:pStyle w:val="Heading4"/>
                              <w:shd w:fill="FFFFFF" w:val="clear"/>
                              <w:ind w:hanging="0" w:start="0"/>
                              <w:rPr>
                                <w:color w:val="000080"/>
                                <w:sz w:val="110"/>
                              </w:rPr>
                            </w:pPr>
                            <w:r>
                              <w:rPr>
                                <w:color w:val="000080"/>
                                <w:sz w:val="110"/>
                              </w:rPr>
                              <w:t xml:space="preserve">Outlook for </w:t>
                            </w:r>
                          </w:p>
                          <w:p>
                            <w:pPr>
                              <w:pStyle w:val="Normal"/>
                              <w:shd w:fill="FFFFFF" w:val="clear"/>
                              <w:jc w:val="center"/>
                              <w:rPr>
                                <w:b/>
                                <w:color w:val="000080"/>
                                <w:sz w:val="110"/>
                              </w:rPr>
                            </w:pPr>
                            <w:r>
                              <w:rPr>
                                <w:b/>
                                <w:color w:val="000080"/>
                                <w:sz w:val="110"/>
                              </w:rPr>
                              <w:t xml:space="preserve">World Tissue </w:t>
                            </w:r>
                          </w:p>
                          <w:p>
                            <w:pPr>
                              <w:pStyle w:val="Heading5"/>
                              <w:shd w:fill="FFFFFF" w:val="clear"/>
                              <w:ind w:hanging="0" w:start="0"/>
                              <w:rPr>
                                <w:sz w:val="28"/>
                              </w:rPr>
                            </w:pPr>
                            <w:r>
                              <w:rPr>
                                <w:sz w:val="110"/>
                              </w:rPr>
                              <w:t>Business</w:t>
                            </w:r>
                          </w:p>
                          <w:p>
                            <w:pPr>
                              <w:pStyle w:val="Normal"/>
                              <w:shd w:fill="FFFFFF" w:val="clear"/>
                              <w:jc w:val="center"/>
                              <w:rPr>
                                <w:b/>
                                <w:sz w:val="28"/>
                              </w:rPr>
                            </w:pPr>
                            <w:r>
                              <w:rPr>
                                <w:b/>
                                <w:sz w:val="28"/>
                              </w:rPr>
                            </w:r>
                          </w:p>
                          <w:p>
                            <w:pPr>
                              <w:pStyle w:val="Heading6"/>
                              <w:shd w:fill="FFFFFF" w:val="clear"/>
                              <w:ind w:hanging="0" w:start="0"/>
                              <w:rPr>
                                <w:i/>
                                <w:i/>
                                <w:iCs/>
                                <w:sz w:val="48"/>
                              </w:rPr>
                            </w:pPr>
                            <w:r>
                              <w:rPr>
                                <w:i/>
                                <w:iCs/>
                                <w:sz w:val="48"/>
                              </w:rPr>
                              <w:t xml:space="preserve">Edition 2001 </w:t>
                            </w:r>
                          </w:p>
                          <w:p>
                            <w:pPr>
                              <w:pStyle w:val="Normal"/>
                              <w:shd w:fill="FFFFFF" w:val="clear"/>
                              <w:jc w:val="center"/>
                              <w:rPr>
                                <w:i/>
                                <w:i/>
                                <w:iCs/>
                                <w:sz w:val="48"/>
                              </w:rPr>
                            </w:pPr>
                            <w:r>
                              <w:rPr>
                                <w:i/>
                                <w:iCs/>
                                <w:sz w:val="48"/>
                              </w:rPr>
                            </w:r>
                          </w:p>
                        </w:txbxContent>
                      </wps:txbx>
                      <wps:bodyPr anchor="t" lIns="66040" tIns="20320" rIns="66040" bIns="20320">
                        <a:noAutofit/>
                      </wps:bodyPr>
                    </wps:wsp>
                  </a:graphicData>
                </a:graphic>
              </wp:anchor>
            </w:drawing>
          </mc:Choice>
          <mc:Fallback>
            <w:pict>
              <v:rect fillcolor="#FFFFFF" strokecolor="#000080" strokeweight="2pt" style="position:absolute;rotation:-0;width:488.85pt;height:400.2pt;mso-wrap-distance-left:9.05pt;mso-wrap-distance-right:9.05pt;mso-wrap-distance-top:0pt;mso-wrap-distance-bottom:0pt;margin-top:59.2pt;mso-position-vertical-relative:text;margin-left:-14.65pt;mso-position-horizontal-relative:text">
                <v:textbox inset="0.0722222222222222in,0.0222222222222222in,0.0722222222222222in,0.0222222222222222in">
                  <w:txbxContent>
                    <w:p>
                      <w:pPr>
                        <w:pStyle w:val="Normal"/>
                        <w:rPr/>
                      </w:pPr>
                      <w:r>
                        <w:rPr/>
                      </w:r>
                    </w:p>
                    <w:p>
                      <w:pPr>
                        <w:pStyle w:val="Normal"/>
                        <w:shd w:fill="FFFFFF" w:val="clear"/>
                        <w:rPr/>
                      </w:pPr>
                      <w:r>
                        <w:rPr/>
                      </w:r>
                    </w:p>
                    <w:p>
                      <w:pPr>
                        <w:pStyle w:val="Heading4"/>
                        <w:shd w:fill="FFFFFF" w:val="clear"/>
                        <w:ind w:hanging="0" w:start="0"/>
                        <w:rPr>
                          <w:color w:val="000080"/>
                          <w:sz w:val="110"/>
                        </w:rPr>
                      </w:pPr>
                      <w:r>
                        <w:rPr>
                          <w:color w:val="000080"/>
                          <w:sz w:val="110"/>
                        </w:rPr>
                      </w:r>
                    </w:p>
                    <w:p>
                      <w:pPr>
                        <w:pStyle w:val="Heading4"/>
                        <w:shd w:fill="FFFFFF" w:val="clear"/>
                        <w:ind w:hanging="0" w:start="0"/>
                        <w:rPr>
                          <w:color w:val="000080"/>
                          <w:sz w:val="110"/>
                        </w:rPr>
                      </w:pPr>
                      <w:r>
                        <w:rPr>
                          <w:color w:val="000080"/>
                          <w:sz w:val="110"/>
                        </w:rPr>
                        <w:t xml:space="preserve">Outlook for </w:t>
                      </w:r>
                    </w:p>
                    <w:p>
                      <w:pPr>
                        <w:pStyle w:val="Normal"/>
                        <w:shd w:fill="FFFFFF" w:val="clear"/>
                        <w:jc w:val="center"/>
                        <w:rPr>
                          <w:b/>
                          <w:color w:val="000080"/>
                          <w:sz w:val="110"/>
                        </w:rPr>
                      </w:pPr>
                      <w:r>
                        <w:rPr>
                          <w:b/>
                          <w:color w:val="000080"/>
                          <w:sz w:val="110"/>
                        </w:rPr>
                        <w:t xml:space="preserve">World Tissue </w:t>
                      </w:r>
                    </w:p>
                    <w:p>
                      <w:pPr>
                        <w:pStyle w:val="Heading5"/>
                        <w:shd w:fill="FFFFFF" w:val="clear"/>
                        <w:ind w:hanging="0" w:start="0"/>
                        <w:rPr>
                          <w:sz w:val="28"/>
                        </w:rPr>
                      </w:pPr>
                      <w:r>
                        <w:rPr>
                          <w:sz w:val="110"/>
                        </w:rPr>
                        <w:t>Business</w:t>
                      </w:r>
                    </w:p>
                    <w:p>
                      <w:pPr>
                        <w:pStyle w:val="Normal"/>
                        <w:shd w:fill="FFFFFF" w:val="clear"/>
                        <w:jc w:val="center"/>
                        <w:rPr>
                          <w:b/>
                          <w:sz w:val="28"/>
                        </w:rPr>
                      </w:pPr>
                      <w:r>
                        <w:rPr>
                          <w:b/>
                          <w:sz w:val="28"/>
                        </w:rPr>
                      </w:r>
                    </w:p>
                    <w:p>
                      <w:pPr>
                        <w:pStyle w:val="Heading6"/>
                        <w:shd w:fill="FFFFFF" w:val="clear"/>
                        <w:ind w:hanging="0" w:start="0"/>
                        <w:rPr>
                          <w:i/>
                          <w:i/>
                          <w:iCs/>
                          <w:sz w:val="48"/>
                        </w:rPr>
                      </w:pPr>
                      <w:r>
                        <w:rPr>
                          <w:i/>
                          <w:iCs/>
                          <w:sz w:val="48"/>
                        </w:rPr>
                        <w:t xml:space="preserve">Edition 2001 </w:t>
                      </w:r>
                    </w:p>
                    <w:p>
                      <w:pPr>
                        <w:pStyle w:val="Normal"/>
                        <w:shd w:fill="FFFFFF" w:val="clear"/>
                        <w:jc w:val="center"/>
                        <w:rPr>
                          <w:i/>
                          <w:i/>
                          <w:iCs/>
                          <w:sz w:val="48"/>
                        </w:rPr>
                      </w:pPr>
                      <w:r>
                        <w:rPr>
                          <w:i/>
                          <w:iCs/>
                          <w:sz w:val="48"/>
                        </w:rPr>
                      </w:r>
                    </w:p>
                  </w:txbxContent>
                </v:textbox>
                <w10:wrap type="none"/>
              </v:rect>
            </w:pict>
          </mc:Fallback>
        </mc:AlternateContent>
      </w:r>
    </w:p>
    <w:p>
      <w:pPr>
        <w:pStyle w:val="Normal"/>
        <w:rPr>
          <w:sz w:val="48"/>
        </w:rPr>
      </w:pPr>
      <w:r>
        <w:rPr>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418" w:right="1418" w:gutter="0" w:header="680" w:top="1134" w:footer="1077" w:bottom="1133"/>
          <w:formProt w:val="false"/>
          <w:titlePg/>
          <w:textDirection w:val="lrTb"/>
          <w:docGrid w:type="default" w:linePitch="360" w:charSpace="0"/>
        </w:sectPr>
      </w:pPr>
    </w:p>
    <w:p>
      <w:pPr>
        <w:pStyle w:val="Heading7"/>
        <w:ind w:hanging="0" w:start="0"/>
        <w:rPr/>
      </w:pPr>
      <w:r>
        <w:rPr/>
      </w:r>
    </w:p>
    <w:p>
      <w:pPr>
        <w:pStyle w:val="Heading7"/>
        <w:ind w:hanging="0" w:start="0"/>
        <w:rPr/>
      </w:pPr>
      <w:r>
        <w:rPr/>
        <w:t>WORLD TISSUE BUSINESS – INCREASINGLY COMPETITIVE AND DYNAMIC</w:t>
      </w:r>
    </w:p>
    <w:p>
      <w:pPr>
        <w:sectPr>
          <w:type w:val="continuous"/>
          <w:pgSz w:w="11906" w:h="16838"/>
          <w:pgMar w:left="1418" w:right="1134" w:gutter="0" w:header="680" w:top="1134" w:footer="1077" w:bottom="1133"/>
          <w:formProt w:val="false"/>
          <w:titlePg/>
          <w:textDirection w:val="lrTb"/>
          <w:docGrid w:type="default" w:linePitch="360" w:charSpace="0"/>
        </w:sectPr>
      </w:pPr>
    </w:p>
    <w:p>
      <w:pPr>
        <w:pStyle w:val="Heading7"/>
        <w:ind w:hanging="0" w:start="0"/>
        <w:rPr/>
      </w:pPr>
      <w:r>
        <w:rPr/>
      </w:r>
    </w:p>
    <w:p>
      <w:pPr>
        <w:pStyle w:val="Normal"/>
        <w:jc w:val="both"/>
        <w:rPr/>
      </w:pPr>
      <w:r>
        <w:rPr/>
        <w:t xml:space="preserve">There has been a considerable shake-up in the world tissue business in recent years: Industry consolidation has been rapid as several of the industry´s leaders have continued to pursue aggressive expansion policies; competition for market share has intensified as leading brands have been launched in new markets; product quality has been upgraded; and there has been increasing penetration of TAD products. Financial turmoil led to a dramatic cut in consumption in parts of Asia and Latin America, but recovery has been rapid and most countries are now back on a growth track.   </w:t>
      </w:r>
    </w:p>
    <w:p>
      <w:pPr>
        <w:pStyle w:val="Normal"/>
        <w:jc w:val="both"/>
        <w:rPr/>
      </w:pPr>
      <w:r>
        <w:rPr/>
      </w:r>
    </w:p>
    <w:p>
      <w:pPr>
        <w:pStyle w:val="Normal"/>
        <w:jc w:val="both"/>
        <w:rPr/>
      </w:pPr>
      <w:r>
        <w:rPr/>
        <w:t xml:space="preserve">It is three years since the publication (1997) of our previous global tissue business outlook report. Meanwhile the industry has continued to show how dynamic it is. Accordingly, we are preparing a totally new study with many improvements in its contents and data base. The new report described in this proposal is the third in the series started in 1994. Since then we have continuously improved our data files on the tissue industry and markets and completed a considerable number of consulting projects for the industry. We are therefore confident of preparing the best available research on global and regional tissue markets for our clients, with detailed forecasts and in-depth analyses of the demand outlook and competitive situation.   </w:t>
      </w:r>
    </w:p>
    <w:p>
      <w:pPr>
        <w:pStyle w:val="Normal"/>
        <w:jc w:val="both"/>
        <w:rPr/>
      </w:pPr>
      <w:r>
        <w:rPr/>
      </w:r>
    </w:p>
    <w:p>
      <w:pPr>
        <w:pStyle w:val="Heading8"/>
        <w:ind w:hanging="0" w:start="0"/>
        <w:rPr/>
      </w:pPr>
      <w:r>
        <w:rPr/>
        <w:t>STUDY OBJECTIVES</w:t>
      </w:r>
    </w:p>
    <w:p>
      <w:pPr>
        <w:pStyle w:val="Normal"/>
        <w:jc w:val="both"/>
        <w:rPr/>
      </w:pPr>
      <w:r>
        <w:rPr/>
      </w:r>
    </w:p>
    <w:p>
      <w:pPr>
        <w:pStyle w:val="Normal"/>
        <w:jc w:val="both"/>
        <w:rPr/>
      </w:pPr>
      <w:r>
        <w:rPr/>
        <w:t>The main aim of the study is to show the effects of changes in demand, product quality, industry structure and the competitive situation for the future of the tissue business in each world region. The more detailed objectives of the study are:</w:t>
      </w:r>
    </w:p>
    <w:p>
      <w:pPr>
        <w:pStyle w:val="Normal"/>
        <w:jc w:val="both"/>
        <w:rPr/>
      </w:pPr>
      <w:r>
        <w:rPr/>
      </w:r>
    </w:p>
    <w:p>
      <w:pPr>
        <w:pStyle w:val="Normal"/>
        <w:numPr>
          <w:ilvl w:val="0"/>
          <w:numId w:val="2"/>
        </w:numPr>
        <w:jc w:val="both"/>
        <w:rPr/>
      </w:pPr>
      <w:r>
        <w:rPr/>
        <w:t>To show recent trends in tissue consumption and production in different regions and main countries</w:t>
      </w:r>
    </w:p>
    <w:p>
      <w:pPr>
        <w:pStyle w:val="Normal"/>
        <w:ind w:start="300" w:end="0"/>
        <w:jc w:val="both"/>
        <w:rPr/>
      </w:pPr>
      <w:r>
        <w:rPr/>
      </w:r>
    </w:p>
    <w:p>
      <w:pPr>
        <w:pStyle w:val="Normal"/>
        <w:numPr>
          <w:ilvl w:val="0"/>
          <w:numId w:val="2"/>
        </w:numPr>
        <w:jc w:val="both"/>
        <w:rPr/>
      </w:pPr>
      <w:r>
        <w:rPr/>
        <w:t>To describe tissue market and product structures, the competitive situation, main players and their profiles by region and main country</w:t>
      </w:r>
    </w:p>
    <w:p>
      <w:pPr>
        <w:pStyle w:val="Normal"/>
        <w:jc w:val="both"/>
        <w:rPr/>
      </w:pPr>
      <w:r>
        <w:rPr/>
      </w:r>
    </w:p>
    <w:p>
      <w:pPr>
        <w:pStyle w:val="Normal"/>
        <w:numPr>
          <w:ilvl w:val="0"/>
          <w:numId w:val="2"/>
        </w:numPr>
        <w:jc w:val="both"/>
        <w:rPr/>
      </w:pPr>
      <w:r>
        <w:rPr/>
        <w:t>To analyse the main forces driving demand for tissue and present demand forecasts through 2010 by end-use segment (at-home vs. away-from-home) and product category in each of the main consuming countries</w:t>
      </w:r>
    </w:p>
    <w:p>
      <w:pPr>
        <w:pStyle w:val="Normal"/>
        <w:jc w:val="both"/>
        <w:rPr/>
      </w:pPr>
      <w:r>
        <w:rPr/>
      </w:r>
    </w:p>
    <w:p>
      <w:pPr>
        <w:pStyle w:val="Normal"/>
        <w:numPr>
          <w:ilvl w:val="0"/>
          <w:numId w:val="2"/>
        </w:numPr>
        <w:jc w:val="both"/>
        <w:rPr/>
      </w:pPr>
      <w:r>
        <w:rPr/>
        <w:t xml:space="preserve">To indicate the latest trends in quality (particularly TAD products) and strategic product positioning (brands vs. private labels)  in the main markets </w:t>
      </w:r>
    </w:p>
    <w:p>
      <w:pPr>
        <w:pStyle w:val="Normal"/>
        <w:jc w:val="both"/>
        <w:rPr/>
      </w:pPr>
      <w:r>
        <w:rPr/>
      </w:r>
    </w:p>
    <w:p>
      <w:pPr>
        <w:pStyle w:val="Normal"/>
        <w:numPr>
          <w:ilvl w:val="0"/>
          <w:numId w:val="2"/>
        </w:numPr>
        <w:jc w:val="both"/>
        <w:rPr/>
      </w:pPr>
      <w:r>
        <w:rPr/>
        <w:t>To identify existing tissue mills and their capacities throughout the world, recent capacity additions and ongoing projects by country. Analyse ownership links and degree of consolidation in the industry worldwide and by region</w:t>
      </w:r>
    </w:p>
    <w:p>
      <w:pPr>
        <w:pStyle w:val="Normal"/>
        <w:jc w:val="both"/>
        <w:rPr/>
      </w:pPr>
      <w:r>
        <w:rPr/>
      </w:r>
    </w:p>
    <w:p>
      <w:pPr>
        <w:pStyle w:val="Normal"/>
        <w:numPr>
          <w:ilvl w:val="0"/>
          <w:numId w:val="2"/>
        </w:numPr>
        <w:jc w:val="both"/>
        <w:rPr/>
      </w:pPr>
      <w:r>
        <w:rPr/>
        <w:t>Based on the above analyses, to present our forecasts of regional supply/demand outlook for tissue, leading to forecast of capacity utilisation rates for the industry</w:t>
      </w:r>
    </w:p>
    <w:p>
      <w:pPr>
        <w:pStyle w:val="Normal"/>
        <w:jc w:val="both"/>
        <w:rPr/>
      </w:pPr>
      <w:r>
        <w:rPr/>
      </w:r>
    </w:p>
    <w:p>
      <w:pPr>
        <w:pStyle w:val="Normal"/>
        <w:numPr>
          <w:ilvl w:val="0"/>
          <w:numId w:val="2"/>
        </w:numPr>
        <w:jc w:val="both"/>
        <w:rPr/>
      </w:pPr>
      <w:r>
        <w:rPr/>
        <w:t>To analyse ongoing trends in the raw material base of tissue manufacture and prepare forecasts of fibre furnish developments in the main producing regions</w:t>
      </w:r>
    </w:p>
    <w:p>
      <w:pPr>
        <w:pStyle w:val="Normal"/>
        <w:jc w:val="both"/>
        <w:rPr/>
      </w:pPr>
      <w:r>
        <w:rPr/>
      </w:r>
    </w:p>
    <w:p>
      <w:pPr>
        <w:pStyle w:val="Normal"/>
        <w:numPr>
          <w:ilvl w:val="0"/>
          <w:numId w:val="2"/>
        </w:numPr>
        <w:jc w:val="both"/>
        <w:rPr/>
      </w:pPr>
      <w:r>
        <w:rPr/>
        <w:t xml:space="preserve">To estimate the main tissue machine suppliers´ market shares  from 1990 to current orders  </w:t>
      </w:r>
    </w:p>
    <w:p>
      <w:pPr>
        <w:pStyle w:val="Normal"/>
        <w:jc w:val="both"/>
        <w:rPr/>
      </w:pPr>
      <w:r>
        <w:rPr/>
      </w:r>
    </w:p>
    <w:p>
      <w:pPr>
        <w:pStyle w:val="Heading8"/>
        <w:ind w:hanging="0" w:start="0"/>
        <w:rPr/>
      </w:pPr>
      <w:r>
        <w:rPr/>
        <w:t>STRUCTURE OF THE REPORT</w:t>
      </w:r>
    </w:p>
    <w:p>
      <w:pPr>
        <w:pStyle w:val="Normal"/>
        <w:jc w:val="both"/>
        <w:rPr/>
      </w:pPr>
      <w:r>
        <w:rPr/>
      </w:r>
    </w:p>
    <w:p>
      <w:pPr>
        <w:pStyle w:val="Textkrper2"/>
        <w:rPr>
          <w:sz w:val="24"/>
        </w:rPr>
      </w:pPr>
      <w:r>
        <w:rPr>
          <w:sz w:val="24"/>
        </w:rPr>
        <w:t>For this new report, we have adopted a regional approach instead of the subject approach used in our two earlier multiclient reports. We believe this change will help the reader better understand the main ongoing developments in each world region. There is also be a global review summarising the key regional trends and enabling comparison between regions. A separate section is dedicated to specific issues related to the tissue business. The report contains the following main sections:</w:t>
      </w:r>
    </w:p>
    <w:p>
      <w:pPr>
        <w:pStyle w:val="Normal"/>
        <w:jc w:val="both"/>
        <w:rPr>
          <w:sz w:val="24"/>
        </w:rPr>
      </w:pPr>
      <w:r>
        <w:rPr>
          <w:sz w:val="24"/>
        </w:rPr>
      </w:r>
    </w:p>
    <w:p>
      <w:pPr>
        <w:pStyle w:val="Normal"/>
        <w:jc w:val="both"/>
        <w:rPr>
          <w:b/>
          <w:bCs/>
          <w:sz w:val="22"/>
        </w:rPr>
      </w:pPr>
      <w:r>
        <w:rPr>
          <w:b/>
          <w:bCs/>
          <w:sz w:val="22"/>
        </w:rPr>
        <w:t>I</w:t>
        <w:tab/>
        <w:t>Introduction</w:t>
      </w:r>
    </w:p>
    <w:p>
      <w:pPr>
        <w:pStyle w:val="Normal"/>
        <w:jc w:val="both"/>
        <w:rPr>
          <w:b/>
          <w:bCs/>
          <w:sz w:val="22"/>
        </w:rPr>
      </w:pPr>
      <w:r>
        <w:rPr>
          <w:b/>
          <w:bCs/>
          <w:sz w:val="22"/>
        </w:rPr>
        <w:t>II</w:t>
        <w:tab/>
        <w:t>Global Overview of Tissue Business Developments</w:t>
      </w:r>
    </w:p>
    <w:p>
      <w:pPr>
        <w:pStyle w:val="Normal"/>
        <w:jc w:val="both"/>
        <w:rPr>
          <w:b/>
          <w:bCs/>
          <w:sz w:val="22"/>
        </w:rPr>
      </w:pPr>
      <w:r>
        <w:rPr>
          <w:b/>
          <w:bCs/>
          <w:sz w:val="22"/>
        </w:rPr>
        <w:t>III</w:t>
        <w:tab/>
        <w:t>Tissue Business in North America</w:t>
      </w:r>
    </w:p>
    <w:p>
      <w:pPr>
        <w:pStyle w:val="Normal"/>
        <w:jc w:val="both"/>
        <w:rPr>
          <w:b/>
          <w:bCs/>
          <w:sz w:val="22"/>
        </w:rPr>
      </w:pPr>
      <w:r>
        <w:rPr>
          <w:b/>
          <w:bCs/>
          <w:sz w:val="22"/>
        </w:rPr>
        <w:t>IV</w:t>
        <w:tab/>
        <w:t>Tissue Business in Western Europe</w:t>
      </w:r>
    </w:p>
    <w:p>
      <w:pPr>
        <w:pStyle w:val="Normal"/>
        <w:jc w:val="both"/>
        <w:rPr>
          <w:b/>
          <w:bCs/>
          <w:sz w:val="22"/>
        </w:rPr>
      </w:pPr>
      <w:r>
        <w:rPr>
          <w:b/>
          <w:bCs/>
          <w:sz w:val="22"/>
        </w:rPr>
        <w:t>V</w:t>
        <w:tab/>
        <w:t>Tissue Business in Eastern Europe</w:t>
      </w:r>
    </w:p>
    <w:p>
      <w:pPr>
        <w:pStyle w:val="Normal"/>
        <w:jc w:val="both"/>
        <w:rPr>
          <w:b/>
          <w:bCs/>
          <w:sz w:val="22"/>
        </w:rPr>
      </w:pPr>
      <w:r>
        <w:rPr>
          <w:b/>
          <w:bCs/>
          <w:sz w:val="22"/>
        </w:rPr>
        <w:t>VI</w:t>
        <w:tab/>
        <w:t>Tissue Business in Latin America</w:t>
      </w:r>
    </w:p>
    <w:p>
      <w:pPr>
        <w:pStyle w:val="Normal"/>
        <w:jc w:val="both"/>
        <w:rPr>
          <w:b/>
          <w:bCs/>
          <w:sz w:val="22"/>
        </w:rPr>
      </w:pPr>
      <w:r>
        <w:rPr>
          <w:b/>
          <w:bCs/>
          <w:sz w:val="22"/>
        </w:rPr>
        <w:t>VII</w:t>
        <w:tab/>
        <w:t>Tissue Business in the Near and Middle East</w:t>
      </w:r>
    </w:p>
    <w:p>
      <w:pPr>
        <w:pStyle w:val="Normal"/>
        <w:jc w:val="both"/>
        <w:rPr>
          <w:b/>
          <w:bCs/>
          <w:sz w:val="22"/>
        </w:rPr>
      </w:pPr>
      <w:r>
        <w:rPr>
          <w:b/>
          <w:bCs/>
          <w:sz w:val="22"/>
        </w:rPr>
        <w:t>VIII</w:t>
        <w:tab/>
        <w:t>Tissue Business in Japan</w:t>
      </w:r>
    </w:p>
    <w:p>
      <w:pPr>
        <w:pStyle w:val="Normal"/>
        <w:jc w:val="both"/>
        <w:rPr>
          <w:b/>
          <w:bCs/>
          <w:sz w:val="22"/>
        </w:rPr>
      </w:pPr>
      <w:r>
        <w:rPr>
          <w:b/>
          <w:bCs/>
          <w:sz w:val="22"/>
        </w:rPr>
        <w:t>IX</w:t>
        <w:tab/>
        <w:t>Tissue Business in China and Asia Far East</w:t>
      </w:r>
    </w:p>
    <w:p>
      <w:pPr>
        <w:pStyle w:val="Normal"/>
        <w:jc w:val="both"/>
        <w:rPr>
          <w:b/>
          <w:bCs/>
          <w:sz w:val="22"/>
        </w:rPr>
      </w:pPr>
      <w:r>
        <w:rPr>
          <w:b/>
          <w:bCs/>
          <w:sz w:val="22"/>
        </w:rPr>
        <w:t>X</w:t>
        <w:tab/>
        <w:t>Tissue Business in Oceania</w:t>
      </w:r>
    </w:p>
    <w:p>
      <w:pPr>
        <w:pStyle w:val="Normal"/>
        <w:jc w:val="both"/>
        <w:rPr>
          <w:b/>
          <w:bCs/>
          <w:sz w:val="22"/>
        </w:rPr>
      </w:pPr>
      <w:r>
        <w:rPr>
          <w:b/>
          <w:bCs/>
          <w:sz w:val="22"/>
        </w:rPr>
        <w:t>XI</w:t>
        <w:tab/>
        <w:t>Tissue Business in Africa</w:t>
      </w:r>
    </w:p>
    <w:p>
      <w:pPr>
        <w:pStyle w:val="Normal"/>
        <w:jc w:val="both"/>
        <w:rPr>
          <w:b/>
          <w:bCs/>
          <w:sz w:val="22"/>
        </w:rPr>
      </w:pPr>
      <w:r>
        <w:rPr>
          <w:b/>
          <w:bCs/>
          <w:sz w:val="22"/>
        </w:rPr>
        <w:t>XII</w:t>
        <w:tab/>
        <w:t>Specific Issues  Related to the Tissue Business</w:t>
      </w:r>
    </w:p>
    <w:p>
      <w:pPr>
        <w:pStyle w:val="Normal"/>
        <w:jc w:val="both"/>
        <w:rPr>
          <w:b/>
          <w:bCs/>
          <w:sz w:val="22"/>
        </w:rPr>
      </w:pPr>
      <w:r>
        <w:rPr>
          <w:b/>
          <w:bCs/>
          <w:sz w:val="22"/>
        </w:rPr>
      </w:r>
    </w:p>
    <w:p>
      <w:pPr>
        <w:pStyle w:val="Heading8"/>
        <w:ind w:hanging="0" w:start="0"/>
        <w:rPr/>
      </w:pPr>
      <w:r>
        <w:rPr/>
        <w:t>CONTENTS OF THE SECTIONS</w:t>
      </w:r>
    </w:p>
    <w:p>
      <w:pPr>
        <w:pStyle w:val="Normal"/>
        <w:rPr>
          <w:sz w:val="22"/>
        </w:rPr>
      </w:pPr>
      <w:r>
        <w:rPr>
          <w:sz w:val="22"/>
        </w:rPr>
      </w:r>
    </w:p>
    <w:p>
      <w:pPr>
        <w:pStyle w:val="BodyText"/>
        <w:rPr>
          <w:sz w:val="22"/>
        </w:rPr>
      </w:pPr>
      <w:r>
        <w:rPr>
          <w:sz w:val="22"/>
        </w:rPr>
        <w:t>Sections II to XI follow the same structure but the depth of the analysis will be adapted to the importance of the region and availability of information. The contents of  the individual report sections are:</w:t>
      </w:r>
    </w:p>
    <w:p>
      <w:pPr>
        <w:pStyle w:val="BodyText"/>
        <w:rPr>
          <w:sz w:val="22"/>
        </w:rPr>
      </w:pPr>
      <w:r>
        <w:rPr>
          <w:sz w:val="22"/>
        </w:rPr>
      </w:r>
    </w:p>
    <w:p>
      <w:pPr>
        <w:sectPr>
          <w:type w:val="continuous"/>
          <w:pgSz w:w="11906" w:h="16838"/>
          <w:pgMar w:left="1418" w:right="1134" w:gutter="0" w:header="680" w:top="1134" w:footer="1077" w:bottom="1133"/>
          <w:formProt w:val="false"/>
          <w:titlePg/>
          <w:textDirection w:val="lrTb"/>
          <w:docGrid w:type="default" w:linePitch="360" w:charSpace="0"/>
        </w:sectPr>
      </w:pPr>
    </w:p>
    <w:p>
      <w:pPr>
        <w:pStyle w:val="BodyText"/>
        <w:rPr>
          <w:b/>
          <w:bCs/>
        </w:rPr>
      </w:pPr>
      <w:r>
        <w:rPr>
          <w:b/>
          <w:bCs/>
        </w:rPr>
        <w:t>DEMAND OUTLOOK</w:t>
      </w:r>
    </w:p>
    <w:p>
      <w:pPr>
        <w:pStyle w:val="BodyText"/>
        <w:rPr>
          <w:sz w:val="20"/>
        </w:rPr>
      </w:pPr>
      <w:r>
        <w:rPr>
          <w:sz w:val="20"/>
        </w:rPr>
      </w:r>
    </w:p>
    <w:p>
      <w:pPr>
        <w:pStyle w:val="BodyText"/>
        <w:rPr>
          <w:sz w:val="20"/>
        </w:rPr>
      </w:pPr>
      <w:r>
        <w:rPr>
          <w:sz w:val="20"/>
        </w:rPr>
        <w:t xml:space="preserve">* Recent consumption trends </w:t>
      </w:r>
    </w:p>
    <w:p>
      <w:pPr>
        <w:pStyle w:val="BodyText"/>
        <w:rPr>
          <w:sz w:val="20"/>
        </w:rPr>
      </w:pPr>
      <w:r>
        <w:rPr>
          <w:sz w:val="20"/>
        </w:rPr>
        <w:t>* Development of per capita consumption</w:t>
      </w:r>
    </w:p>
    <w:p>
      <w:pPr>
        <w:pStyle w:val="BodyText"/>
        <w:rPr>
          <w:sz w:val="20"/>
        </w:rPr>
      </w:pPr>
      <w:r>
        <w:rPr>
          <w:sz w:val="20"/>
        </w:rPr>
        <w:t>* Consumption trends in at-home and AfH sectors</w:t>
      </w:r>
    </w:p>
    <w:p>
      <w:pPr>
        <w:pStyle w:val="BodyText"/>
        <w:rPr>
          <w:sz w:val="20"/>
        </w:rPr>
      </w:pPr>
      <w:r>
        <w:rPr>
          <w:sz w:val="20"/>
        </w:rPr>
        <w:t>* Consumption trends by product category</w:t>
      </w:r>
    </w:p>
    <w:p>
      <w:pPr>
        <w:pStyle w:val="BodyText"/>
        <w:rPr>
          <w:sz w:val="20"/>
        </w:rPr>
      </w:pPr>
      <w:r>
        <w:rPr>
          <w:sz w:val="20"/>
        </w:rPr>
        <w:t>* Future driving forces for demand</w:t>
      </w:r>
    </w:p>
    <w:p>
      <w:pPr>
        <w:pStyle w:val="BodyText"/>
        <w:rPr>
          <w:sz w:val="20"/>
        </w:rPr>
      </w:pPr>
      <w:r>
        <w:rPr>
          <w:sz w:val="20"/>
        </w:rPr>
        <w:t>* Demand forecasts by country up to 2010</w:t>
      </w:r>
    </w:p>
    <w:p>
      <w:pPr>
        <w:pStyle w:val="BodyText"/>
        <w:rPr>
          <w:sz w:val="20"/>
        </w:rPr>
      </w:pPr>
      <w:r>
        <w:rPr>
          <w:sz w:val="20"/>
        </w:rPr>
        <w:t>* Forecasts by business sector and product category</w:t>
      </w:r>
    </w:p>
    <w:p>
      <w:pPr>
        <w:pStyle w:val="BodyText"/>
        <w:rPr>
          <w:sz w:val="20"/>
        </w:rPr>
      </w:pPr>
      <w:r>
        <w:rPr>
          <w:sz w:val="20"/>
        </w:rPr>
      </w:r>
    </w:p>
    <w:p>
      <w:pPr>
        <w:pStyle w:val="BodyText"/>
        <w:rPr>
          <w:sz w:val="20"/>
        </w:rPr>
      </w:pPr>
      <w:r>
        <w:rPr>
          <w:b/>
          <w:bCs/>
        </w:rPr>
        <w:t>COMPETITION AND MAIN PLAYERS</w:t>
      </w:r>
    </w:p>
    <w:p>
      <w:pPr>
        <w:pStyle w:val="BodyText"/>
        <w:rPr>
          <w:sz w:val="20"/>
        </w:rPr>
      </w:pPr>
      <w:r>
        <w:rPr>
          <w:sz w:val="20"/>
        </w:rPr>
      </w:r>
    </w:p>
    <w:p>
      <w:pPr>
        <w:pStyle w:val="BodyText"/>
        <w:rPr>
          <w:sz w:val="20"/>
        </w:rPr>
      </w:pPr>
      <w:r>
        <w:rPr>
          <w:sz w:val="20"/>
        </w:rPr>
        <w:t>* Description of the competitive structure</w:t>
      </w:r>
    </w:p>
    <w:p>
      <w:pPr>
        <w:pStyle w:val="BodyText"/>
        <w:rPr>
          <w:sz w:val="20"/>
        </w:rPr>
      </w:pPr>
      <w:r>
        <w:rPr>
          <w:sz w:val="20"/>
        </w:rPr>
        <w:t>* Detailed analysis of capacity by country</w:t>
      </w:r>
    </w:p>
    <w:p>
      <w:pPr>
        <w:pStyle w:val="BodyText"/>
        <w:rPr>
          <w:sz w:val="20"/>
        </w:rPr>
      </w:pPr>
      <w:r>
        <w:rPr>
          <w:sz w:val="20"/>
        </w:rPr>
        <w:t>* Recent mergers, acquisitions and other changes</w:t>
      </w:r>
    </w:p>
    <w:p>
      <w:pPr>
        <w:pStyle w:val="BodyText"/>
        <w:rPr>
          <w:sz w:val="20"/>
        </w:rPr>
      </w:pPr>
      <w:r>
        <w:rPr>
          <w:sz w:val="20"/>
        </w:rPr>
        <w:t>* Main players and their capacity profiles</w:t>
      </w:r>
    </w:p>
    <w:p>
      <w:pPr>
        <w:pStyle w:val="BodyText"/>
        <w:rPr>
          <w:sz w:val="20"/>
        </w:rPr>
      </w:pPr>
      <w:r>
        <w:rPr>
          <w:sz w:val="20"/>
        </w:rPr>
        <w:t>* Consolidation degree of the tissue industry</w:t>
      </w:r>
    </w:p>
    <w:p>
      <w:pPr>
        <w:pStyle w:val="BodyText"/>
        <w:rPr>
          <w:sz w:val="20"/>
        </w:rPr>
      </w:pPr>
      <w:r>
        <w:rPr>
          <w:sz w:val="20"/>
        </w:rPr>
      </w:r>
    </w:p>
    <w:p>
      <w:pPr>
        <w:pStyle w:val="BodyText"/>
        <w:rPr>
          <w:sz w:val="20"/>
        </w:rPr>
      </w:pPr>
      <w:r>
        <w:rPr>
          <w:b/>
          <w:bCs/>
        </w:rPr>
        <w:t>SUPPLY/DEMAND OUTLOOK</w:t>
      </w:r>
    </w:p>
    <w:p>
      <w:pPr>
        <w:pStyle w:val="BodyText"/>
        <w:rPr>
          <w:sz w:val="20"/>
        </w:rPr>
      </w:pPr>
      <w:r>
        <w:rPr>
          <w:sz w:val="20"/>
        </w:rPr>
      </w:r>
    </w:p>
    <w:p>
      <w:pPr>
        <w:pStyle w:val="BodyText"/>
        <w:rPr>
          <w:sz w:val="20"/>
        </w:rPr>
      </w:pPr>
      <w:r>
        <w:rPr>
          <w:sz w:val="20"/>
        </w:rPr>
        <w:t xml:space="preserve">* Recent production trends </w:t>
      </w:r>
    </w:p>
    <w:p>
      <w:pPr>
        <w:pStyle w:val="BodyText"/>
        <w:rPr>
          <w:sz w:val="20"/>
        </w:rPr>
      </w:pPr>
      <w:r>
        <w:rPr>
          <w:sz w:val="20"/>
        </w:rPr>
        <w:t xml:space="preserve">* Net trade developments </w:t>
      </w:r>
    </w:p>
    <w:p>
      <w:pPr>
        <w:pStyle w:val="BodyText"/>
        <w:rPr>
          <w:sz w:val="20"/>
        </w:rPr>
      </w:pPr>
      <w:r>
        <w:rPr>
          <w:sz w:val="20"/>
        </w:rPr>
        <w:t>* Main trade flows, exporters and importers</w:t>
      </w:r>
    </w:p>
    <w:p>
      <w:pPr>
        <w:pStyle w:val="BodyText"/>
        <w:rPr>
          <w:sz w:val="20"/>
        </w:rPr>
      </w:pPr>
      <w:r>
        <w:rPr>
          <w:sz w:val="20"/>
        </w:rPr>
        <w:t xml:space="preserve">* Main recent capacity changes </w:t>
      </w:r>
    </w:p>
    <w:p>
      <w:pPr>
        <w:pStyle w:val="BodyText"/>
        <w:rPr>
          <w:sz w:val="20"/>
        </w:rPr>
      </w:pPr>
      <w:r>
        <w:rPr>
          <w:sz w:val="20"/>
        </w:rPr>
        <w:t>* Announced new projects, rebuilds and closures</w:t>
      </w:r>
    </w:p>
    <w:p>
      <w:pPr>
        <w:pStyle w:val="BodyText"/>
        <w:rPr>
          <w:sz w:val="20"/>
        </w:rPr>
      </w:pPr>
      <w:r>
        <w:rPr>
          <w:sz w:val="20"/>
        </w:rPr>
        <w:t>* Future demand/supply outlook</w:t>
      </w:r>
    </w:p>
    <w:p>
      <w:pPr>
        <w:pStyle w:val="BodyText"/>
        <w:rPr>
          <w:sz w:val="20"/>
        </w:rPr>
      </w:pPr>
      <w:r>
        <w:rPr>
          <w:sz w:val="20"/>
        </w:rPr>
        <w:t>* Forecast of tissue capacity utilisation rate to 2003</w:t>
      </w:r>
    </w:p>
    <w:p>
      <w:pPr>
        <w:pStyle w:val="BodyText"/>
        <w:rPr>
          <w:sz w:val="20"/>
        </w:rPr>
      </w:pPr>
      <w:r>
        <w:rPr>
          <w:sz w:val="20"/>
        </w:rPr>
      </w:r>
    </w:p>
    <w:p>
      <w:pPr>
        <w:pStyle w:val="BodyText"/>
        <w:rPr>
          <w:sz w:val="20"/>
        </w:rPr>
      </w:pPr>
      <w:r>
        <w:rPr>
          <w:b/>
          <w:bCs/>
        </w:rPr>
        <w:t>SPECIFIC ISSUES RELATED TO THE TISSUE BUSINESS</w:t>
      </w:r>
    </w:p>
    <w:p>
      <w:pPr>
        <w:pStyle w:val="BodyText"/>
        <w:rPr>
          <w:sz w:val="20"/>
        </w:rPr>
      </w:pPr>
      <w:r>
        <w:rPr>
          <w:sz w:val="20"/>
        </w:rPr>
      </w:r>
    </w:p>
    <w:p>
      <w:pPr>
        <w:pStyle w:val="BodyText"/>
        <w:rPr>
          <w:sz w:val="20"/>
        </w:rPr>
      </w:pPr>
      <w:r>
        <w:rPr>
          <w:sz w:val="20"/>
        </w:rPr>
        <w:t>* Effects of changing retailing structures</w:t>
      </w:r>
    </w:p>
    <w:p>
      <w:pPr>
        <w:pStyle w:val="BodyText"/>
        <w:rPr>
          <w:sz w:val="20"/>
        </w:rPr>
      </w:pPr>
      <w:r>
        <w:rPr>
          <w:sz w:val="20"/>
        </w:rPr>
        <w:t>* Quality issues (trends, role of TAD, TissueFlex)</w:t>
      </w:r>
    </w:p>
    <w:p>
      <w:pPr>
        <w:pStyle w:val="BodyText"/>
        <w:rPr>
          <w:sz w:val="20"/>
        </w:rPr>
      </w:pPr>
      <w:r>
        <w:rPr>
          <w:sz w:val="20"/>
        </w:rPr>
        <w:t>* Fibre furnish developments in tissue manufacture</w:t>
      </w:r>
    </w:p>
    <w:p>
      <w:pPr>
        <w:pStyle w:val="BodyText"/>
        <w:rPr>
          <w:sz w:val="20"/>
        </w:rPr>
      </w:pPr>
      <w:r>
        <w:rPr>
          <w:sz w:val="20"/>
        </w:rPr>
        <w:t>* Potential for further consolidation and mergers</w:t>
      </w:r>
    </w:p>
    <w:p>
      <w:pPr>
        <w:pStyle w:val="BodyText"/>
        <w:rPr>
          <w:sz w:val="20"/>
        </w:rPr>
      </w:pPr>
      <w:r>
        <w:rPr>
          <w:sz w:val="20"/>
        </w:rPr>
        <w:t xml:space="preserve">* Market shares of tissue machine suppliers  </w:t>
      </w:r>
    </w:p>
    <w:p>
      <w:pPr>
        <w:sectPr>
          <w:type w:val="continuous"/>
          <w:pgSz w:w="11906" w:h="16838"/>
          <w:pgMar w:left="1418" w:right="1134" w:gutter="0" w:header="680" w:top="1134" w:footer="1077" w:bottom="1133"/>
          <w:cols w:num="2" w:space="708" w:equalWidth="true" w:sep="false"/>
          <w:formProt w:val="false"/>
          <w:titlePg/>
          <w:textDirection w:val="lrTb"/>
          <w:docGrid w:type="default" w:linePitch="360" w:charSpace="0"/>
        </w:sectPr>
      </w:pPr>
    </w:p>
    <w:p>
      <w:pPr>
        <w:pStyle w:val="BodyText"/>
        <w:rPr>
          <w:b/>
          <w:sz w:val="20"/>
        </w:rPr>
      </w:pPr>
      <w:r>
        <w:rPr>
          <w:b/>
          <w:sz w:val="20"/>
        </w:rPr>
      </w:r>
    </w:p>
    <w:p>
      <w:pPr>
        <w:pStyle w:val="BodyText"/>
        <w:rPr>
          <w:b/>
        </w:rPr>
      </w:pPr>
      <w:r>
        <w:rPr>
          <w:b/>
        </w:rPr>
        <w:t>PRESENTATION OF THE REPORT</w:t>
      </w:r>
    </w:p>
    <w:p>
      <w:pPr>
        <w:pStyle w:val="BodyText"/>
        <w:rPr>
          <w:b/>
        </w:rPr>
      </w:pPr>
      <w:r>
        <w:rPr>
          <w:b/>
        </w:rPr>
      </w:r>
    </w:p>
    <w:p>
      <w:pPr>
        <w:pStyle w:val="BodyText"/>
        <w:rPr>
          <w:bCs/>
          <w:sz w:val="22"/>
        </w:rPr>
      </w:pPr>
      <w:r>
        <w:rPr>
          <w:bCs/>
          <w:sz w:val="22"/>
        </w:rPr>
        <w:t xml:space="preserve">The report contains more than 300 pages of text and annexes, all placed in a hardcover folder for convenient use. Text is fully supported by four-colour graphics. A comprehensive listing of world tissue mills is presented  as an annex. </w:t>
      </w:r>
    </w:p>
    <w:p>
      <w:pPr>
        <w:pStyle w:val="BodyText"/>
        <w:rPr>
          <w:b/>
          <w:bCs/>
          <w:sz w:val="22"/>
        </w:rPr>
      </w:pPr>
      <w:r>
        <w:rPr>
          <w:b/>
          <w:bCs/>
          <w:sz w:val="22"/>
        </w:rPr>
      </w:r>
    </w:p>
    <w:p>
      <w:pPr>
        <w:pStyle w:val="BodyText"/>
        <w:rPr>
          <w:b/>
          <w:bCs/>
        </w:rPr>
      </w:pPr>
      <w:r>
        <w:rPr>
          <w:b/>
          <w:bCs/>
        </w:rPr>
      </w:r>
    </w:p>
    <w:p>
      <w:pPr>
        <w:pStyle w:val="BodyText"/>
        <w:rPr>
          <w:b/>
          <w:bCs/>
        </w:rPr>
      </w:pPr>
      <w:r>
        <w:rPr>
          <w:b/>
          <w:bCs/>
        </w:rPr>
        <w:t>UPDATING</w:t>
      </w:r>
    </w:p>
    <w:p>
      <w:pPr>
        <w:pStyle w:val="BodyText"/>
        <w:rPr>
          <w:b/>
          <w:bCs/>
          <w:sz w:val="20"/>
        </w:rPr>
      </w:pPr>
      <w:r>
        <w:rPr>
          <w:b/>
          <w:bCs/>
          <w:sz w:val="20"/>
        </w:rPr>
      </w:r>
    </w:p>
    <w:p>
      <w:pPr>
        <w:pStyle w:val="BodyText"/>
        <w:rPr>
          <w:sz w:val="22"/>
        </w:rPr>
      </w:pPr>
      <w:r>
        <w:rPr>
          <w:sz w:val="22"/>
        </w:rPr>
        <w:t>To ensure the usefulness of the report over a longer period, we will offer updatings of main changes, such as project lists and demand/supply balances at regular intervals. We are also planning to establish service pages on the Internet for our clients during 2001.</w:t>
      </w:r>
    </w:p>
    <w:p>
      <w:pPr>
        <w:sectPr>
          <w:type w:val="continuous"/>
          <w:pgSz w:w="11906" w:h="16838"/>
          <w:pgMar w:left="1418" w:right="1134" w:gutter="0" w:header="680" w:top="1134" w:footer="1077" w:bottom="1133"/>
          <w:cols w:num="2" w:space="708" w:equalWidth="true" w:sep="false"/>
          <w:formProt w:val="false"/>
          <w:titlePg/>
          <w:textDirection w:val="lrTb"/>
          <w:docGrid w:type="default" w:linePitch="360" w:charSpace="0"/>
        </w:sectPr>
      </w:pPr>
    </w:p>
    <w:p>
      <w:pPr>
        <w:pStyle w:val="BodyText"/>
        <w:rPr>
          <w:b/>
          <w:bCs/>
          <w:sz w:val="22"/>
        </w:rPr>
      </w:pPr>
      <w:r>
        <w:rPr>
          <w:b/>
          <w:bCs/>
          <w:sz w:val="22"/>
        </w:rPr>
      </w:r>
    </w:p>
    <w:p>
      <w:pPr>
        <w:pStyle w:val="BodyText"/>
        <w:rPr>
          <w:b/>
          <w:bCs/>
        </w:rPr>
      </w:pPr>
      <w:r>
        <w:rPr>
          <w:b/>
          <w:bCs/>
        </w:rPr>
      </w:r>
    </w:p>
    <w:p>
      <w:pPr>
        <w:pStyle w:val="BodyText"/>
        <w:rPr>
          <w:b/>
          <w:bCs/>
          <w:sz w:val="20"/>
        </w:rPr>
      </w:pPr>
      <w:r>
        <w:rPr>
          <w:b/>
          <w:bCs/>
        </w:rPr>
        <w:t xml:space="preserve">GEOGRAPHICAL COVERAGE   </w:t>
      </w:r>
    </w:p>
    <w:p>
      <w:pPr>
        <w:sectPr>
          <w:type w:val="continuous"/>
          <w:pgSz w:w="11906" w:h="16838"/>
          <w:pgMar w:left="1418" w:right="1134" w:gutter="0" w:header="680" w:top="1134" w:footer="1077" w:bottom="1133"/>
          <w:formProt w:val="false"/>
          <w:titlePg/>
          <w:textDirection w:val="lrTb"/>
          <w:docGrid w:type="default" w:linePitch="360" w:charSpace="0"/>
        </w:sectPr>
      </w:pPr>
    </w:p>
    <w:p>
      <w:pPr>
        <w:pStyle w:val="BodyText"/>
        <w:rPr>
          <w:b/>
          <w:bCs/>
          <w:sz w:val="20"/>
        </w:rPr>
      </w:pPr>
      <w:r>
        <w:rPr>
          <w:b/>
          <w:bCs/>
          <w:sz w:val="20"/>
        </w:rPr>
      </w:r>
    </w:p>
    <w:p>
      <w:pPr>
        <w:pStyle w:val="BodyText"/>
        <w:rPr>
          <w:sz w:val="20"/>
        </w:rPr>
      </w:pPr>
      <w:r>
        <w:rPr>
          <w:b/>
          <w:bCs/>
          <w:sz w:val="20"/>
        </w:rPr>
        <w:t>NORTH AMERICA</w:t>
      </w:r>
    </w:p>
    <w:p>
      <w:pPr>
        <w:pStyle w:val="BodyText"/>
        <w:rPr>
          <w:sz w:val="20"/>
        </w:rPr>
      </w:pPr>
      <w:r>
        <w:rPr>
          <w:sz w:val="20"/>
        </w:rPr>
        <w:t xml:space="preserve">    </w:t>
      </w:r>
      <w:r>
        <w:rPr>
          <w:sz w:val="20"/>
        </w:rPr>
        <w:t>Canada</w:t>
      </w:r>
    </w:p>
    <w:p>
      <w:pPr>
        <w:pStyle w:val="BodyText"/>
        <w:rPr>
          <w:sz w:val="20"/>
        </w:rPr>
      </w:pPr>
      <w:r>
        <w:rPr>
          <w:sz w:val="20"/>
        </w:rPr>
        <w:t xml:space="preserve">    </w:t>
      </w:r>
      <w:r>
        <w:rPr>
          <w:sz w:val="20"/>
        </w:rPr>
        <w:t>United States</w:t>
      </w:r>
    </w:p>
    <w:p>
      <w:pPr>
        <w:pStyle w:val="BodyText"/>
        <w:rPr>
          <w:sz w:val="20"/>
        </w:rPr>
      </w:pPr>
      <w:r>
        <w:rPr>
          <w:b/>
          <w:bCs/>
          <w:sz w:val="20"/>
        </w:rPr>
        <w:t>WESTERN EUROPE</w:t>
      </w:r>
    </w:p>
    <w:p>
      <w:pPr>
        <w:pStyle w:val="BodyText"/>
        <w:rPr>
          <w:b/>
          <w:bCs/>
          <w:sz w:val="20"/>
        </w:rPr>
      </w:pPr>
      <w:r>
        <w:rPr>
          <w:b/>
          <w:bCs/>
          <w:sz w:val="20"/>
        </w:rPr>
        <w:t xml:space="preserve">  </w:t>
      </w:r>
      <w:r>
        <w:rPr>
          <w:b/>
          <w:bCs/>
          <w:sz w:val="20"/>
        </w:rPr>
        <w:t>Northern Europe</w:t>
      </w:r>
    </w:p>
    <w:p>
      <w:pPr>
        <w:pStyle w:val="BodyText"/>
        <w:rPr/>
      </w:pPr>
      <w:r>
        <w:rPr>
          <w:b/>
          <w:bCs/>
          <w:sz w:val="20"/>
        </w:rPr>
        <w:t xml:space="preserve">    </w:t>
      </w:r>
      <w:r>
        <w:rPr>
          <w:sz w:val="20"/>
        </w:rPr>
        <w:t>Denmark</w:t>
      </w:r>
    </w:p>
    <w:p>
      <w:pPr>
        <w:pStyle w:val="BodyText"/>
        <w:rPr>
          <w:sz w:val="20"/>
        </w:rPr>
      </w:pPr>
      <w:r>
        <w:rPr>
          <w:sz w:val="20"/>
        </w:rPr>
        <w:t xml:space="preserve">    </w:t>
      </w:r>
      <w:r>
        <w:rPr>
          <w:sz w:val="20"/>
        </w:rPr>
        <w:t>Finland</w:t>
      </w:r>
    </w:p>
    <w:p>
      <w:pPr>
        <w:pStyle w:val="BodyText"/>
        <w:rPr>
          <w:sz w:val="20"/>
        </w:rPr>
      </w:pPr>
      <w:r>
        <w:rPr>
          <w:sz w:val="20"/>
        </w:rPr>
        <w:t xml:space="preserve">    </w:t>
      </w:r>
      <w:r>
        <w:rPr>
          <w:sz w:val="20"/>
        </w:rPr>
        <w:t>Norway</w:t>
      </w:r>
    </w:p>
    <w:p>
      <w:pPr>
        <w:pStyle w:val="BodyText"/>
        <w:rPr>
          <w:sz w:val="20"/>
        </w:rPr>
      </w:pPr>
      <w:r>
        <w:rPr>
          <w:sz w:val="20"/>
        </w:rPr>
        <w:t xml:space="preserve">    </w:t>
      </w:r>
      <w:r>
        <w:rPr>
          <w:sz w:val="20"/>
        </w:rPr>
        <w:t>Sweden</w:t>
      </w:r>
    </w:p>
    <w:p>
      <w:pPr>
        <w:pStyle w:val="BodyText"/>
        <w:rPr>
          <w:sz w:val="20"/>
        </w:rPr>
      </w:pPr>
      <w:r>
        <w:rPr>
          <w:sz w:val="20"/>
        </w:rPr>
        <w:t xml:space="preserve">  </w:t>
      </w:r>
      <w:r>
        <w:rPr>
          <w:b/>
          <w:bCs/>
          <w:sz w:val="20"/>
        </w:rPr>
        <w:t>Central Europe/British Isles</w:t>
      </w:r>
    </w:p>
    <w:p>
      <w:pPr>
        <w:pStyle w:val="BodyText"/>
        <w:rPr>
          <w:sz w:val="20"/>
        </w:rPr>
      </w:pPr>
      <w:r>
        <w:rPr>
          <w:sz w:val="20"/>
        </w:rPr>
        <w:t xml:space="preserve">    </w:t>
      </w:r>
      <w:r>
        <w:rPr>
          <w:sz w:val="20"/>
        </w:rPr>
        <w:t>Austria</w:t>
      </w:r>
    </w:p>
    <w:p>
      <w:pPr>
        <w:pStyle w:val="BodyText"/>
        <w:rPr>
          <w:sz w:val="20"/>
        </w:rPr>
      </w:pPr>
      <w:r>
        <w:rPr>
          <w:sz w:val="20"/>
        </w:rPr>
        <w:t xml:space="preserve">    </w:t>
      </w:r>
      <w:r>
        <w:rPr>
          <w:sz w:val="20"/>
        </w:rPr>
        <w:t>Belgium/Luxembourg</w:t>
      </w:r>
    </w:p>
    <w:p>
      <w:pPr>
        <w:pStyle w:val="BodyText"/>
        <w:rPr>
          <w:sz w:val="20"/>
        </w:rPr>
      </w:pPr>
      <w:r>
        <w:rPr>
          <w:sz w:val="20"/>
        </w:rPr>
        <w:t xml:space="preserve">    </w:t>
      </w:r>
      <w:r>
        <w:rPr>
          <w:sz w:val="20"/>
        </w:rPr>
        <w:t>Germany</w:t>
      </w:r>
    </w:p>
    <w:p>
      <w:pPr>
        <w:pStyle w:val="BodyText"/>
        <w:rPr>
          <w:sz w:val="20"/>
        </w:rPr>
      </w:pPr>
      <w:r>
        <w:rPr>
          <w:sz w:val="20"/>
        </w:rPr>
        <w:t xml:space="preserve">    </w:t>
      </w:r>
      <w:r>
        <w:rPr>
          <w:sz w:val="20"/>
        </w:rPr>
        <w:t>Ireland</w:t>
      </w:r>
    </w:p>
    <w:p>
      <w:pPr>
        <w:pStyle w:val="BodyText"/>
        <w:rPr>
          <w:sz w:val="20"/>
        </w:rPr>
      </w:pPr>
      <w:r>
        <w:rPr>
          <w:sz w:val="20"/>
        </w:rPr>
        <w:t xml:space="preserve">    </w:t>
      </w:r>
      <w:r>
        <w:rPr>
          <w:sz w:val="20"/>
        </w:rPr>
        <w:t>Netherlands</w:t>
      </w:r>
    </w:p>
    <w:p>
      <w:pPr>
        <w:pStyle w:val="BodyText"/>
        <w:rPr>
          <w:sz w:val="20"/>
        </w:rPr>
      </w:pPr>
      <w:r>
        <w:rPr>
          <w:sz w:val="20"/>
        </w:rPr>
        <w:t xml:space="preserve">    </w:t>
      </w:r>
      <w:r>
        <w:rPr>
          <w:sz w:val="20"/>
        </w:rPr>
        <w:t>Switzerland</w:t>
      </w:r>
    </w:p>
    <w:p>
      <w:pPr>
        <w:pStyle w:val="BodyText"/>
        <w:rPr>
          <w:sz w:val="20"/>
        </w:rPr>
      </w:pPr>
      <w:r>
        <w:rPr>
          <w:sz w:val="20"/>
        </w:rPr>
        <w:t xml:space="preserve">    </w:t>
      </w:r>
      <w:r>
        <w:rPr>
          <w:sz w:val="20"/>
        </w:rPr>
        <w:t>United Kingdom</w:t>
      </w:r>
    </w:p>
    <w:p>
      <w:pPr>
        <w:pStyle w:val="BodyText"/>
        <w:rPr>
          <w:sz w:val="20"/>
        </w:rPr>
      </w:pPr>
      <w:r>
        <w:rPr>
          <w:sz w:val="20"/>
        </w:rPr>
        <w:t xml:space="preserve">  </w:t>
      </w:r>
      <w:r>
        <w:rPr>
          <w:b/>
          <w:bCs/>
          <w:sz w:val="20"/>
        </w:rPr>
        <w:t>Southern Europe</w:t>
      </w:r>
    </w:p>
    <w:p>
      <w:pPr>
        <w:pStyle w:val="BodyText"/>
        <w:rPr>
          <w:sz w:val="20"/>
        </w:rPr>
      </w:pPr>
      <w:r>
        <w:rPr>
          <w:sz w:val="20"/>
        </w:rPr>
        <w:t xml:space="preserve">    </w:t>
      </w:r>
      <w:r>
        <w:rPr>
          <w:sz w:val="20"/>
        </w:rPr>
        <w:t>France</w:t>
      </w:r>
    </w:p>
    <w:p>
      <w:pPr>
        <w:pStyle w:val="BodyText"/>
        <w:rPr>
          <w:sz w:val="20"/>
        </w:rPr>
      </w:pPr>
      <w:r>
        <w:rPr>
          <w:sz w:val="20"/>
        </w:rPr>
        <w:t xml:space="preserve">    </w:t>
      </w:r>
      <w:r>
        <w:rPr>
          <w:sz w:val="20"/>
        </w:rPr>
        <w:t>Greece</w:t>
      </w:r>
    </w:p>
    <w:p>
      <w:pPr>
        <w:pStyle w:val="BodyText"/>
        <w:rPr>
          <w:sz w:val="20"/>
        </w:rPr>
      </w:pPr>
      <w:r>
        <w:rPr>
          <w:sz w:val="20"/>
        </w:rPr>
        <w:t xml:space="preserve">    </w:t>
      </w:r>
      <w:r>
        <w:rPr>
          <w:sz w:val="20"/>
        </w:rPr>
        <w:t>Italy</w:t>
      </w:r>
    </w:p>
    <w:p>
      <w:pPr>
        <w:pStyle w:val="BodyText"/>
        <w:rPr>
          <w:sz w:val="20"/>
        </w:rPr>
      </w:pPr>
      <w:r>
        <w:rPr>
          <w:sz w:val="20"/>
        </w:rPr>
        <w:t xml:space="preserve">    </w:t>
      </w:r>
      <w:r>
        <w:rPr>
          <w:sz w:val="20"/>
        </w:rPr>
        <w:t>Portugal</w:t>
      </w:r>
    </w:p>
    <w:p>
      <w:pPr>
        <w:pStyle w:val="BodyText"/>
        <w:rPr>
          <w:sz w:val="20"/>
        </w:rPr>
      </w:pPr>
      <w:r>
        <w:rPr>
          <w:sz w:val="20"/>
        </w:rPr>
        <w:t xml:space="preserve">    </w:t>
      </w:r>
      <w:r>
        <w:rPr>
          <w:sz w:val="20"/>
        </w:rPr>
        <w:t>Spain</w:t>
      </w:r>
    </w:p>
    <w:p>
      <w:pPr>
        <w:pStyle w:val="BodyText"/>
        <w:rPr>
          <w:b/>
          <w:bCs/>
          <w:sz w:val="20"/>
        </w:rPr>
      </w:pPr>
      <w:r>
        <w:rPr>
          <w:b/>
          <w:bCs/>
          <w:sz w:val="20"/>
        </w:rPr>
        <w:t>EASTERN EUROPE</w:t>
      </w:r>
    </w:p>
    <w:p>
      <w:pPr>
        <w:pStyle w:val="BodyText"/>
        <w:rPr>
          <w:sz w:val="20"/>
        </w:rPr>
      </w:pPr>
      <w:r>
        <w:rPr>
          <w:sz w:val="20"/>
        </w:rPr>
        <w:t xml:space="preserve">    </w:t>
      </w:r>
      <w:r>
        <w:rPr>
          <w:sz w:val="20"/>
        </w:rPr>
        <w:t>Russia/Belarus/Ukraine</w:t>
      </w:r>
    </w:p>
    <w:p>
      <w:pPr>
        <w:pStyle w:val="BodyText"/>
        <w:rPr>
          <w:sz w:val="20"/>
        </w:rPr>
      </w:pPr>
      <w:r>
        <w:rPr>
          <w:sz w:val="20"/>
        </w:rPr>
        <w:t xml:space="preserve">    </w:t>
      </w:r>
      <w:r>
        <w:rPr>
          <w:sz w:val="20"/>
        </w:rPr>
        <w:t>Baltic states</w:t>
      </w:r>
    </w:p>
    <w:p>
      <w:pPr>
        <w:pStyle w:val="BodyText"/>
        <w:rPr>
          <w:sz w:val="20"/>
        </w:rPr>
      </w:pPr>
      <w:r>
        <w:rPr>
          <w:sz w:val="20"/>
        </w:rPr>
        <w:t xml:space="preserve">    </w:t>
      </w:r>
    </w:p>
    <w:p>
      <w:pPr>
        <w:pStyle w:val="BodyText"/>
        <w:rPr>
          <w:sz w:val="20"/>
        </w:rPr>
      </w:pPr>
      <w:r>
        <w:rPr>
          <w:sz w:val="20"/>
        </w:rPr>
        <w:t xml:space="preserve">    </w:t>
      </w:r>
    </w:p>
    <w:p>
      <w:pPr>
        <w:pStyle w:val="BodyText"/>
        <w:rPr>
          <w:sz w:val="20"/>
        </w:rPr>
      </w:pPr>
      <w:r>
        <w:rPr>
          <w:sz w:val="20"/>
        </w:rPr>
        <w:t xml:space="preserve">    </w:t>
      </w:r>
      <w:r>
        <w:rPr>
          <w:sz w:val="20"/>
        </w:rPr>
        <w:t>Bulgaria</w:t>
      </w:r>
    </w:p>
    <w:p>
      <w:pPr>
        <w:pStyle w:val="BodyText"/>
        <w:rPr>
          <w:sz w:val="20"/>
        </w:rPr>
      </w:pPr>
      <w:r>
        <w:rPr>
          <w:sz w:val="20"/>
        </w:rPr>
        <w:t xml:space="preserve">    </w:t>
      </w:r>
      <w:r>
        <w:rPr>
          <w:sz w:val="20"/>
        </w:rPr>
        <w:t>Croatia</w:t>
      </w:r>
    </w:p>
    <w:p>
      <w:pPr>
        <w:pStyle w:val="BodyText"/>
        <w:rPr>
          <w:sz w:val="20"/>
        </w:rPr>
      </w:pPr>
      <w:r>
        <w:rPr>
          <w:sz w:val="20"/>
        </w:rPr>
        <w:t xml:space="preserve">    </w:t>
      </w:r>
      <w:r>
        <w:rPr>
          <w:sz w:val="20"/>
        </w:rPr>
        <w:t>Czech Republic</w:t>
      </w:r>
    </w:p>
    <w:p>
      <w:pPr>
        <w:pStyle w:val="BodyText"/>
        <w:rPr>
          <w:sz w:val="20"/>
        </w:rPr>
      </w:pPr>
      <w:r>
        <w:rPr>
          <w:sz w:val="20"/>
        </w:rPr>
        <w:t xml:space="preserve">    </w:t>
      </w:r>
      <w:r>
        <w:rPr>
          <w:sz w:val="20"/>
        </w:rPr>
        <w:t>Hungary</w:t>
      </w:r>
    </w:p>
    <w:p>
      <w:pPr>
        <w:pStyle w:val="BodyText"/>
        <w:rPr>
          <w:sz w:val="20"/>
        </w:rPr>
      </w:pPr>
      <w:r>
        <w:rPr>
          <w:sz w:val="20"/>
        </w:rPr>
        <w:t xml:space="preserve">    </w:t>
      </w:r>
      <w:r>
        <w:rPr>
          <w:sz w:val="20"/>
        </w:rPr>
        <w:t>Poland</w:t>
      </w:r>
    </w:p>
    <w:p>
      <w:pPr>
        <w:pStyle w:val="BodyText"/>
        <w:rPr>
          <w:sz w:val="20"/>
        </w:rPr>
      </w:pPr>
      <w:r>
        <w:rPr>
          <w:sz w:val="20"/>
        </w:rPr>
        <w:t xml:space="preserve">    </w:t>
      </w:r>
      <w:r>
        <w:rPr>
          <w:sz w:val="20"/>
        </w:rPr>
        <w:t>Romania</w:t>
      </w:r>
    </w:p>
    <w:p>
      <w:pPr>
        <w:pStyle w:val="BodyText"/>
        <w:rPr>
          <w:sz w:val="20"/>
        </w:rPr>
      </w:pPr>
      <w:r>
        <w:rPr>
          <w:sz w:val="20"/>
        </w:rPr>
        <w:t xml:space="preserve">    </w:t>
      </w:r>
      <w:r>
        <w:rPr>
          <w:sz w:val="20"/>
        </w:rPr>
        <w:t>Slovakia</w:t>
      </w:r>
    </w:p>
    <w:p>
      <w:pPr>
        <w:pStyle w:val="BodyText"/>
        <w:rPr>
          <w:sz w:val="20"/>
        </w:rPr>
      </w:pPr>
      <w:r>
        <w:rPr>
          <w:sz w:val="20"/>
        </w:rPr>
        <w:t xml:space="preserve">    </w:t>
      </w:r>
      <w:r>
        <w:rPr>
          <w:sz w:val="20"/>
        </w:rPr>
        <w:t>Slovenia</w:t>
      </w:r>
    </w:p>
    <w:p>
      <w:pPr>
        <w:pStyle w:val="BodyText"/>
        <w:rPr>
          <w:sz w:val="20"/>
        </w:rPr>
      </w:pPr>
      <w:r>
        <w:rPr>
          <w:sz w:val="20"/>
        </w:rPr>
        <w:t xml:space="preserve">    </w:t>
      </w:r>
      <w:r>
        <w:rPr>
          <w:sz w:val="20"/>
        </w:rPr>
        <w:t>Rest of Eastern Europe</w:t>
      </w:r>
    </w:p>
    <w:p>
      <w:pPr>
        <w:pStyle w:val="BodyText"/>
        <w:rPr>
          <w:sz w:val="20"/>
        </w:rPr>
      </w:pPr>
      <w:r>
        <w:rPr>
          <w:b/>
          <w:bCs/>
          <w:sz w:val="20"/>
        </w:rPr>
        <w:t>LATIN AMERICA</w:t>
      </w:r>
    </w:p>
    <w:p>
      <w:pPr>
        <w:pStyle w:val="BodyText"/>
        <w:rPr>
          <w:sz w:val="20"/>
        </w:rPr>
      </w:pPr>
      <w:r>
        <w:rPr>
          <w:sz w:val="20"/>
        </w:rPr>
        <w:t xml:space="preserve">    </w:t>
      </w:r>
      <w:r>
        <w:rPr>
          <w:sz w:val="20"/>
        </w:rPr>
        <w:t>Argentina</w:t>
      </w:r>
    </w:p>
    <w:p>
      <w:pPr>
        <w:pStyle w:val="BodyText"/>
        <w:rPr>
          <w:sz w:val="20"/>
        </w:rPr>
      </w:pPr>
      <w:r>
        <w:rPr>
          <w:sz w:val="20"/>
        </w:rPr>
        <w:t xml:space="preserve">    </w:t>
      </w:r>
      <w:r>
        <w:rPr>
          <w:sz w:val="20"/>
        </w:rPr>
        <w:t>Brazil</w:t>
      </w:r>
    </w:p>
    <w:p>
      <w:pPr>
        <w:pStyle w:val="BodyText"/>
        <w:rPr>
          <w:sz w:val="20"/>
        </w:rPr>
      </w:pPr>
      <w:r>
        <w:rPr>
          <w:sz w:val="20"/>
        </w:rPr>
        <w:t xml:space="preserve">    </w:t>
      </w:r>
      <w:r>
        <w:rPr>
          <w:sz w:val="20"/>
        </w:rPr>
        <w:t>Chile</w:t>
      </w:r>
    </w:p>
    <w:p>
      <w:pPr>
        <w:pStyle w:val="BodyText"/>
        <w:rPr>
          <w:sz w:val="20"/>
        </w:rPr>
      </w:pPr>
      <w:r>
        <w:rPr>
          <w:sz w:val="20"/>
        </w:rPr>
        <w:t xml:space="preserve">    </w:t>
      </w:r>
      <w:r>
        <w:rPr>
          <w:sz w:val="20"/>
        </w:rPr>
        <w:t>Colombia</w:t>
      </w:r>
    </w:p>
    <w:p>
      <w:pPr>
        <w:pStyle w:val="BodyText"/>
        <w:rPr>
          <w:sz w:val="20"/>
        </w:rPr>
      </w:pPr>
      <w:r>
        <w:rPr>
          <w:sz w:val="20"/>
        </w:rPr>
        <w:t xml:space="preserve">    </w:t>
      </w:r>
      <w:r>
        <w:rPr>
          <w:sz w:val="20"/>
        </w:rPr>
        <w:t>Mexico</w:t>
      </w:r>
    </w:p>
    <w:p>
      <w:pPr>
        <w:pStyle w:val="BodyText"/>
        <w:rPr>
          <w:sz w:val="20"/>
        </w:rPr>
      </w:pPr>
      <w:r>
        <w:rPr>
          <w:sz w:val="20"/>
        </w:rPr>
        <w:t xml:space="preserve">    </w:t>
      </w:r>
      <w:r>
        <w:rPr>
          <w:sz w:val="20"/>
        </w:rPr>
        <w:t>Peru</w:t>
      </w:r>
    </w:p>
    <w:p>
      <w:pPr>
        <w:pStyle w:val="BodyText"/>
        <w:rPr>
          <w:sz w:val="20"/>
        </w:rPr>
      </w:pPr>
      <w:r>
        <w:rPr>
          <w:sz w:val="20"/>
        </w:rPr>
        <w:t xml:space="preserve">    </w:t>
      </w:r>
      <w:r>
        <w:rPr>
          <w:sz w:val="20"/>
        </w:rPr>
        <w:t>Venezuela</w:t>
      </w:r>
    </w:p>
    <w:p>
      <w:pPr>
        <w:pStyle w:val="BodyText"/>
        <w:rPr>
          <w:sz w:val="20"/>
        </w:rPr>
      </w:pPr>
      <w:r>
        <w:rPr>
          <w:sz w:val="20"/>
        </w:rPr>
        <w:t xml:space="preserve">    </w:t>
      </w:r>
      <w:r>
        <w:rPr>
          <w:sz w:val="20"/>
        </w:rPr>
        <w:t>Rest of Latin America</w:t>
      </w:r>
    </w:p>
    <w:p>
      <w:pPr>
        <w:pStyle w:val="BodyText"/>
        <w:rPr>
          <w:b/>
          <w:bCs/>
          <w:sz w:val="20"/>
        </w:rPr>
      </w:pPr>
      <w:r>
        <w:rPr>
          <w:b/>
          <w:bCs/>
          <w:sz w:val="20"/>
        </w:rPr>
        <w:t>NEAR AND MIDDLE EAST</w:t>
      </w:r>
    </w:p>
    <w:p>
      <w:pPr>
        <w:pStyle w:val="BodyText"/>
        <w:rPr>
          <w:sz w:val="20"/>
        </w:rPr>
      </w:pPr>
      <w:r>
        <w:rPr>
          <w:sz w:val="20"/>
        </w:rPr>
        <w:t xml:space="preserve">    </w:t>
      </w:r>
      <w:r>
        <w:rPr>
          <w:sz w:val="20"/>
        </w:rPr>
        <w:t>Iran</w:t>
      </w:r>
    </w:p>
    <w:p>
      <w:pPr>
        <w:pStyle w:val="BodyText"/>
        <w:rPr>
          <w:sz w:val="20"/>
        </w:rPr>
      </w:pPr>
      <w:r>
        <w:rPr>
          <w:sz w:val="20"/>
        </w:rPr>
        <w:t xml:space="preserve">    </w:t>
      </w:r>
      <w:r>
        <w:rPr>
          <w:sz w:val="20"/>
        </w:rPr>
        <w:t>Israel</w:t>
      </w:r>
    </w:p>
    <w:p>
      <w:pPr>
        <w:pStyle w:val="BodyText"/>
        <w:rPr>
          <w:sz w:val="20"/>
        </w:rPr>
      </w:pPr>
      <w:r>
        <w:rPr>
          <w:sz w:val="20"/>
        </w:rPr>
        <w:t xml:space="preserve">    </w:t>
      </w:r>
      <w:r>
        <w:rPr>
          <w:sz w:val="20"/>
        </w:rPr>
        <w:t>Jordan</w:t>
      </w:r>
    </w:p>
    <w:p>
      <w:pPr>
        <w:pStyle w:val="BodyText"/>
        <w:rPr>
          <w:sz w:val="20"/>
        </w:rPr>
      </w:pPr>
      <w:r>
        <w:rPr>
          <w:sz w:val="20"/>
        </w:rPr>
        <w:t xml:space="preserve">    </w:t>
      </w:r>
      <w:r>
        <w:rPr>
          <w:sz w:val="20"/>
        </w:rPr>
        <w:t>Kuwait</w:t>
      </w:r>
    </w:p>
    <w:p>
      <w:pPr>
        <w:pStyle w:val="BodyText"/>
        <w:rPr>
          <w:sz w:val="20"/>
        </w:rPr>
      </w:pPr>
      <w:r>
        <w:rPr>
          <w:sz w:val="20"/>
        </w:rPr>
        <w:t xml:space="preserve">    </w:t>
      </w:r>
      <w:r>
        <w:rPr>
          <w:sz w:val="20"/>
        </w:rPr>
        <w:t>Lebanon</w:t>
      </w:r>
    </w:p>
    <w:p>
      <w:pPr>
        <w:pStyle w:val="BodyText"/>
        <w:rPr>
          <w:sz w:val="20"/>
        </w:rPr>
      </w:pPr>
      <w:r>
        <w:rPr>
          <w:sz w:val="20"/>
        </w:rPr>
        <w:t xml:space="preserve">    </w:t>
      </w:r>
      <w:r>
        <w:rPr>
          <w:sz w:val="20"/>
        </w:rPr>
        <w:t>Saudi Arabia</w:t>
      </w:r>
    </w:p>
    <w:p>
      <w:pPr>
        <w:pStyle w:val="BodyText"/>
        <w:rPr>
          <w:sz w:val="20"/>
        </w:rPr>
      </w:pPr>
      <w:r>
        <w:rPr>
          <w:sz w:val="20"/>
        </w:rPr>
        <w:t xml:space="preserve">    </w:t>
      </w:r>
      <w:r>
        <w:rPr>
          <w:sz w:val="20"/>
        </w:rPr>
        <w:t>Syria</w:t>
      </w:r>
    </w:p>
    <w:p>
      <w:pPr>
        <w:pStyle w:val="BodyText"/>
        <w:rPr>
          <w:sz w:val="20"/>
        </w:rPr>
      </w:pPr>
      <w:r>
        <w:rPr>
          <w:sz w:val="20"/>
        </w:rPr>
        <w:t xml:space="preserve">    </w:t>
      </w:r>
      <w:r>
        <w:rPr>
          <w:sz w:val="20"/>
        </w:rPr>
        <w:t>Turkey</w:t>
      </w:r>
    </w:p>
    <w:p>
      <w:pPr>
        <w:pStyle w:val="BodyText"/>
        <w:rPr>
          <w:sz w:val="20"/>
        </w:rPr>
      </w:pPr>
      <w:r>
        <w:rPr>
          <w:sz w:val="20"/>
        </w:rPr>
        <w:t xml:space="preserve">    </w:t>
      </w:r>
    </w:p>
    <w:p>
      <w:pPr>
        <w:pStyle w:val="BodyText"/>
        <w:rPr>
          <w:sz w:val="20"/>
        </w:rPr>
      </w:pPr>
      <w:r>
        <w:rPr>
          <w:sz w:val="20"/>
        </w:rPr>
        <w:t xml:space="preserve">    </w:t>
      </w:r>
      <w:r>
        <w:rPr>
          <w:sz w:val="20"/>
        </w:rPr>
        <w:t>United Arab Emirates</w:t>
      </w:r>
    </w:p>
    <w:p>
      <w:pPr>
        <w:pStyle w:val="BodyText"/>
        <w:rPr>
          <w:sz w:val="20"/>
        </w:rPr>
      </w:pPr>
      <w:r>
        <w:rPr>
          <w:sz w:val="20"/>
        </w:rPr>
        <w:t xml:space="preserve">    </w:t>
      </w:r>
      <w:r>
        <w:rPr>
          <w:sz w:val="20"/>
        </w:rPr>
        <w:t>Rest of Near and Middle East</w:t>
      </w:r>
    </w:p>
    <w:p>
      <w:pPr>
        <w:pStyle w:val="BodyText"/>
        <w:rPr>
          <w:b/>
          <w:bCs/>
          <w:sz w:val="20"/>
        </w:rPr>
      </w:pPr>
      <w:r>
        <w:rPr>
          <w:b/>
          <w:bCs/>
          <w:sz w:val="20"/>
        </w:rPr>
        <w:t>JAPAN</w:t>
      </w:r>
    </w:p>
    <w:p>
      <w:pPr>
        <w:pStyle w:val="BodyText"/>
        <w:rPr>
          <w:b/>
          <w:bCs/>
          <w:sz w:val="20"/>
        </w:rPr>
      </w:pPr>
      <w:r>
        <w:rPr>
          <w:b/>
          <w:bCs/>
          <w:sz w:val="20"/>
        </w:rPr>
        <w:t>CHINA</w:t>
      </w:r>
    </w:p>
    <w:p>
      <w:pPr>
        <w:pStyle w:val="BodyText"/>
        <w:rPr>
          <w:b/>
          <w:bCs/>
          <w:sz w:val="20"/>
        </w:rPr>
      </w:pPr>
      <w:r>
        <w:rPr>
          <w:b/>
          <w:bCs/>
          <w:sz w:val="20"/>
        </w:rPr>
        <w:t>ASIA FAR EAST</w:t>
      </w:r>
    </w:p>
    <w:p>
      <w:pPr>
        <w:pStyle w:val="BodyText"/>
        <w:rPr/>
      </w:pPr>
      <w:r>
        <w:rPr>
          <w:b/>
          <w:bCs/>
          <w:sz w:val="20"/>
        </w:rPr>
        <w:t xml:space="preserve">    </w:t>
      </w:r>
      <w:r>
        <w:rPr>
          <w:sz w:val="20"/>
        </w:rPr>
        <w:t>Hong Kong</w:t>
      </w:r>
    </w:p>
    <w:p>
      <w:pPr>
        <w:pStyle w:val="BodyText"/>
        <w:rPr>
          <w:sz w:val="20"/>
        </w:rPr>
      </w:pPr>
      <w:r>
        <w:rPr>
          <w:sz w:val="20"/>
        </w:rPr>
        <w:t xml:space="preserve">    </w:t>
      </w:r>
      <w:r>
        <w:rPr>
          <w:sz w:val="20"/>
        </w:rPr>
        <w:t>India</w:t>
      </w:r>
    </w:p>
    <w:p>
      <w:pPr>
        <w:pStyle w:val="BodyText"/>
        <w:rPr>
          <w:sz w:val="20"/>
        </w:rPr>
      </w:pPr>
      <w:r>
        <w:rPr>
          <w:sz w:val="20"/>
        </w:rPr>
        <w:t xml:space="preserve">    </w:t>
      </w:r>
      <w:r>
        <w:rPr>
          <w:sz w:val="20"/>
        </w:rPr>
        <w:t>Indonesia</w:t>
      </w:r>
    </w:p>
    <w:p>
      <w:pPr>
        <w:pStyle w:val="BodyText"/>
        <w:rPr>
          <w:sz w:val="20"/>
        </w:rPr>
      </w:pPr>
      <w:r>
        <w:rPr>
          <w:sz w:val="20"/>
        </w:rPr>
        <w:t xml:space="preserve">    </w:t>
      </w:r>
      <w:r>
        <w:rPr>
          <w:sz w:val="20"/>
        </w:rPr>
        <w:t>Rep. of Korea</w:t>
      </w:r>
    </w:p>
    <w:p>
      <w:pPr>
        <w:pStyle w:val="BodyText"/>
        <w:rPr>
          <w:sz w:val="20"/>
        </w:rPr>
      </w:pPr>
      <w:r>
        <w:rPr>
          <w:sz w:val="20"/>
        </w:rPr>
        <w:t xml:space="preserve">    </w:t>
      </w:r>
      <w:r>
        <w:rPr>
          <w:sz w:val="20"/>
        </w:rPr>
        <w:t>Malaysia</w:t>
      </w:r>
    </w:p>
    <w:p>
      <w:pPr>
        <w:pStyle w:val="BodyText"/>
        <w:rPr>
          <w:sz w:val="20"/>
        </w:rPr>
      </w:pPr>
      <w:r>
        <w:rPr>
          <w:sz w:val="20"/>
        </w:rPr>
        <w:t xml:space="preserve">    </w:t>
      </w:r>
      <w:r>
        <w:rPr>
          <w:sz w:val="20"/>
        </w:rPr>
        <w:t>Philippines</w:t>
      </w:r>
    </w:p>
    <w:p>
      <w:pPr>
        <w:pStyle w:val="BodyText"/>
        <w:rPr>
          <w:sz w:val="20"/>
        </w:rPr>
      </w:pPr>
      <w:r>
        <w:rPr>
          <w:sz w:val="20"/>
        </w:rPr>
        <w:t xml:space="preserve">    </w:t>
      </w:r>
      <w:r>
        <w:rPr>
          <w:sz w:val="20"/>
        </w:rPr>
        <w:t>Singapore</w:t>
      </w:r>
    </w:p>
    <w:p>
      <w:pPr>
        <w:pStyle w:val="BodyText"/>
        <w:rPr>
          <w:sz w:val="20"/>
        </w:rPr>
      </w:pPr>
      <w:r>
        <w:rPr>
          <w:sz w:val="20"/>
        </w:rPr>
        <w:t xml:space="preserve">    </w:t>
      </w:r>
      <w:r>
        <w:rPr>
          <w:sz w:val="20"/>
        </w:rPr>
        <w:t>Taiwan</w:t>
      </w:r>
    </w:p>
    <w:p>
      <w:pPr>
        <w:pStyle w:val="BodyText"/>
        <w:rPr>
          <w:sz w:val="20"/>
        </w:rPr>
      </w:pPr>
      <w:r>
        <w:rPr>
          <w:sz w:val="20"/>
        </w:rPr>
        <w:t xml:space="preserve">    </w:t>
      </w:r>
      <w:r>
        <w:rPr>
          <w:sz w:val="20"/>
        </w:rPr>
        <w:t>Thailand</w:t>
      </w:r>
    </w:p>
    <w:p>
      <w:pPr>
        <w:pStyle w:val="BodyText"/>
        <w:rPr>
          <w:sz w:val="20"/>
        </w:rPr>
      </w:pPr>
      <w:r>
        <w:rPr>
          <w:sz w:val="20"/>
        </w:rPr>
        <w:t xml:space="preserve">    </w:t>
      </w:r>
      <w:r>
        <w:rPr>
          <w:sz w:val="20"/>
        </w:rPr>
        <w:t>Rest of Asia Far East</w:t>
      </w:r>
    </w:p>
    <w:p>
      <w:pPr>
        <w:pStyle w:val="BodyText"/>
        <w:rPr>
          <w:b/>
          <w:bCs/>
          <w:sz w:val="20"/>
        </w:rPr>
      </w:pPr>
      <w:r>
        <w:rPr>
          <w:b/>
          <w:bCs/>
          <w:sz w:val="20"/>
        </w:rPr>
        <w:t>OCEANIA</w:t>
      </w:r>
    </w:p>
    <w:p>
      <w:pPr>
        <w:pStyle w:val="BodyText"/>
        <w:rPr>
          <w:sz w:val="20"/>
        </w:rPr>
      </w:pPr>
      <w:r>
        <w:rPr>
          <w:sz w:val="20"/>
        </w:rPr>
        <w:t xml:space="preserve">    </w:t>
      </w:r>
      <w:r>
        <w:rPr>
          <w:sz w:val="20"/>
        </w:rPr>
        <w:t>Australia</w:t>
      </w:r>
    </w:p>
    <w:p>
      <w:pPr>
        <w:pStyle w:val="BodyText"/>
        <w:rPr>
          <w:sz w:val="20"/>
        </w:rPr>
      </w:pPr>
      <w:r>
        <w:rPr>
          <w:sz w:val="20"/>
        </w:rPr>
        <w:t xml:space="preserve">    </w:t>
      </w:r>
      <w:r>
        <w:rPr>
          <w:sz w:val="20"/>
        </w:rPr>
        <w:t>New Zealand</w:t>
      </w:r>
    </w:p>
    <w:p>
      <w:pPr>
        <w:pStyle w:val="BodyText"/>
        <w:rPr>
          <w:sz w:val="20"/>
        </w:rPr>
      </w:pPr>
      <w:r>
        <w:rPr>
          <w:sz w:val="20"/>
        </w:rPr>
        <w:t xml:space="preserve">    </w:t>
      </w:r>
      <w:r>
        <w:rPr>
          <w:sz w:val="20"/>
        </w:rPr>
        <w:t>Rest of Oceania</w:t>
      </w:r>
    </w:p>
    <w:p>
      <w:pPr>
        <w:pStyle w:val="BodyText"/>
        <w:rPr>
          <w:b/>
          <w:bCs/>
          <w:sz w:val="20"/>
        </w:rPr>
      </w:pPr>
      <w:r>
        <w:rPr>
          <w:b/>
          <w:bCs/>
          <w:sz w:val="20"/>
        </w:rPr>
        <w:t>AFRICA</w:t>
      </w:r>
    </w:p>
    <w:p>
      <w:pPr>
        <w:pStyle w:val="BodyText"/>
        <w:rPr/>
      </w:pPr>
      <w:r>
        <w:rPr>
          <w:b/>
          <w:bCs/>
          <w:sz w:val="20"/>
        </w:rPr>
        <w:t xml:space="preserve">    </w:t>
      </w:r>
      <w:r>
        <w:rPr>
          <w:sz w:val="20"/>
        </w:rPr>
        <w:t>Algeria</w:t>
      </w:r>
    </w:p>
    <w:p>
      <w:pPr>
        <w:pStyle w:val="BodyText"/>
        <w:rPr>
          <w:sz w:val="20"/>
        </w:rPr>
      </w:pPr>
      <w:r>
        <w:rPr>
          <w:sz w:val="20"/>
        </w:rPr>
        <w:t xml:space="preserve">    </w:t>
      </w:r>
      <w:r>
        <w:rPr>
          <w:sz w:val="20"/>
        </w:rPr>
        <w:t>Egypt</w:t>
      </w:r>
    </w:p>
    <w:p>
      <w:pPr>
        <w:pStyle w:val="BodyText"/>
        <w:rPr>
          <w:sz w:val="20"/>
        </w:rPr>
      </w:pPr>
      <w:r>
        <w:rPr>
          <w:sz w:val="20"/>
        </w:rPr>
        <w:t xml:space="preserve">    </w:t>
      </w:r>
      <w:r>
        <w:rPr>
          <w:sz w:val="20"/>
        </w:rPr>
        <w:t>Kenya</w:t>
      </w:r>
    </w:p>
    <w:p>
      <w:pPr>
        <w:pStyle w:val="BodyText"/>
        <w:rPr>
          <w:sz w:val="20"/>
        </w:rPr>
      </w:pPr>
      <w:r>
        <w:rPr>
          <w:sz w:val="20"/>
        </w:rPr>
        <w:t xml:space="preserve">    </w:t>
      </w:r>
      <w:r>
        <w:rPr>
          <w:sz w:val="20"/>
        </w:rPr>
        <w:t>Morocco</w:t>
      </w:r>
    </w:p>
    <w:p>
      <w:pPr>
        <w:pStyle w:val="BodyText"/>
        <w:rPr>
          <w:sz w:val="20"/>
        </w:rPr>
      </w:pPr>
      <w:r>
        <w:rPr>
          <w:sz w:val="20"/>
        </w:rPr>
        <w:t xml:space="preserve">    </w:t>
      </w:r>
      <w:r>
        <w:rPr>
          <w:sz w:val="20"/>
        </w:rPr>
        <w:t>Nigeria</w:t>
      </w:r>
    </w:p>
    <w:p>
      <w:pPr>
        <w:pStyle w:val="BodyText"/>
        <w:rPr>
          <w:sz w:val="20"/>
        </w:rPr>
      </w:pPr>
      <w:r>
        <w:rPr>
          <w:sz w:val="20"/>
        </w:rPr>
        <w:t xml:space="preserve">    </w:t>
      </w:r>
      <w:r>
        <w:rPr>
          <w:sz w:val="20"/>
        </w:rPr>
        <w:t>Rep. of South Africa</w:t>
      </w:r>
    </w:p>
    <w:p>
      <w:pPr>
        <w:pStyle w:val="BodyText"/>
        <w:rPr>
          <w:sz w:val="20"/>
        </w:rPr>
      </w:pPr>
      <w:r>
        <w:rPr>
          <w:sz w:val="20"/>
        </w:rPr>
        <w:t xml:space="preserve">    </w:t>
      </w:r>
      <w:r>
        <w:rPr>
          <w:sz w:val="20"/>
        </w:rPr>
        <w:t>Rest of Africa</w:t>
      </w:r>
    </w:p>
    <w:p>
      <w:pPr>
        <w:sectPr>
          <w:type w:val="continuous"/>
          <w:pgSz w:w="11906" w:h="16838"/>
          <w:pgMar w:left="1418" w:right="1134" w:gutter="0" w:header="680" w:top="1134" w:footer="1077" w:bottom="1133"/>
          <w:cols w:num="3" w:space="708" w:equalWidth="true" w:sep="false"/>
          <w:formProt w:val="false"/>
          <w:titlePg/>
          <w:textDirection w:val="lrTb"/>
          <w:docGrid w:type="default" w:linePitch="360" w:charSpace="0"/>
        </w:sectPr>
      </w:pPr>
    </w:p>
    <w:p>
      <w:pPr>
        <w:pStyle w:val="BodyText"/>
        <w:rPr>
          <w:sz w:val="20"/>
        </w:rPr>
      </w:pPr>
      <w:r>
        <w:rPr>
          <w:sz w:val="20"/>
        </w:rPr>
      </w:r>
    </w:p>
    <w:p>
      <w:pPr>
        <w:pStyle w:val="BodyText"/>
        <w:rPr>
          <w:b/>
          <w:bCs/>
          <w:sz w:val="20"/>
        </w:rPr>
      </w:pPr>
      <w:r>
        <w:rPr>
          <w:b/>
          <w:bCs/>
        </w:rPr>
        <w:t>STUDY TEAM</w:t>
      </w:r>
    </w:p>
    <w:p>
      <w:pPr>
        <w:pStyle w:val="BodyText"/>
        <w:rPr>
          <w:b/>
          <w:bCs/>
          <w:sz w:val="20"/>
        </w:rPr>
      </w:pPr>
      <w:r>
        <w:rPr>
          <w:b/>
          <w:bCs/>
          <w:sz w:val="20"/>
        </w:rPr>
      </w:r>
    </w:p>
    <w:p>
      <w:pPr>
        <w:pStyle w:val="BodyText"/>
        <w:rPr/>
      </w:pPr>
      <w:r>
        <w:rPr/>
        <w:t xml:space="preserve">The study is undertaken jointly by </w:t>
      </w:r>
      <w:r>
        <w:rPr>
          <w:b/>
          <w:bCs/>
        </w:rPr>
        <w:t>EU Consulting, Germany</w:t>
      </w:r>
      <w:r>
        <w:rPr/>
        <w:t xml:space="preserve"> and </w:t>
      </w:r>
      <w:r>
        <w:rPr>
          <w:b/>
          <w:bCs/>
        </w:rPr>
        <w:t xml:space="preserve">Bognar Enterprises Inc., USA </w:t>
      </w:r>
      <w:r>
        <w:rPr/>
        <w:t xml:space="preserve">with Esko Uutela as the project manager. Esko Uutela and Roger Bognar have cooperated for the past five years in many tissue industry and business consulting projects worldwide. The team combines 50 years of experience of the tissue business.  </w:t>
      </w:r>
    </w:p>
    <w:p>
      <w:pPr>
        <w:pStyle w:val="BodyText"/>
        <w:rPr/>
      </w:pPr>
      <w:r>
        <w:rPr/>
      </w:r>
    </w:p>
    <w:p>
      <w:pPr>
        <w:pStyle w:val="BodyText"/>
        <w:rPr>
          <w:b/>
          <w:bCs/>
        </w:rPr>
      </w:pPr>
      <w:r>
        <w:rPr>
          <w:b/>
          <w:bCs/>
        </w:rPr>
        <w:t>PUBLISHING AND PRICE</w:t>
      </w:r>
    </w:p>
    <w:p>
      <w:pPr>
        <w:pStyle w:val="BodyText"/>
        <w:rPr>
          <w:b/>
          <w:bCs/>
        </w:rPr>
      </w:pPr>
      <w:r>
        <w:rPr>
          <w:b/>
          <w:bCs/>
        </w:rPr>
      </w:r>
    </w:p>
    <w:p>
      <w:pPr>
        <w:pStyle w:val="BodyText"/>
        <w:ind w:hanging="2832" w:start="2832" w:end="0"/>
        <w:rPr/>
      </w:pPr>
      <w:r>
        <w:rPr/>
        <w:t>Publication date:</w:t>
        <w:tab/>
        <w:t>February</w:t>
      </w:r>
      <w:r>
        <w:rPr>
          <w:b/>
          <w:bCs/>
        </w:rPr>
        <w:t xml:space="preserve"> 2001</w:t>
      </w:r>
      <w:r>
        <w:rPr/>
        <w:t xml:space="preserve"> (late April updated, immediately available)</w:t>
      </w:r>
    </w:p>
    <w:p>
      <w:pPr>
        <w:pStyle w:val="BodyText"/>
        <w:ind w:hanging="2832" w:start="2832" w:end="0"/>
        <w:rPr/>
      </w:pPr>
      <w:r>
        <w:rPr/>
      </w:r>
    </w:p>
    <w:p>
      <w:pPr>
        <w:pStyle w:val="BodyText"/>
        <w:ind w:hanging="2832" w:start="2832" w:end="0"/>
        <w:rPr/>
      </w:pPr>
      <w:r>
        <w:rPr/>
        <w:t>Cost:</w:t>
        <w:tab/>
      </w:r>
      <w:r>
        <w:rPr>
          <w:b/>
          <w:bCs/>
        </w:rPr>
        <w:t>Euro 3,950</w:t>
      </w:r>
      <w:r>
        <w:rPr/>
        <w:t xml:space="preserve"> (US$</w:t>
      </w:r>
      <w:r>
        <w:rPr>
          <w:b/>
          <w:bCs/>
        </w:rPr>
        <w:t xml:space="preserve"> 3,500) </w:t>
      </w:r>
      <w:r>
        <w:rPr/>
        <w:t xml:space="preserve">or equivalent in national currencies. Each subscriber will receive two copies of the report (more than 300 pages with Annexes). Additional copies cost Euro 85 each.  </w:t>
      </w:r>
    </w:p>
    <w:p>
      <w:pPr>
        <w:pStyle w:val="BodyText"/>
        <w:rPr>
          <w:b/>
          <w:bCs/>
        </w:rPr>
      </w:pPr>
      <w:r>
        <w:rPr>
          <w:b/>
          <w:bCs/>
        </w:rPr>
      </w:r>
    </w:p>
    <w:p>
      <w:pPr>
        <w:pStyle w:val="BodyText"/>
        <w:rPr>
          <w:b/>
          <w:bCs/>
        </w:rPr>
      </w:pPr>
      <w:r>
        <w:rPr>
          <w:b/>
          <w:bCs/>
        </w:rPr>
        <w:t>ORDERING AND FURTHER INFORMATION</w:t>
      </w:r>
    </w:p>
    <w:p>
      <w:pPr>
        <w:pStyle w:val="BodyText"/>
        <w:rPr>
          <w:b/>
          <w:bCs/>
        </w:rPr>
      </w:pPr>
      <w:r>
        <w:rPr>
          <w:b/>
          <w:bCs/>
        </w:rPr>
      </w:r>
    </w:p>
    <w:p>
      <w:pPr>
        <w:pStyle w:val="BodyText"/>
        <w:rPr/>
      </w:pPr>
      <w:r>
        <w:rPr/>
        <w:t>Please return the enclosed order form by mail, fax or e-mail to:</w:t>
      </w:r>
    </w:p>
    <w:p>
      <w:pPr>
        <w:pStyle w:val="BodyText"/>
        <w:rPr/>
      </w:pPr>
      <w:r>
        <w:rPr/>
      </w:r>
    </w:p>
    <w:p>
      <w:pPr>
        <w:sectPr>
          <w:type w:val="continuous"/>
          <w:pgSz w:w="11906" w:h="16838"/>
          <w:pgMar w:left="1418" w:right="1134" w:gutter="0" w:header="680" w:top="1134" w:footer="1077" w:bottom="1133"/>
          <w:formProt w:val="false"/>
          <w:titlePg/>
          <w:textDirection w:val="lrTb"/>
          <w:docGrid w:type="default" w:linePitch="360" w:charSpace="0"/>
        </w:sectPr>
      </w:pPr>
    </w:p>
    <w:p>
      <w:pPr>
        <w:pStyle w:val="BodyText"/>
        <w:rPr>
          <w:b/>
          <w:color w:val="000080"/>
          <w:sz w:val="22"/>
        </w:rPr>
      </w:pPr>
      <w:r>
        <w:rPr>
          <w:b/>
          <w:color w:val="000080"/>
          <w:sz w:val="22"/>
        </w:rPr>
        <w:t>Esko Uutela, EU Consulting                 or</w:t>
      </w:r>
    </w:p>
    <w:p>
      <w:pPr>
        <w:pStyle w:val="BodyText"/>
        <w:rPr>
          <w:b/>
          <w:color w:val="000080"/>
          <w:sz w:val="22"/>
        </w:rPr>
      </w:pPr>
      <w:r>
        <w:rPr>
          <w:b/>
          <w:color w:val="000080"/>
          <w:sz w:val="22"/>
        </w:rPr>
        <w:t>Enzianstr. 4 B</w:t>
      </w:r>
    </w:p>
    <w:p>
      <w:pPr>
        <w:pStyle w:val="BodyText"/>
        <w:rPr>
          <w:b/>
          <w:color w:val="000080"/>
          <w:sz w:val="22"/>
        </w:rPr>
      </w:pPr>
      <w:r>
        <w:rPr>
          <w:b/>
          <w:color w:val="000080"/>
          <w:sz w:val="22"/>
        </w:rPr>
        <w:t>D-82319 STARNBERG</w:t>
      </w:r>
    </w:p>
    <w:p>
      <w:pPr>
        <w:pStyle w:val="BodyText"/>
        <w:rPr>
          <w:b/>
          <w:color w:val="000080"/>
          <w:sz w:val="22"/>
        </w:rPr>
      </w:pPr>
      <w:r>
        <w:rPr>
          <w:b/>
          <w:color w:val="000080"/>
          <w:sz w:val="22"/>
        </w:rPr>
        <w:t>GERMANY</w:t>
      </w:r>
    </w:p>
    <w:p>
      <w:pPr>
        <w:pStyle w:val="BodyText"/>
        <w:rPr>
          <w:b/>
          <w:color w:val="000080"/>
          <w:sz w:val="22"/>
        </w:rPr>
      </w:pPr>
      <w:r>
        <w:rPr>
          <w:b/>
          <w:color w:val="000080"/>
          <w:sz w:val="22"/>
        </w:rPr>
        <w:t xml:space="preserve">Fax: +49-8151-29183 </w:t>
      </w:r>
    </w:p>
    <w:p>
      <w:pPr>
        <w:pStyle w:val="BodyText"/>
        <w:rPr>
          <w:b/>
          <w:color w:val="000080"/>
          <w:sz w:val="22"/>
        </w:rPr>
      </w:pPr>
      <w:r>
        <w:rPr>
          <w:b/>
          <w:color w:val="000080"/>
          <w:sz w:val="22"/>
        </w:rPr>
        <w:t>Phone: +49-8151-29193</w:t>
      </w:r>
    </w:p>
    <w:p>
      <w:pPr>
        <w:pStyle w:val="BodyText"/>
        <w:rPr>
          <w:b/>
          <w:color w:val="000080"/>
          <w:sz w:val="22"/>
        </w:rPr>
      </w:pPr>
      <w:r>
        <w:rPr>
          <w:b/>
          <w:color w:val="000080"/>
          <w:sz w:val="22"/>
        </w:rPr>
        <w:t xml:space="preserve">e-mail: </w:t>
      </w:r>
      <w:hyperlink r:id="rId6">
        <w:r>
          <w:rPr>
            <w:rStyle w:val="Hyperlink"/>
            <w:b/>
            <w:sz w:val="22"/>
          </w:rPr>
          <w:t>euco.uutela@t-online.de</w:t>
        </w:r>
      </w:hyperlink>
    </w:p>
    <w:p>
      <w:pPr>
        <w:pStyle w:val="BodyText"/>
        <w:rPr>
          <w:b/>
          <w:color w:val="000080"/>
          <w:sz w:val="22"/>
        </w:rPr>
      </w:pPr>
      <w:r>
        <w:rPr>
          <w:b/>
          <w:color w:val="000080"/>
          <w:sz w:val="22"/>
        </w:rPr>
        <w:t>Roger Bognar, Bognar Enterprises Inc.</w:t>
      </w:r>
    </w:p>
    <w:p>
      <w:pPr>
        <w:pStyle w:val="BodyText"/>
        <w:rPr>
          <w:b/>
          <w:color w:val="000080"/>
          <w:sz w:val="22"/>
        </w:rPr>
      </w:pPr>
      <w:r>
        <w:rPr>
          <w:b/>
          <w:color w:val="000080"/>
          <w:sz w:val="22"/>
        </w:rPr>
        <w:t>17 Pondfield Lane</w:t>
      </w:r>
    </w:p>
    <w:p>
      <w:pPr>
        <w:pStyle w:val="BodyText"/>
        <w:rPr>
          <w:b/>
          <w:color w:val="000080"/>
          <w:sz w:val="22"/>
        </w:rPr>
      </w:pPr>
      <w:r>
        <w:rPr>
          <w:b/>
          <w:color w:val="000080"/>
          <w:sz w:val="22"/>
        </w:rPr>
        <w:t>Darien, CT 06820</w:t>
      </w:r>
    </w:p>
    <w:p>
      <w:pPr>
        <w:pStyle w:val="BodyText"/>
        <w:rPr>
          <w:b/>
          <w:color w:val="000080"/>
          <w:sz w:val="22"/>
        </w:rPr>
      </w:pPr>
      <w:r>
        <w:rPr>
          <w:b/>
          <w:color w:val="000080"/>
          <w:sz w:val="22"/>
        </w:rPr>
        <w:t>UNITED STATES</w:t>
      </w:r>
    </w:p>
    <w:p>
      <w:pPr>
        <w:pStyle w:val="BodyText"/>
        <w:rPr>
          <w:b/>
          <w:color w:val="000080"/>
          <w:sz w:val="22"/>
        </w:rPr>
      </w:pPr>
      <w:r>
        <w:rPr>
          <w:b/>
          <w:color w:val="000080"/>
          <w:sz w:val="22"/>
        </w:rPr>
        <w:t>Fax:</w:t>
        <w:tab/>
        <w:t>+1-203-655-3781</w:t>
      </w:r>
    </w:p>
    <w:p>
      <w:pPr>
        <w:pStyle w:val="BodyText"/>
        <w:rPr>
          <w:b/>
          <w:color w:val="000080"/>
          <w:sz w:val="22"/>
        </w:rPr>
      </w:pPr>
      <w:r>
        <w:rPr>
          <w:b/>
          <w:color w:val="000080"/>
          <w:sz w:val="22"/>
        </w:rPr>
        <w:t>Phone:</w:t>
        <w:tab/>
        <w:t>+1-203-655-9316</w:t>
      </w:r>
    </w:p>
    <w:p>
      <w:pPr>
        <w:sectPr>
          <w:type w:val="continuous"/>
          <w:pgSz w:w="11906" w:h="16838"/>
          <w:pgMar w:left="1418" w:right="1134" w:gutter="0" w:header="680" w:top="1134" w:footer="1077" w:bottom="1133"/>
          <w:cols w:num="2" w:space="708" w:equalWidth="true" w:sep="false"/>
          <w:formProt w:val="false"/>
          <w:titlePg/>
          <w:textDirection w:val="lrTb"/>
          <w:docGrid w:type="default" w:linePitch="360" w:charSpace="0"/>
        </w:sectPr>
      </w:pPr>
    </w:p>
    <w:p>
      <w:pPr>
        <w:pStyle w:val="BodyText"/>
        <w:rPr>
          <w:b/>
          <w:bCs/>
          <w:color w:val="000080"/>
          <w:sz w:val="22"/>
        </w:rPr>
      </w:pPr>
      <w:r>
        <w:rPr>
          <w:b/>
          <w:bCs/>
          <w:color w:val="000080"/>
          <w:sz w:val="22"/>
        </w:rPr>
      </w:r>
    </w:p>
    <w:p>
      <w:pPr>
        <w:pStyle w:val="BodyText"/>
        <w:jc w:val="center"/>
        <w:rPr>
          <w:b/>
          <w:bCs/>
          <w:color w:val="000080"/>
          <w:sz w:val="22"/>
        </w:rPr>
      </w:pPr>
      <w:r>
        <w:rPr>
          <w:b/>
          <w:bCs/>
          <w:color w:val="000080"/>
          <w:sz w:val="22"/>
        </w:rPr>
      </w:r>
    </w:p>
    <w:p>
      <w:pPr>
        <w:pStyle w:val="BodyText"/>
        <w:jc w:val="center"/>
        <w:rPr>
          <w:b/>
          <w:color w:val="000080"/>
        </w:rPr>
      </w:pPr>
      <w:r>
        <w:rPr>
          <w:b/>
          <w:color w:val="000080"/>
          <w:sz w:val="40"/>
        </w:rPr>
        <w:t>ORDER FORM</w:t>
      </w:r>
    </w:p>
    <w:p>
      <w:pPr>
        <w:pStyle w:val="BodyText"/>
        <w:rPr>
          <w:b/>
          <w:color w:val="000080"/>
        </w:rPr>
      </w:pPr>
      <w:r>
        <w:rPr>
          <w:b/>
          <w:color w:val="000080"/>
        </w:rPr>
      </w:r>
    </w:p>
    <w:p>
      <w:pPr>
        <w:pStyle w:val="BodyText"/>
        <w:rPr>
          <w:b/>
        </w:rPr>
      </w:pPr>
      <w:r>
        <w:rPr>
          <w:b/>
        </w:rPr>
        <w:t>TO:</w:t>
      </w:r>
    </w:p>
    <w:p>
      <w:pPr>
        <w:pStyle w:val="BodyText"/>
        <w:rPr>
          <w:b/>
          <w:bCs/>
        </w:rPr>
      </w:pPr>
      <w:r>
        <w:rPr>
          <w:b/>
          <w:bCs/>
        </w:rPr>
      </w:r>
    </w:p>
    <w:p>
      <w:pPr>
        <w:sectPr>
          <w:type w:val="continuous"/>
          <w:pgSz w:w="11906" w:h="16838"/>
          <w:pgMar w:left="1418" w:right="1134" w:gutter="0" w:header="680" w:top="1134" w:footer="1077" w:bottom="1133"/>
          <w:formProt w:val="false"/>
          <w:titlePg/>
          <w:textDirection w:val="lrTb"/>
          <w:docGrid w:type="default" w:linePitch="360" w:charSpace="0"/>
        </w:sectPr>
      </w:pPr>
    </w:p>
    <w:p>
      <w:pPr>
        <w:pStyle w:val="BodyText"/>
        <w:rPr/>
      </w:pPr>
      <w:r>
        <w:rPr>
          <w:b/>
        </w:rPr>
        <w:t>Esko Uutela</w:t>
      </w:r>
      <w:r>
        <w:rPr>
          <w:bCs/>
        </w:rPr>
        <w:t xml:space="preserve"> </w:t>
        <w:tab/>
        <w:tab/>
        <w:tab/>
        <w:t xml:space="preserve">    or</w:t>
      </w:r>
    </w:p>
    <w:p>
      <w:pPr>
        <w:pStyle w:val="BodyText"/>
        <w:rPr>
          <w:b/>
        </w:rPr>
      </w:pPr>
      <w:r>
        <w:rPr>
          <w:b/>
        </w:rPr>
        <w:t>EU Consulting</w:t>
      </w:r>
    </w:p>
    <w:p>
      <w:pPr>
        <w:pStyle w:val="BodyText"/>
        <w:rPr>
          <w:b/>
        </w:rPr>
      </w:pPr>
      <w:r>
        <w:rPr>
          <w:b/>
        </w:rPr>
        <w:t>Enzianstr. 4 B</w:t>
      </w:r>
    </w:p>
    <w:p>
      <w:pPr>
        <w:pStyle w:val="BodyText"/>
        <w:rPr>
          <w:b/>
        </w:rPr>
      </w:pPr>
      <w:r>
        <w:rPr>
          <w:b/>
        </w:rPr>
        <w:t>D-82319 STARNBERG</w:t>
      </w:r>
    </w:p>
    <w:p>
      <w:pPr>
        <w:pStyle w:val="BodyText"/>
        <w:rPr>
          <w:b/>
        </w:rPr>
      </w:pPr>
      <w:r>
        <w:rPr>
          <w:b/>
        </w:rPr>
        <w:t>GERMANY</w:t>
      </w:r>
    </w:p>
    <w:p>
      <w:pPr>
        <w:pStyle w:val="BodyText"/>
        <w:rPr>
          <w:b/>
        </w:rPr>
      </w:pPr>
      <w:r>
        <w:rPr>
          <w:b/>
        </w:rPr>
        <w:t>Fax: +49-8151-29183</w:t>
      </w:r>
    </w:p>
    <w:p>
      <w:pPr>
        <w:pStyle w:val="BodyText"/>
        <w:rPr/>
      </w:pPr>
      <w:r>
        <w:rPr>
          <w:b/>
        </w:rPr>
        <w:t xml:space="preserve">e-mail: </w:t>
      </w:r>
      <w:r>
        <w:rPr>
          <w:b/>
          <w:color w:val="0000FF"/>
        </w:rPr>
        <w:t>euco.uutela@t-online.de</w:t>
      </w:r>
    </w:p>
    <w:p>
      <w:pPr>
        <w:pStyle w:val="BodyText"/>
        <w:jc w:val="start"/>
        <w:rPr>
          <w:bCs/>
        </w:rPr>
      </w:pPr>
      <w:r>
        <w:rPr>
          <w:bCs/>
        </w:rPr>
        <w:t>(Europe, Asia-Pacific and Africa)</w:t>
      </w:r>
    </w:p>
    <w:p>
      <w:pPr>
        <w:pStyle w:val="BodyText"/>
        <w:rPr>
          <w:b/>
        </w:rPr>
      </w:pPr>
      <w:r>
        <w:rPr>
          <w:b/>
        </w:rPr>
        <w:t>Roger Bognar</w:t>
      </w:r>
    </w:p>
    <w:p>
      <w:pPr>
        <w:pStyle w:val="BodyText"/>
        <w:rPr>
          <w:b/>
        </w:rPr>
      </w:pPr>
      <w:r>
        <w:rPr>
          <w:b/>
        </w:rPr>
        <w:t>Bognar Enterprises Inc.</w:t>
      </w:r>
    </w:p>
    <w:p>
      <w:pPr>
        <w:pStyle w:val="BodyText"/>
        <w:rPr>
          <w:b/>
        </w:rPr>
      </w:pPr>
      <w:r>
        <w:rPr>
          <w:b/>
        </w:rPr>
        <w:t>17 Pondfield Lane</w:t>
      </w:r>
    </w:p>
    <w:p>
      <w:pPr>
        <w:pStyle w:val="BodyText"/>
        <w:rPr>
          <w:b/>
        </w:rPr>
      </w:pPr>
      <w:r>
        <w:rPr>
          <w:b/>
        </w:rPr>
        <w:t>Darien, CT 06820</w:t>
      </w:r>
    </w:p>
    <w:p>
      <w:pPr>
        <w:pStyle w:val="BodyText"/>
        <w:rPr>
          <w:b/>
        </w:rPr>
      </w:pPr>
      <w:r>
        <w:rPr>
          <w:b/>
        </w:rPr>
        <w:t>UNITED STATES</w:t>
      </w:r>
    </w:p>
    <w:p>
      <w:pPr>
        <w:pStyle w:val="BodyText"/>
        <w:rPr>
          <w:b/>
        </w:rPr>
      </w:pPr>
      <w:r>
        <w:rPr>
          <w:b/>
        </w:rPr>
        <w:t>Fax: +1-203-655-3781</w:t>
      </w:r>
    </w:p>
    <w:p>
      <w:pPr>
        <w:pStyle w:val="BodyText"/>
        <w:jc w:val="start"/>
        <w:rPr>
          <w:bCs/>
        </w:rPr>
      </w:pPr>
      <w:r>
        <w:rPr>
          <w:bCs/>
        </w:rPr>
        <w:t>(North and Latin America)</w:t>
      </w:r>
    </w:p>
    <w:p>
      <w:pPr>
        <w:sectPr>
          <w:type w:val="continuous"/>
          <w:pgSz w:w="11906" w:h="16838"/>
          <w:pgMar w:left="1418" w:right="1134" w:gutter="0" w:header="680" w:top="1134" w:footer="1077" w:bottom="1133"/>
          <w:cols w:num="2" w:space="708" w:equalWidth="true" w:sep="false"/>
          <w:formProt w:val="false"/>
          <w:titlePg/>
          <w:textDirection w:val="lrTb"/>
          <w:docGrid w:type="default" w:linePitch="360" w:charSpace="0"/>
        </w:sectPr>
      </w:pPr>
    </w:p>
    <w:p>
      <w:pPr>
        <w:pStyle w:val="BodyText"/>
        <w:rPr>
          <w:bCs/>
        </w:rPr>
      </w:pPr>
      <w:r>
        <w:rPr>
          <w:bCs/>
        </w:rPr>
      </w:r>
    </w:p>
    <w:p>
      <w:pPr>
        <w:pStyle w:val="BodyText"/>
        <w:rPr>
          <w:b/>
        </w:rPr>
      </w:pPr>
      <w:r>
        <w:rPr>
          <w:b/>
        </w:rPr>
        <w:t>REPORT:</w:t>
        <w:tab/>
        <w:tab/>
        <w:tab/>
        <w:t>OUTLOOK FOR WORLD TISSUE PAPER BUSINESS</w:t>
      </w:r>
    </w:p>
    <w:p>
      <w:pPr>
        <w:pStyle w:val="BodyText"/>
        <w:ind w:firstLine="708" w:start="708" w:end="0"/>
        <w:jc w:val="center"/>
        <w:rPr>
          <w:b/>
          <w:i/>
          <w:i/>
          <w:iCs/>
        </w:rPr>
      </w:pPr>
      <w:r>
        <w:rPr>
          <w:b/>
          <w:i/>
          <w:iCs/>
        </w:rPr>
        <w:t>Edition 2001</w:t>
      </w:r>
    </w:p>
    <w:p>
      <w:pPr>
        <w:pStyle w:val="BodyText"/>
        <w:rPr>
          <w:b/>
          <w:i/>
          <w:i/>
          <w:iCs/>
        </w:rPr>
      </w:pPr>
      <w:r>
        <w:rPr>
          <w:b/>
          <w:i/>
          <w:iCs/>
        </w:rPr>
      </w:r>
    </w:p>
    <w:p>
      <w:pPr>
        <w:pStyle w:val="BodyText"/>
        <w:ind w:hanging="2832" w:start="2832" w:end="0"/>
        <w:rPr/>
      </w:pPr>
      <w:r>
        <w:rPr>
          <w:b/>
        </w:rPr>
        <w:t>SUBSCRIPTION PRICE:</w:t>
        <w:tab/>
        <w:t xml:space="preserve">Euro 3,950 (corresponding to US$  3,500). </w:t>
      </w:r>
      <w:r>
        <w:rPr>
          <w:bCs/>
        </w:rPr>
        <w:t>Each subscriber will receive two copies of the report. Further copies cost Euro 85 each.</w:t>
      </w:r>
      <w:r>
        <w:rPr>
          <w:b/>
        </w:rPr>
        <w:t xml:space="preserve"> </w:t>
      </w:r>
      <w:r>
        <w:rPr>
          <w:bCs/>
        </w:rPr>
        <w:t>(VAT applicable for orders in Germany).</w:t>
      </w:r>
    </w:p>
    <w:p>
      <w:pPr>
        <w:pStyle w:val="BodyText"/>
        <w:ind w:hanging="2832" w:start="2832" w:end="0"/>
        <w:rPr>
          <w:bCs/>
        </w:rPr>
      </w:pPr>
      <w:r>
        <w:rPr>
          <w:bCs/>
        </w:rPr>
      </w:r>
    </w:p>
    <w:p>
      <w:pPr>
        <w:pStyle w:val="BodyText"/>
        <w:ind w:hanging="2832" w:start="2832" w:end="0"/>
        <w:rPr/>
      </w:pPr>
      <w:r>
        <w:rPr>
          <w:b/>
          <w:bCs/>
        </w:rPr>
        <w:t>PAYMENT TERMS:</w:t>
      </w:r>
      <w:r>
        <w:rPr/>
        <w:tab/>
        <w:t>All subscriptions are payable on delivery of the report.</w:t>
      </w:r>
    </w:p>
    <w:p>
      <w:pPr>
        <w:pStyle w:val="BodyText"/>
        <w:ind w:hanging="2832" w:start="2832" w:end="0"/>
        <w:rPr/>
      </w:pPr>
      <w:r>
        <w:rPr/>
      </w:r>
    </w:p>
    <w:tbl>
      <w:tblPr>
        <w:tblW w:w="9350" w:type="dxa"/>
        <w:jc w:val="start"/>
        <w:tblInd w:w="161" w:type="dxa"/>
        <w:tblLayout w:type="fixed"/>
        <w:tblCellMar>
          <w:top w:w="0" w:type="dxa"/>
          <w:start w:w="70" w:type="dxa"/>
          <w:bottom w:w="0" w:type="dxa"/>
          <w:end w:w="70" w:type="dxa"/>
        </w:tblCellMar>
      </w:tblPr>
      <w:tblGrid>
        <w:gridCol w:w="4732"/>
        <w:gridCol w:w="451"/>
        <w:gridCol w:w="798"/>
        <w:gridCol w:w="3369"/>
      </w:tblGrid>
      <w:tr>
        <w:trPr/>
        <w:tc>
          <w:tcPr>
            <w:tcW w:w="5981" w:type="dxa"/>
            <w:gridSpan w:val="3"/>
            <w:tcBorders>
              <w:top w:val="double" w:sz="4" w:space="0" w:color="000000"/>
              <w:start w:val="double" w:sz="4" w:space="0" w:color="000000"/>
            </w:tcBorders>
          </w:tcPr>
          <w:p>
            <w:pPr>
              <w:pStyle w:val="BodyText"/>
              <w:snapToGrid w:val="false"/>
              <w:rPr/>
            </w:pPr>
            <w:r>
              <w:rPr/>
            </w:r>
          </w:p>
        </w:tc>
        <w:tc>
          <w:tcPr>
            <w:tcW w:w="3369" w:type="dxa"/>
            <w:tcBorders>
              <w:top w:val="double" w:sz="4" w:space="0" w:color="000000"/>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b/>
                <w:bCs/>
                <w:sz w:val="32"/>
              </w:rPr>
              <w:t>□</w:t>
            </w:r>
            <w:r>
              <w:rPr>
                <w:sz w:val="32"/>
              </w:rPr>
              <w:t xml:space="preserve">    </w:t>
            </w:r>
            <w:r>
              <w:rPr>
                <w:i/>
                <w:iCs/>
              </w:rPr>
              <w:t>I wish to subscribe to this report. Please invoice me on delivery.</w:t>
            </w:r>
          </w:p>
        </w:tc>
      </w:tr>
      <w:tr>
        <w:trPr/>
        <w:tc>
          <w:tcPr>
            <w:tcW w:w="5981" w:type="dxa"/>
            <w:gridSpan w:val="3"/>
            <w:tcBorders>
              <w:start w:val="double" w:sz="4" w:space="0" w:color="000000"/>
            </w:tcBorders>
          </w:tcPr>
          <w:p>
            <w:pPr>
              <w:pStyle w:val="BodyText"/>
              <w:snapToGrid w:val="false"/>
              <w:rPr>
                <w:i/>
                <w:i/>
                <w:iCs/>
              </w:rPr>
            </w:pPr>
            <w:r>
              <w:rPr>
                <w:i/>
                <w:iCs/>
              </w:rPr>
            </w:r>
          </w:p>
        </w:tc>
        <w:tc>
          <w:tcPr>
            <w:tcW w:w="3369" w:type="dxa"/>
            <w:tcBorders>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b/>
                <w:bCs/>
                <w:sz w:val="32"/>
              </w:rPr>
              <w:t>□</w:t>
            </w:r>
            <w:r>
              <w:rPr>
                <w:sz w:val="32"/>
              </w:rPr>
              <w:t xml:space="preserve">    </w:t>
            </w:r>
            <w:r>
              <w:rPr>
                <w:i/>
                <w:iCs/>
              </w:rPr>
              <w:t xml:space="preserve">I am interested in this report but would like to receive more information. </w:t>
            </w:r>
          </w:p>
          <w:p>
            <w:pPr>
              <w:pStyle w:val="BodyText"/>
              <w:rPr>
                <w:i/>
                <w:i/>
                <w:iCs/>
              </w:rPr>
            </w:pPr>
            <w:r>
              <w:rPr>
                <w:i/>
                <w:iCs/>
              </w:rPr>
              <w:t xml:space="preserve">        </w:t>
            </w:r>
            <w:r>
              <w:rPr>
                <w:i/>
                <w:iCs/>
              </w:rPr>
              <w:t>Please  contact me.</w:t>
            </w:r>
          </w:p>
        </w:tc>
      </w:tr>
      <w:tr>
        <w:trPr/>
        <w:tc>
          <w:tcPr>
            <w:tcW w:w="5981" w:type="dxa"/>
            <w:gridSpan w:val="3"/>
            <w:tcBorders>
              <w:start w:val="double" w:sz="4" w:space="0" w:color="000000"/>
            </w:tcBorders>
          </w:tcPr>
          <w:p>
            <w:pPr>
              <w:pStyle w:val="BodyText"/>
              <w:snapToGrid w:val="false"/>
              <w:rPr/>
            </w:pPr>
            <w:r>
              <w:rPr/>
            </w:r>
          </w:p>
        </w:tc>
        <w:tc>
          <w:tcPr>
            <w:tcW w:w="3369" w:type="dxa"/>
            <w:tcBorders>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jc w:val="start"/>
              <w:rPr>
                <w:b/>
                <w:bCs/>
              </w:rPr>
            </w:pPr>
            <w:r>
              <w:rPr>
                <w:b/>
                <w:bCs/>
              </w:rPr>
              <w:t xml:space="preserve">Number of copies required: </w:t>
            </w:r>
            <w:r>
              <w:rPr/>
              <w:t>…………………………………………………………………..</w:t>
            </w:r>
          </w:p>
        </w:tc>
      </w:tr>
      <w:tr>
        <w:trPr/>
        <w:tc>
          <w:tcPr>
            <w:tcW w:w="5183" w:type="dxa"/>
            <w:gridSpan w:val="2"/>
            <w:tcBorders>
              <w:start w:val="double" w:sz="4" w:space="0" w:color="000000"/>
            </w:tcBorders>
          </w:tcPr>
          <w:p>
            <w:pPr>
              <w:pStyle w:val="BodyText"/>
              <w:snapToGrid w:val="false"/>
              <w:rPr>
                <w:b/>
                <w:bCs/>
              </w:rPr>
            </w:pPr>
            <w:r>
              <w:rPr>
                <w:b/>
                <w:bCs/>
              </w:rPr>
            </w:r>
          </w:p>
        </w:tc>
        <w:tc>
          <w:tcPr>
            <w:tcW w:w="4167" w:type="dxa"/>
            <w:gridSpan w:val="2"/>
            <w:tcBorders>
              <w:end w:val="double" w:sz="4" w:space="0" w:color="000000"/>
            </w:tcBorders>
          </w:tcPr>
          <w:p>
            <w:pPr>
              <w:pStyle w:val="BodyText"/>
              <w:snapToGrid w:val="false"/>
              <w:rPr/>
            </w:pPr>
            <w:r>
              <w:rPr/>
            </w:r>
          </w:p>
        </w:tc>
      </w:tr>
      <w:tr>
        <w:trPr/>
        <w:tc>
          <w:tcPr>
            <w:tcW w:w="5183" w:type="dxa"/>
            <w:gridSpan w:val="2"/>
            <w:tcBorders>
              <w:start w:val="double" w:sz="4" w:space="0" w:color="000000"/>
            </w:tcBorders>
          </w:tcPr>
          <w:p>
            <w:pPr>
              <w:pStyle w:val="BodyText"/>
              <w:rPr/>
            </w:pPr>
            <w:r>
              <w:rPr>
                <w:b/>
                <w:bCs/>
              </w:rPr>
              <w:t>Name:</w:t>
            </w:r>
            <w:r>
              <w:rPr/>
              <w:t xml:space="preserve"> ……………………………………………...</w:t>
            </w:r>
          </w:p>
        </w:tc>
        <w:tc>
          <w:tcPr>
            <w:tcW w:w="4167" w:type="dxa"/>
            <w:gridSpan w:val="2"/>
            <w:tcBorders>
              <w:end w:val="double" w:sz="4" w:space="0" w:color="000000"/>
            </w:tcBorders>
          </w:tcPr>
          <w:p>
            <w:pPr>
              <w:pStyle w:val="BodyText"/>
              <w:rPr/>
            </w:pPr>
            <w:r>
              <w:rPr>
                <w:b/>
                <w:bCs/>
              </w:rPr>
              <w:t>Position:</w:t>
            </w:r>
            <w:r>
              <w:rPr/>
              <w:t>…………………………………</w:t>
            </w:r>
          </w:p>
        </w:tc>
      </w:tr>
      <w:tr>
        <w:trPr/>
        <w:tc>
          <w:tcPr>
            <w:tcW w:w="5183" w:type="dxa"/>
            <w:gridSpan w:val="2"/>
            <w:tcBorders>
              <w:start w:val="double" w:sz="4" w:space="0" w:color="000000"/>
            </w:tcBorders>
          </w:tcPr>
          <w:p>
            <w:pPr>
              <w:pStyle w:val="BodyText"/>
              <w:snapToGrid w:val="false"/>
              <w:rPr/>
            </w:pPr>
            <w:r>
              <w:rPr/>
            </w:r>
          </w:p>
        </w:tc>
        <w:tc>
          <w:tcPr>
            <w:tcW w:w="4167" w:type="dxa"/>
            <w:gridSpan w:val="2"/>
            <w:tcBorders>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b/>
                <w:bCs/>
              </w:rPr>
              <w:t>Company:</w:t>
            </w:r>
            <w:r>
              <w:rPr/>
              <w:t>………………………………………………………………………………………...</w:t>
            </w:r>
          </w:p>
        </w:tc>
      </w:tr>
      <w:tr>
        <w:trPr/>
        <w:tc>
          <w:tcPr>
            <w:tcW w:w="5183" w:type="dxa"/>
            <w:gridSpan w:val="2"/>
            <w:tcBorders>
              <w:start w:val="double" w:sz="4" w:space="0" w:color="000000"/>
            </w:tcBorders>
          </w:tcPr>
          <w:p>
            <w:pPr>
              <w:pStyle w:val="BodyText"/>
              <w:snapToGrid w:val="false"/>
              <w:rPr/>
            </w:pPr>
            <w:r>
              <w:rPr/>
            </w:r>
          </w:p>
        </w:tc>
        <w:tc>
          <w:tcPr>
            <w:tcW w:w="4167" w:type="dxa"/>
            <w:gridSpan w:val="2"/>
            <w:tcBorders>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b/>
                <w:bCs/>
              </w:rPr>
              <w:t>Address:</w:t>
            </w:r>
            <w:r>
              <w:rPr/>
              <w:t xml:space="preserve"> ………………………………………………………………………………………….</w:t>
            </w:r>
          </w:p>
        </w:tc>
      </w:tr>
      <w:tr>
        <w:trPr/>
        <w:tc>
          <w:tcPr>
            <w:tcW w:w="9350" w:type="dxa"/>
            <w:gridSpan w:val="4"/>
            <w:tcBorders>
              <w:start w:val="double" w:sz="4" w:space="0" w:color="000000"/>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t xml:space="preserve">                …………………………………………………………………………………………</w:t>
            </w:r>
            <w:r>
              <w:rPr/>
              <w:t>.</w:t>
            </w:r>
          </w:p>
        </w:tc>
      </w:tr>
      <w:tr>
        <w:trPr/>
        <w:tc>
          <w:tcPr>
            <w:tcW w:w="9350" w:type="dxa"/>
            <w:gridSpan w:val="4"/>
            <w:tcBorders>
              <w:start w:val="double" w:sz="4" w:space="0" w:color="000000"/>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t xml:space="preserve">                …………………………………………………………………………………………</w:t>
            </w:r>
            <w:r>
              <w:rPr/>
              <w:t>.</w:t>
            </w:r>
          </w:p>
        </w:tc>
      </w:tr>
      <w:tr>
        <w:trPr/>
        <w:tc>
          <w:tcPr>
            <w:tcW w:w="9350" w:type="dxa"/>
            <w:gridSpan w:val="4"/>
            <w:tcBorders>
              <w:start w:val="double" w:sz="4" w:space="0" w:color="000000"/>
              <w:end w:val="double" w:sz="4" w:space="0" w:color="000000"/>
            </w:tcBorders>
          </w:tcPr>
          <w:p>
            <w:pPr>
              <w:pStyle w:val="BodyText"/>
              <w:snapToGrid w:val="false"/>
              <w:rPr/>
            </w:pPr>
            <w:r>
              <w:rPr/>
            </w:r>
          </w:p>
        </w:tc>
      </w:tr>
      <w:tr>
        <w:trPr/>
        <w:tc>
          <w:tcPr>
            <w:tcW w:w="9350" w:type="dxa"/>
            <w:gridSpan w:val="4"/>
            <w:tcBorders>
              <w:start w:val="double" w:sz="4" w:space="0" w:color="000000"/>
              <w:end w:val="double" w:sz="4" w:space="0" w:color="000000"/>
            </w:tcBorders>
          </w:tcPr>
          <w:p>
            <w:pPr>
              <w:pStyle w:val="BodyText"/>
              <w:rPr/>
            </w:pPr>
            <w:r>
              <w:rPr/>
              <w:t xml:space="preserve">                …………………………………………………………………………………………</w:t>
            </w:r>
            <w:r>
              <w:rPr/>
              <w:t>.</w:t>
            </w:r>
          </w:p>
        </w:tc>
      </w:tr>
      <w:tr>
        <w:trPr/>
        <w:tc>
          <w:tcPr>
            <w:tcW w:w="4732" w:type="dxa"/>
            <w:tcBorders>
              <w:start w:val="double" w:sz="4" w:space="0" w:color="000000"/>
            </w:tcBorders>
          </w:tcPr>
          <w:p>
            <w:pPr>
              <w:pStyle w:val="BodyText"/>
              <w:snapToGrid w:val="false"/>
              <w:rPr>
                <w:b/>
                <w:bCs/>
              </w:rPr>
            </w:pPr>
            <w:r>
              <w:rPr>
                <w:b/>
                <w:bCs/>
              </w:rPr>
            </w:r>
          </w:p>
        </w:tc>
        <w:tc>
          <w:tcPr>
            <w:tcW w:w="4618" w:type="dxa"/>
            <w:gridSpan w:val="3"/>
            <w:tcBorders>
              <w:end w:val="double" w:sz="4" w:space="0" w:color="000000"/>
            </w:tcBorders>
          </w:tcPr>
          <w:p>
            <w:pPr>
              <w:pStyle w:val="BodyText"/>
              <w:snapToGrid w:val="false"/>
              <w:rPr>
                <w:b/>
                <w:bCs/>
              </w:rPr>
            </w:pPr>
            <w:r>
              <w:rPr>
                <w:b/>
                <w:bCs/>
              </w:rPr>
            </w:r>
          </w:p>
        </w:tc>
      </w:tr>
      <w:tr>
        <w:trPr/>
        <w:tc>
          <w:tcPr>
            <w:tcW w:w="4732" w:type="dxa"/>
            <w:tcBorders>
              <w:start w:val="double" w:sz="4" w:space="0" w:color="000000"/>
            </w:tcBorders>
          </w:tcPr>
          <w:p>
            <w:pPr>
              <w:pStyle w:val="BodyText"/>
              <w:rPr/>
            </w:pPr>
            <w:r>
              <w:rPr>
                <w:b/>
                <w:bCs/>
              </w:rPr>
              <w:t>Telephone:</w:t>
            </w:r>
            <w:r>
              <w:rPr/>
              <w:t>…………………………………….</w:t>
            </w:r>
          </w:p>
        </w:tc>
        <w:tc>
          <w:tcPr>
            <w:tcW w:w="4618" w:type="dxa"/>
            <w:gridSpan w:val="3"/>
            <w:tcBorders>
              <w:end w:val="double" w:sz="4" w:space="0" w:color="000000"/>
            </w:tcBorders>
          </w:tcPr>
          <w:p>
            <w:pPr>
              <w:pStyle w:val="BodyText"/>
              <w:rPr/>
            </w:pPr>
            <w:r>
              <w:rPr>
                <w:b/>
                <w:bCs/>
              </w:rPr>
              <w:t>Telefax:</w:t>
            </w:r>
            <w:r>
              <w:rPr/>
              <w:t>………………………………………</w:t>
            </w:r>
          </w:p>
        </w:tc>
      </w:tr>
      <w:tr>
        <w:trPr/>
        <w:tc>
          <w:tcPr>
            <w:tcW w:w="4732" w:type="dxa"/>
            <w:tcBorders>
              <w:start w:val="double" w:sz="4" w:space="0" w:color="000000"/>
            </w:tcBorders>
          </w:tcPr>
          <w:p>
            <w:pPr>
              <w:pStyle w:val="BodyText"/>
              <w:snapToGrid w:val="false"/>
              <w:rPr>
                <w:b/>
                <w:bCs/>
              </w:rPr>
            </w:pPr>
            <w:r>
              <w:rPr>
                <w:b/>
                <w:bCs/>
              </w:rPr>
            </w:r>
          </w:p>
        </w:tc>
        <w:tc>
          <w:tcPr>
            <w:tcW w:w="4618" w:type="dxa"/>
            <w:gridSpan w:val="3"/>
            <w:tcBorders>
              <w:end w:val="double" w:sz="4" w:space="0" w:color="000000"/>
            </w:tcBorders>
          </w:tcPr>
          <w:p>
            <w:pPr>
              <w:pStyle w:val="BodyText"/>
              <w:snapToGrid w:val="false"/>
              <w:rPr>
                <w:b/>
                <w:bCs/>
              </w:rPr>
            </w:pPr>
            <w:r>
              <w:rPr>
                <w:b/>
                <w:bCs/>
              </w:rPr>
            </w:r>
          </w:p>
        </w:tc>
      </w:tr>
      <w:tr>
        <w:trPr/>
        <w:tc>
          <w:tcPr>
            <w:tcW w:w="9350" w:type="dxa"/>
            <w:gridSpan w:val="4"/>
            <w:tcBorders>
              <w:start w:val="double" w:sz="4" w:space="0" w:color="000000"/>
              <w:end w:val="double" w:sz="4" w:space="0" w:color="000000"/>
            </w:tcBorders>
          </w:tcPr>
          <w:p>
            <w:pPr>
              <w:pStyle w:val="BodyText"/>
              <w:rPr/>
            </w:pPr>
            <w:r>
              <w:rPr>
                <w:b/>
                <w:bCs/>
              </w:rPr>
              <w:t>E-mail:</w:t>
            </w:r>
            <w:r>
              <w:rPr/>
              <w:t xml:space="preserve"> …………………………………………………………………………………………...</w:t>
            </w:r>
          </w:p>
        </w:tc>
      </w:tr>
      <w:tr>
        <w:trPr/>
        <w:tc>
          <w:tcPr>
            <w:tcW w:w="4732" w:type="dxa"/>
            <w:tcBorders>
              <w:start w:val="double" w:sz="4" w:space="0" w:color="000000"/>
            </w:tcBorders>
          </w:tcPr>
          <w:p>
            <w:pPr>
              <w:pStyle w:val="BodyText"/>
              <w:snapToGrid w:val="false"/>
              <w:rPr/>
            </w:pPr>
            <w:r>
              <w:rPr/>
            </w:r>
          </w:p>
        </w:tc>
        <w:tc>
          <w:tcPr>
            <w:tcW w:w="4618" w:type="dxa"/>
            <w:gridSpan w:val="3"/>
            <w:tcBorders>
              <w:end w:val="double" w:sz="4" w:space="0" w:color="000000"/>
            </w:tcBorders>
          </w:tcPr>
          <w:p>
            <w:pPr>
              <w:pStyle w:val="BodyText"/>
              <w:snapToGrid w:val="false"/>
              <w:rPr/>
            </w:pPr>
            <w:r>
              <w:rPr/>
            </w:r>
          </w:p>
        </w:tc>
      </w:tr>
      <w:tr>
        <w:trPr/>
        <w:tc>
          <w:tcPr>
            <w:tcW w:w="4732" w:type="dxa"/>
            <w:tcBorders>
              <w:start w:val="double" w:sz="4" w:space="0" w:color="000000"/>
            </w:tcBorders>
          </w:tcPr>
          <w:p>
            <w:pPr>
              <w:pStyle w:val="BodyText"/>
              <w:rPr/>
            </w:pPr>
            <w:r>
              <w:rPr>
                <w:b/>
                <w:bCs/>
              </w:rPr>
              <w:t>Signature:</w:t>
            </w:r>
            <w:r>
              <w:rPr/>
              <w:t>……………………………………..</w:t>
            </w:r>
          </w:p>
        </w:tc>
        <w:tc>
          <w:tcPr>
            <w:tcW w:w="4618" w:type="dxa"/>
            <w:gridSpan w:val="3"/>
            <w:tcBorders>
              <w:end w:val="double" w:sz="4" w:space="0" w:color="000000"/>
            </w:tcBorders>
          </w:tcPr>
          <w:p>
            <w:pPr>
              <w:pStyle w:val="BodyText"/>
              <w:rPr/>
            </w:pPr>
            <w:r>
              <w:rPr>
                <w:b/>
                <w:bCs/>
              </w:rPr>
              <w:t>Date:</w:t>
            </w:r>
            <w:r>
              <w:rPr/>
              <w:t xml:space="preserve"> …………………………………………</w:t>
            </w:r>
          </w:p>
        </w:tc>
      </w:tr>
      <w:tr>
        <w:trPr/>
        <w:tc>
          <w:tcPr>
            <w:tcW w:w="4732" w:type="dxa"/>
            <w:tcBorders>
              <w:start w:val="double" w:sz="4" w:space="0" w:color="000000"/>
              <w:bottom w:val="double" w:sz="4" w:space="0" w:color="000000"/>
            </w:tcBorders>
          </w:tcPr>
          <w:p>
            <w:pPr>
              <w:pStyle w:val="BodyText"/>
              <w:snapToGrid w:val="false"/>
              <w:rPr/>
            </w:pPr>
            <w:r>
              <w:rPr/>
            </w:r>
          </w:p>
        </w:tc>
        <w:tc>
          <w:tcPr>
            <w:tcW w:w="4618" w:type="dxa"/>
            <w:gridSpan w:val="3"/>
            <w:tcBorders>
              <w:bottom w:val="double" w:sz="4" w:space="0" w:color="000000"/>
              <w:end w:val="double" w:sz="4" w:space="0" w:color="000000"/>
            </w:tcBorders>
          </w:tcPr>
          <w:p>
            <w:pPr>
              <w:pStyle w:val="BodyText"/>
              <w:snapToGrid w:val="false"/>
              <w:rPr/>
            </w:pPr>
            <w:r>
              <w:rPr/>
            </w:r>
          </w:p>
        </w:tc>
      </w:tr>
    </w:tbl>
    <w:p>
      <w:pPr>
        <w:pStyle w:val="BodyText"/>
        <w:rPr/>
      </w:pPr>
      <w:r>
        <w:rPr/>
      </w:r>
    </w:p>
    <w:sectPr>
      <w:type w:val="continuous"/>
      <w:pgSz w:w="11906" w:h="16838"/>
      <w:pgMar w:left="1418" w:right="1134" w:gutter="0" w:header="680" w:top="1134" w:footer="1077" w:bottom="113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bCs/>
        <w:i/>
        <w:iCs/>
      </w:rPr>
      <w:t xml:space="preserve">…  </w:t>
    </w:r>
    <w:r>
      <w:rPr>
        <w:b/>
        <w:bCs/>
        <w:i/>
        <w:iCs/>
      </w:rPr>
      <w:t xml:space="preserve">New Report from the Publishers of </w:t>
    </w:r>
    <w:r>
      <w:rPr>
        <w:b/>
        <w:bCs/>
        <w:i/>
        <w:iCs/>
        <w:color w:val="000080"/>
      </w:rPr>
      <w:t>“World Tissue Business Monitor”</w:t>
    </w:r>
    <w:r>
      <w:rPr>
        <w:b/>
        <w:bCs/>
        <w:i/>
        <w:iC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bCs/>
        <w:i/>
        <w:iCs/>
      </w:rPr>
      <w:t xml:space="preserve">…  </w:t>
    </w:r>
    <w:r>
      <w:rPr>
        <w:b/>
        <w:bCs/>
        <w:i/>
        <w:iCs/>
      </w:rPr>
      <w:t xml:space="preserve">New Report  from the Publishers of </w:t>
    </w:r>
    <w:r>
      <w:rPr>
        <w:b/>
        <w:bCs/>
        <w:i/>
        <w:iCs/>
        <w:color w:val="000080"/>
      </w:rPr>
      <w:t>“World Tissue Business Monitor”</w:t>
    </w:r>
    <w:r>
      <w:rPr>
        <w:b/>
        <w:bCs/>
        <w:i/>
        <w:iC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i/>
        <w:i/>
        <w:color w:val="000080"/>
      </w:rPr>
    </w:pPr>
    <w:r>
      <w:rPr>
        <w:b/>
        <w:i/>
        <w:color w:val="000080"/>
      </w:rPr>
      <w:t>EU Consulting, Germany</w:t>
      <w:tab/>
      <w:t xml:space="preserve">                                                 Bognar Enterprises Inc., USA</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4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60"/>
        </w:tabs>
        <w:ind w:start="6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i/>
      <w:iCs/>
      <w:sz w:val="28"/>
    </w:rPr>
  </w:style>
  <w:style w:type="paragraph" w:styleId="Heading2">
    <w:name w:val="heading 2"/>
    <w:basedOn w:val="Normal"/>
    <w:next w:val="Normal"/>
    <w:qFormat/>
    <w:pPr>
      <w:keepNext w:val="true"/>
      <w:numPr>
        <w:ilvl w:val="1"/>
        <w:numId w:val="1"/>
      </w:numPr>
      <w:jc w:val="center"/>
      <w:outlineLvl w:val="1"/>
    </w:pPr>
    <w:rPr>
      <w:b/>
      <w:bCs/>
      <w:i/>
      <w:iCs/>
      <w:color w:val="FF0000"/>
      <w:sz w:val="36"/>
    </w:rPr>
  </w:style>
  <w:style w:type="paragraph" w:styleId="Heading3">
    <w:name w:val="heading 3"/>
    <w:basedOn w:val="Normal"/>
    <w:next w:val="Normal"/>
    <w:qFormat/>
    <w:pPr>
      <w:keepNext w:val="true"/>
      <w:numPr>
        <w:ilvl w:val="2"/>
        <w:numId w:val="1"/>
      </w:numPr>
      <w:outlineLvl w:val="2"/>
    </w:pPr>
    <w:rPr>
      <w:b/>
      <w:bCs/>
      <w:i/>
      <w:iCs/>
      <w:color w:val="CC3300"/>
      <w:sz w:val="28"/>
    </w:rPr>
  </w:style>
  <w:style w:type="paragraph" w:styleId="Heading4">
    <w:name w:val="heading 4"/>
    <w:basedOn w:val="Normal"/>
    <w:next w:val="Normal"/>
    <w:qFormat/>
    <w:pPr>
      <w:keepNext w:val="true"/>
      <w:numPr>
        <w:ilvl w:val="3"/>
        <w:numId w:val="1"/>
      </w:numPr>
      <w:jc w:val="center"/>
      <w:outlineLvl w:val="3"/>
    </w:pPr>
    <w:rPr>
      <w:b/>
      <w:sz w:val="72"/>
    </w:rPr>
  </w:style>
  <w:style w:type="paragraph" w:styleId="Heading5">
    <w:name w:val="heading 5"/>
    <w:basedOn w:val="Normal"/>
    <w:next w:val="Normal"/>
    <w:qFormat/>
    <w:pPr>
      <w:keepNext w:val="true"/>
      <w:numPr>
        <w:ilvl w:val="4"/>
        <w:numId w:val="1"/>
      </w:numPr>
      <w:jc w:val="center"/>
      <w:outlineLvl w:val="4"/>
    </w:pPr>
    <w:rPr>
      <w:b/>
      <w:color w:val="000080"/>
      <w:sz w:val="96"/>
    </w:rPr>
  </w:style>
  <w:style w:type="paragraph" w:styleId="Heading6">
    <w:name w:val="heading 6"/>
    <w:basedOn w:val="Normal"/>
    <w:next w:val="Normal"/>
    <w:qFormat/>
    <w:pPr>
      <w:keepNext w:val="true"/>
      <w:numPr>
        <w:ilvl w:val="5"/>
        <w:numId w:val="1"/>
      </w:numPr>
      <w:jc w:val="center"/>
      <w:outlineLvl w:val="5"/>
    </w:pPr>
    <w:rPr>
      <w:b/>
      <w:color w:val="000080"/>
      <w:sz w:val="40"/>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jc w:val="both"/>
      <w:outlineLvl w:val="7"/>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Absatz-Standardschriftart">
    <w:name w:val="Absatz-Standardschriftart"/>
    <w:qFormat/>
    <w:rPr/>
  </w:style>
  <w:style w:type="character" w:styleId="PageNumber">
    <w:name w:val="page number"/>
    <w:basedOn w:val="Absatz-Standardschriftart"/>
    <w:rPr/>
  </w:style>
  <w:style w:type="character" w:styleId="Hyperlink">
    <w:name w:val="Hyperlink"/>
    <w:basedOn w:val="Absatz-Standardschriftar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Dokumentstruktur">
    <w:name w:val="Dokumentstruktur"/>
    <w:basedOn w:val="Normal"/>
    <w:qFormat/>
    <w:pPr>
      <w:shd w:fill="000080" w:val="clear"/>
    </w:pPr>
    <w:rPr>
      <w:rFonts w:ascii="Tahoma" w:hAnsi="Tahoma" w:cs="Tahoma"/>
    </w:rPr>
  </w:style>
  <w:style w:type="paragraph" w:styleId="Textkrper2">
    <w:name w:val="Textkörper 2"/>
    <w:basedOn w:val="Normal"/>
    <w:qFormat/>
    <w:pPr>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536"/>
        <w:tab w:val="clear" w:pos="9072"/>
        <w:tab w:val="center" w:pos="4535" w:leader="none"/>
        <w:tab w:val="right" w:pos="907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euco.uutela@t-online.de"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2000-10-06T11:14:00Z</dcterms:created>
  <dc:creator>Esko Uutela</dc:creator>
  <dc:description/>
  <dc:language>en-CA</dc:language>
  <cp:lastModifiedBy>Esko Uutela</cp:lastModifiedBy>
  <cp:lastPrinted>2000-10-10T14:00:00Z</cp:lastPrinted>
  <dcterms:modified xsi:type="dcterms:W3CDTF">2001-08-01T07:26:00Z</dcterms:modified>
  <cp:revision>41</cp:revision>
  <dc:subject/>
  <dc:title>EU Consulting</dc:title>
</cp:coreProperties>
</file>