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6120" w:leader="none"/>
          <w:tab w:val="right" w:pos="9360" w:leader="none"/>
        </w:tabs>
        <w:rPr/>
      </w:pPr>
      <w:r>
        <w:rPr/>
        <w:drawing>
          <wp:inline distT="0" distB="0" distL="0" distR="0">
            <wp:extent cx="716915" cy="70358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  <w:t>Natural Gas, Electricity and Endless Possibilities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ENRON TRANSPORTATION SERVICES COMPANY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INTEROFFICE MEMORANDUM</w:t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4500"/>
        <w:gridCol w:w="1350"/>
        <w:gridCol w:w="2070"/>
      </w:tblGrid>
      <w:tr>
        <w:trPr>
          <w:trHeight w:val="300" w:hRule="exact"/>
        </w:trPr>
        <w:tc>
          <w:tcPr>
            <w:tcW w:w="1440" w:type="dxa"/>
            <w:tcBorders/>
          </w:tcPr>
          <w:p>
            <w:pPr>
              <w:pStyle w:val="Normal"/>
              <w:ind w:start="-108" w:end="0"/>
              <w:rPr>
                <w:rFonts w:ascii="Antique Olv (W1)" w:hAnsi="Antique Olv (W1)" w:cs="Antique Olv (W1)"/>
                <w:b/>
              </w:rPr>
            </w:pPr>
            <w:r>
              <w:rPr>
                <w:rFonts w:cs="Antique Olv (W1)" w:ascii="Antique Olv (W1)" w:hAnsi="Antique Olv (W1)"/>
                <w:b/>
              </w:rPr>
              <w:t>To:</w:t>
            </w:r>
          </w:p>
        </w:tc>
        <w:tc>
          <w:tcPr>
            <w:tcW w:w="4500" w:type="dxa"/>
            <w:tcBorders/>
          </w:tcPr>
          <w:p>
            <w:pPr>
              <w:pStyle w:val="To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ETS Law Personnel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</w:tr>
      <w:tr>
        <w:trPr>
          <w:trHeight w:val="216" w:hRule="exact"/>
        </w:trPr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08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4500" w:type="dxa"/>
            <w:tcBorders/>
          </w:tcPr>
          <w:p>
            <w:pPr>
              <w:pStyle w:val="Normal"/>
              <w:snapToGrid w:val="false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1440" w:type="dxa"/>
            <w:tcBorders/>
          </w:tcPr>
          <w:p>
            <w:pPr>
              <w:pStyle w:val="Normal"/>
              <w:ind w:start="-108" w:end="0"/>
              <w:rPr>
                <w:rFonts w:ascii="Antique Olv (W1)" w:hAnsi="Antique Olv (W1)" w:cs="Antique Olv (W1)"/>
                <w:b/>
              </w:rPr>
            </w:pPr>
            <w:r>
              <w:rPr>
                <w:rFonts w:cs="Antique Olv (W1)" w:ascii="Antique Olv (W1)" w:hAnsi="Antique Olv (W1)"/>
                <w:b/>
              </w:rPr>
              <w:t>From:</w:t>
            </w:r>
          </w:p>
        </w:tc>
        <w:tc>
          <w:tcPr>
            <w:tcW w:w="4500" w:type="dxa"/>
            <w:tcBorders/>
          </w:tcPr>
          <w:p>
            <w:pPr>
              <w:pStyle w:val="From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Michael P. Moran</w:t>
            </w:r>
          </w:p>
        </w:tc>
        <w:tc>
          <w:tcPr>
            <w:tcW w:w="1350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ntique Olv (W1)" w:hAnsi="Antique Olv (W1)" w:cs="Antique Olv (W1)"/>
                <w:b/>
              </w:rPr>
            </w:pPr>
            <w:r>
              <w:rPr>
                <w:rFonts w:cs="Antique Olv (W1)" w:ascii="Antique Olv (W1)" w:hAnsi="Antique Olv (W1)"/>
                <w:b/>
              </w:rPr>
              <w:t>Department:</w:t>
            </w:r>
          </w:p>
        </w:tc>
        <w:tc>
          <w:tcPr>
            <w:tcW w:w="2070" w:type="dxa"/>
            <w:tcBorders/>
          </w:tcPr>
          <w:p>
            <w:pPr>
              <w:pStyle w:val="Department"/>
              <w:rPr>
                <w:rFonts w:ascii="Times New Roman" w:hAnsi="Times New Roman" w:cs="Times New Roman"/>
                <w:sz w:val="22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  <w:sz w:val="22"/>
              </w:rPr>
              <w:t>ETS Legal</w:t>
            </w:r>
          </w:p>
        </w:tc>
      </w:tr>
      <w:tr>
        <w:trPr>
          <w:trHeight w:val="216" w:hRule="exact"/>
        </w:trPr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08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4500" w:type="dxa"/>
            <w:tcBorders/>
          </w:tcPr>
          <w:p>
            <w:pPr>
              <w:pStyle w:val="Normal"/>
              <w:snapToGrid w:val="false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</w:tr>
      <w:tr>
        <w:trPr>
          <w:trHeight w:val="600" w:hRule="exact"/>
        </w:trPr>
        <w:tc>
          <w:tcPr>
            <w:tcW w:w="1440" w:type="dxa"/>
            <w:tcBorders/>
          </w:tcPr>
          <w:p>
            <w:pPr>
              <w:pStyle w:val="Normal"/>
              <w:ind w:start="-108" w:end="0"/>
              <w:rPr>
                <w:rFonts w:ascii="Antique Olv (W1)" w:hAnsi="Antique Olv (W1)" w:cs="Antique Olv (W1)"/>
                <w:b/>
              </w:rPr>
            </w:pPr>
            <w:r>
              <w:rPr>
                <w:rFonts w:cs="Antique Olv (W1)" w:ascii="Antique Olv (W1)" w:hAnsi="Antique Olv (W1)"/>
                <w:b/>
              </w:rPr>
              <w:t>Subject: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Changes in Administrative Responsibilities</w:t>
            </w:r>
          </w:p>
          <w:p>
            <w:pPr>
              <w:pStyle w:val="Subjec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ntique Olv (W1)" w:hAnsi="Antique Olv (W1)" w:cs="Antique Olv (W1)"/>
                <w:b/>
              </w:rPr>
            </w:pPr>
            <w:r>
              <w:rPr>
                <w:rFonts w:cs="Antique Olv (W1)" w:ascii="Antique Olv (W1)" w:hAnsi="Antique Olv (W1)"/>
                <w:b/>
              </w:rPr>
              <w:t>Date:</w:t>
            </w:r>
          </w:p>
        </w:tc>
        <w:tc>
          <w:tcPr>
            <w:tcW w:w="2070" w:type="dxa"/>
            <w:tcBorders/>
          </w:tcPr>
          <w:p>
            <w:pPr>
              <w:pStyle w:val="Date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September 26, 2000</w:t>
            </w:r>
          </w:p>
        </w:tc>
      </w:tr>
    </w:tbl>
    <w:p>
      <w:pPr>
        <w:pStyle w:val="Normal"/>
        <w:pBdr>
          <w:bottom w:val="single" w:sz="12" w:space="1" w:color="000000"/>
        </w:pBdr>
        <w:ind w:end="-720"/>
        <w:jc w:val="both"/>
        <w:rPr>
          <w:color w:val="000080"/>
          <w:sz w:val="22"/>
        </w:rPr>
      </w:pPr>
      <w:r>
        <w:rPr>
          <w:color w:val="000080"/>
          <w:sz w:val="22"/>
        </w:rPr>
      </w:r>
      <w:bookmarkStart w:id="1" w:name="StartOfMemo"/>
      <w:bookmarkStart w:id="2" w:name="StartOfMemo"/>
      <w:bookmarkEnd w:id="2"/>
    </w:p>
    <w:p>
      <w:pPr>
        <w:pStyle w:val="Normal"/>
        <w:rPr/>
      </w:pPr>
      <w:r>
        <w:rPr>
          <w:color w:val="000000"/>
          <w:sz w:val="22"/>
        </w:rPr>
        <w:t xml:space="preserve">In an effort to give Eric more time </w:t>
      </w:r>
      <w:r>
        <w:rPr>
          <w:color w:val="000000"/>
          <w:sz w:val="24"/>
        </w:rPr>
        <w:t>to devote to research and paralegal work several</w:t>
      </w:r>
      <w:r>
        <w:rPr>
          <w:sz w:val="24"/>
        </w:rPr>
        <w:t xml:space="preserve"> of his responsibilities will be revised and divided up between Jan Cobden, Denise Lagesse and Emily Sellers.  Starting immediately they are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Jan Cobden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Jan will assume the task of tracking outside legal counsel costs and generating a monthly report from the invoices provided her by secretaries on a monthly basis.  The secretaries should send Jan either a copy of each invoice or a summary report of legal costs relating to matters handled by the attorneys that particular secretary is working with.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Denise Lagesse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Denise will be responsible for tracking FGT's Phase IV and V Expansions' outside counsel costs, generating a Phase IV and V Monthly Report and reporting them to Jan for the Outside Counsel Report.  Additionally, Denise will track Enron Litigation Unit invoices, reconciling discrepancies and generating a Monthly Litigation Report.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Emily Sellers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Emily will be responsible for the following tasks: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Maintain Open Suit Memos and Services of Process Log of new lawsuits and forwarding them to the appropriate attorney upon my direction.  Additionally, she will provide Jan with a list or email of new cases as they come in.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Continue monitoring for accuracy Enron Property &amp; Services Corp. Reports, Enron Information Services Reports, and also RC Reports.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Continue generating Weekly and Monthly Significant Litigation Reports.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Monitor monthly RC/SAP Reports and file.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Eric Benson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The areas that Eric will continue being responsible for are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Continue coordinating new resolutions, Government/CESI permits and license requirements.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Continue generating  a DOT/OSHA Weekly Summary, and assist Kim Wilkie with M&amp;A and due diligence.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Assist with O&amp;M yearly budget preparation.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  <w:t>esellers/memos/etschanges</w:t>
      </w:r>
    </w:p>
    <w:p>
      <w:pPr>
        <w:pStyle w:val="Normal"/>
        <w:rPr>
          <w:color w:val="000080"/>
          <w:sz w:val="22"/>
        </w:rPr>
      </w:pPr>
      <w:r>
        <w:rPr>
          <w:color w:val="000080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ntique Olv (W1)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u w:val="single"/>
    </w:rPr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4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2000-09-26T12:10:00Z</dcterms:created>
  <dc:creator>ET&amp;S LAN Support</dc:creator>
  <dc:description/>
  <dc:language>en-CA</dc:language>
  <cp:lastModifiedBy>ET&amp;S</cp:lastModifiedBy>
  <cp:lastPrinted>2000-09-26T15:04:00Z</cp:lastPrinted>
  <dcterms:modified xsi:type="dcterms:W3CDTF">2000-09-26T17:37:00Z</dcterms:modified>
  <cp:revision>6</cp:revision>
  <dc:subject/>
  <dc:title> </dc:title>
</cp:coreProperties>
</file>