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9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368"/>
        <w:gridCol w:w="4536"/>
      </w:tblGrid>
      <w:tr>
        <w:trPr>
          <w:tblHeader w:val="true"/>
        </w:trPr>
        <w:tc>
          <w:tcPr>
            <w:tcW w:w="14904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Heading1"/>
              <w:spacing w:before="60" w:after="60"/>
              <w:ind w:hanging="0" w:start="0"/>
              <w:rPr>
                <w:b w:val="false"/>
                <w:bCs w:val="false"/>
                <w:sz w:val="22"/>
              </w:rPr>
            </w:pPr>
            <w:r>
              <w:rPr>
                <w:sz w:val="22"/>
              </w:rPr>
              <w:t>ETS System Verification Process</w:t>
            </w:r>
          </w:p>
        </w:tc>
      </w:tr>
      <w:tr>
        <w:trPr/>
        <w:tc>
          <w:tcPr>
            <w:tcW w:w="1036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FFFFFF"/>
            </w:tcBorders>
            <w:shd w:fill="000000" w:val="clear"/>
            <w:vAlign w:val="center"/>
          </w:tcPr>
          <w:p>
            <w:pPr>
              <w:pStyle w:val="Normal"/>
              <w:spacing w:before="60" w:after="60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Exchange Servers</w:t>
            </w:r>
          </w:p>
        </w:tc>
        <w:tc>
          <w:tcPr>
            <w:tcW w:w="4536" w:type="dxa"/>
            <w:tcBorders>
              <w:top w:val="single" w:sz="12" w:space="0" w:color="000000"/>
              <w:start w:val="single" w:sz="12" w:space="0" w:color="FFFFFF"/>
              <w:bottom w:val="single" w:sz="12" w:space="0" w:color="000000"/>
              <w:end w:val="single" w:sz="12" w:space="0" w:color="000000"/>
            </w:tcBorders>
            <w:shd w:fill="000000" w:val="clear"/>
            <w:vAlign w:val="center"/>
          </w:tcPr>
          <w:p>
            <w:pPr>
              <w:pStyle w:val="Heading2"/>
              <w:spacing w:before="60" w:after="60"/>
              <w:ind w:hanging="0" w:start="0"/>
              <w:rPr/>
            </w:pPr>
            <w:r>
              <w:rPr/>
              <w:t>Verify Exchange Servers are operational</w:t>
            </w:r>
          </w:p>
        </w:tc>
      </w:tr>
      <w:tr>
        <w:trPr/>
        <w:tc>
          <w:tcPr>
            <w:tcW w:w="1036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Go into Outlook to check response time</w:t>
            </w:r>
          </w:p>
        </w:tc>
        <w:tc>
          <w:tcPr>
            <w:tcW w:w="4536" w:type="dxa"/>
            <w:tcBorders>
              <w:top w:val="single" w:sz="12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Verify all exchange servers are operational by contacting Corp Resolution Center at 31411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36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FFFFFF"/>
            </w:tcBorders>
            <w:shd w:fill="000000" w:val="clear"/>
            <w:vAlign w:val="center"/>
          </w:tcPr>
          <w:p>
            <w:pPr>
              <w:pStyle w:val="Normal"/>
              <w:spacing w:before="60" w:after="60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TMS</w:t>
            </w:r>
          </w:p>
        </w:tc>
        <w:tc>
          <w:tcPr>
            <w:tcW w:w="4536" w:type="dxa"/>
            <w:tcBorders>
              <w:top w:val="single" w:sz="12" w:space="0" w:color="000000"/>
              <w:start w:val="single" w:sz="12" w:space="0" w:color="FFFFFF"/>
              <w:bottom w:val="single" w:sz="12" w:space="0" w:color="000000"/>
              <w:end w:val="single" w:sz="12" w:space="0" w:color="000000"/>
            </w:tcBorders>
            <w:shd w:fill="000000" w:val="clear"/>
            <w:vAlign w:val="center"/>
          </w:tcPr>
          <w:p>
            <w:pPr>
              <w:pStyle w:val="Normal"/>
              <w:spacing w:before="60" w:after="60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Verify TMS is operational</w:t>
            </w:r>
          </w:p>
        </w:tc>
      </w:tr>
      <w:tr>
        <w:trPr/>
        <w:tc>
          <w:tcPr>
            <w:tcW w:w="1036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The TMS OnCall will leave a status message on the ETS Solution Center number.  If not, page TMS OnCall at 713-762-5500 to get status.</w:t>
            </w:r>
          </w:p>
        </w:tc>
        <w:tc>
          <w:tcPr>
            <w:tcW w:w="4536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36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FFFFFF"/>
            </w:tcBorders>
            <w:shd w:fill="000000" w:val="clear"/>
            <w:vAlign w:val="center"/>
          </w:tcPr>
          <w:p>
            <w:pPr>
              <w:pStyle w:val="Normal"/>
              <w:spacing w:before="60" w:after="60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Mailman.Enron.Com</w:t>
            </w:r>
          </w:p>
        </w:tc>
        <w:tc>
          <w:tcPr>
            <w:tcW w:w="4536" w:type="dxa"/>
            <w:tcBorders>
              <w:top w:val="single" w:sz="12" w:space="0" w:color="000000"/>
              <w:start w:val="single" w:sz="12" w:space="0" w:color="FFFFFF"/>
              <w:bottom w:val="single" w:sz="12" w:space="0" w:color="000000"/>
              <w:end w:val="single" w:sz="12" w:space="0" w:color="000000"/>
            </w:tcBorders>
            <w:shd w:fill="000000" w:val="clear"/>
            <w:vAlign w:val="center"/>
          </w:tcPr>
          <w:p>
            <w:pPr>
              <w:pStyle w:val="Heading2"/>
              <w:spacing w:before="60" w:after="60"/>
              <w:ind w:hanging="0" w:start="0"/>
              <w:rPr/>
            </w:pPr>
            <w:r>
              <w:rPr/>
              <w:t>Verify Mailman.Enron.Com is operational</w:t>
            </w:r>
          </w:p>
        </w:tc>
      </w:tr>
      <w:tr>
        <w:trPr/>
        <w:tc>
          <w:tcPr>
            <w:tcW w:w="1036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Access Mailman.Enron.Com</w:t>
            </w:r>
          </w:p>
        </w:tc>
        <w:tc>
          <w:tcPr>
            <w:tcW w:w="4536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36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FFFFFF"/>
            </w:tcBorders>
            <w:shd w:fill="000000" w:val="clear"/>
            <w:vAlign w:val="center"/>
          </w:tcPr>
          <w:p>
            <w:pPr>
              <w:pStyle w:val="Normal"/>
              <w:spacing w:before="60" w:after="60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Web Server</w:t>
            </w:r>
          </w:p>
        </w:tc>
        <w:tc>
          <w:tcPr>
            <w:tcW w:w="4536" w:type="dxa"/>
            <w:tcBorders>
              <w:top w:val="single" w:sz="12" w:space="0" w:color="000000"/>
              <w:start w:val="single" w:sz="12" w:space="0" w:color="FFFFFF"/>
              <w:bottom w:val="single" w:sz="12" w:space="0" w:color="000000"/>
              <w:end w:val="single" w:sz="12" w:space="0" w:color="000000"/>
            </w:tcBorders>
            <w:shd w:fill="000000" w:val="clear"/>
            <w:vAlign w:val="center"/>
          </w:tcPr>
          <w:p>
            <w:pPr>
              <w:pStyle w:val="Heading2"/>
              <w:spacing w:before="60" w:after="60"/>
              <w:ind w:hanging="0" w:start="0"/>
              <w:rPr/>
            </w:pPr>
            <w:r>
              <w:rPr/>
              <w:t>Verify that all ETS sites are operational</w:t>
            </w:r>
          </w:p>
        </w:tc>
      </w:tr>
      <w:tr>
        <w:trPr/>
        <w:tc>
          <w:tcPr>
            <w:tcW w:w="1036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hyperlink r:id="rId2">
              <w:r>
                <w:rPr>
                  <w:rStyle w:val="Hyperlink"/>
                  <w:color w:val="000000"/>
                  <w:sz w:val="22"/>
                  <w:u w:val="none"/>
                </w:rPr>
                <w:t>www.hottap.enron.com</w:t>
              </w:r>
            </w:hyperlink>
          </w:p>
        </w:tc>
        <w:tc>
          <w:tcPr>
            <w:tcW w:w="4536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From menu to the right of the map click on Informational Postings under Florida Gas Transmission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From menu on the left select Chromatograph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From menu on the left under Chromatograph select Daily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From menu on the left select Notices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From menu on the left under Notices select Critical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Click on any link in Subject column of Critical Notice Table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From menu to the right of the map click on Informational Postings under Northern Natural Gas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Click on any link in Location column under Allocation heading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Click on any link in Location column under Outages heading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From menu on the left select Carlton Resolution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Click on Carlton Total Obligation (2000-2001) link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From menu to the right of the map click on Informational Postings under Transwestern Pipeline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From menu on the left select Capacity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From menu on the left under Capacity select Operationally Available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On Operationally Available page click Retrieve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From menu on the left under Capacity select Unsubscribed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On Unsubscribed page click Retrieve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From menu on the left under Capacity select Design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www.nng.enron.com 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www.tw.enron.com 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www.fgt.enron.com 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www.mgt.enron.com 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www.nbp.enron.com 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hyperlink r:id="rId3">
              <w:r>
                <w:rPr>
                  <w:rStyle w:val="Hyperlink"/>
                  <w:color w:val="000000"/>
                  <w:sz w:val="22"/>
                  <w:u w:val="none"/>
                </w:rPr>
                <w:t>www.hottap2.enron.com</w:t>
              </w:r>
            </w:hyperlink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www.hottap.enroncorp.com 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sz w:val="22"/>
              </w:rPr>
              <w:t xml:space="preserve">Should come up in 2-3 seconds and redirect to </w:t>
            </w:r>
            <w:hyperlink r:id="rId4">
              <w:r>
                <w:rPr>
                  <w:rStyle w:val="Hyperlink"/>
                  <w:color w:val="000000"/>
                  <w:sz w:val="22"/>
                  <w:u w:val="none"/>
                </w:rPr>
                <w:t>www.hottap.enron.com</w:t>
              </w:r>
            </w:hyperlink>
            <w:r>
              <w:rPr>
                <w:sz w:val="22"/>
              </w:rPr>
              <w:t xml:space="preserve"> in 5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www.nng.enroncorp.com 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www.tw.enroncorp.com 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www.fgt.enroncorp.com 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hyperlink r:id="rId5">
              <w:r>
                <w:rPr>
                  <w:rStyle w:val="Hyperlink"/>
                  <w:color w:val="000000"/>
                  <w:sz w:val="22"/>
                  <w:u w:val="none"/>
                </w:rPr>
                <w:t>www.hottap2.enroncorp.com</w:t>
              </w:r>
            </w:hyperlink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Should come up in 2-3 seconds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hyperlink r:id="rId6">
              <w:r>
                <w:rPr>
                  <w:rStyle w:val="Hyperlink"/>
                  <w:color w:val="000000"/>
                  <w:sz w:val="22"/>
                  <w:u w:val="none"/>
                </w:rPr>
                <w:t>www.ets.enron.com</w:t>
              </w:r>
            </w:hyperlink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Select Applications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Select ETS Business Applications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2"/>
              </w:rPr>
            </w:pPr>
            <w:r>
              <w:rPr>
                <w:sz w:val="22"/>
              </w:rPr>
              <w:t>Select FGT – Contract Management System OR FGT Capacity Release System OR TW Capacity Analysis System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000000" w:val="clear"/>
            <w:vAlign w:val="center"/>
          </w:tcPr>
          <w:p>
            <w:pPr>
              <w:pStyle w:val="Heading3"/>
              <w:spacing w:before="60" w:after="60"/>
              <w:ind w:hanging="0" w:start="0"/>
              <w:rPr/>
            </w:pPr>
            <w:r>
              <w:rPr/>
              <w:t>Flow Gas Testing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sz w:val="21"/>
              </w:rPr>
            </w:pPr>
            <w:r>
              <w:rPr>
                <w:sz w:val="21"/>
              </w:rPr>
              <w:t>If you are unable to successful sign-on to Flow Gas (i.e. if you have a problem before step #6), please page the Business Objects On-Call Pager at 713-761-2342.</w:t>
            </w:r>
          </w:p>
          <w:p>
            <w:pPr>
              <w:pStyle w:val="Normal"/>
              <w:spacing w:before="60" w:after="60"/>
              <w:rPr>
                <w:sz w:val="21"/>
              </w:rPr>
            </w:pPr>
            <w:r>
              <w:rPr>
                <w:sz w:val="21"/>
              </w:rPr>
              <w:t>If you are able to sign on to Flow Gas and are not able to view the report (i.e. if you have a problem after step #6) please page the NNG Accounting On-Call Pager at 713-903-6861.</w:t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sz w:val="22"/>
              </w:rPr>
            </w:pPr>
            <w:hyperlink r:id="rId7">
              <w:r>
                <w:rPr>
                  <w:rStyle w:val="Hyperlink"/>
                  <w:sz w:val="22"/>
                </w:rPr>
                <w:t>www.hottap.enron.com</w:t>
              </w:r>
            </w:hyperlink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Click on </w:t>
            </w:r>
            <w:r>
              <w:rPr>
                <w:b/>
                <w:bCs/>
                <w:sz w:val="22"/>
              </w:rPr>
              <w:t>NNG Pipeline</w:t>
            </w:r>
            <w:r>
              <w:rPr>
                <w:sz w:val="22"/>
              </w:rPr>
              <w:t xml:space="preserve"> on the map and then click on </w:t>
            </w:r>
            <w:r>
              <w:rPr>
                <w:b/>
                <w:bCs/>
                <w:sz w:val="22"/>
              </w:rPr>
              <w:t>Customer Activities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Single-click </w:t>
            </w:r>
            <w:r>
              <w:rPr>
                <w:b/>
                <w:bCs/>
                <w:sz w:val="22"/>
              </w:rPr>
              <w:t>Invoicing</w:t>
            </w:r>
            <w:r>
              <w:rPr>
                <w:sz w:val="22"/>
              </w:rPr>
              <w:t xml:space="preserve"> from the left-hand menu.  A pop-up box will appear prompting to select the format in which you wish to view the reports.  Select </w:t>
            </w:r>
            <w:r>
              <w:rPr>
                <w:b/>
                <w:bCs/>
                <w:sz w:val="22"/>
              </w:rPr>
              <w:t>PDF Acrobat Reader</w:t>
            </w:r>
            <w:r>
              <w:rPr>
                <w:sz w:val="22"/>
              </w:rPr>
              <w:t xml:space="preserve"> and click on the “</w:t>
            </w:r>
            <w:r>
              <w:rPr>
                <w:b/>
                <w:bCs/>
                <w:sz w:val="22"/>
              </w:rPr>
              <w:t>Close</w:t>
            </w:r>
            <w:r>
              <w:rPr>
                <w:sz w:val="22"/>
              </w:rPr>
              <w:t>” button to close box.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On the left side, click on the category </w:t>
            </w:r>
            <w:r>
              <w:rPr>
                <w:b/>
                <w:bCs/>
                <w:sz w:val="22"/>
              </w:rPr>
              <w:t>Invoice</w:t>
            </w:r>
            <w:r>
              <w:rPr>
                <w:sz w:val="22"/>
              </w:rPr>
              <w:t xml:space="preserve"> below Invoicing.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r>
              <w:rPr>
                <w:b/>
                <w:bCs/>
                <w:sz w:val="22"/>
              </w:rPr>
              <w:t>Enter Network Password</w:t>
            </w:r>
            <w:r>
              <w:rPr>
                <w:sz w:val="22"/>
              </w:rPr>
              <w:t xml:space="preserve"> Dialog box appears.  Enter your Flow Gas ID and password obtained from the HotTap Help Desk to populate the User name and Password fields.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Click on NNG Invoice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A dialogue box will appear prompting the user for input.  Click on </w:t>
            </w:r>
            <w:r>
              <w:rPr>
                <w:b/>
                <w:bCs/>
                <w:sz w:val="22"/>
              </w:rPr>
              <w:t>View List</w:t>
            </w:r>
            <w:r>
              <w:rPr>
                <w:sz w:val="22"/>
              </w:rPr>
              <w:t xml:space="preserve"> button next to “Select Company”.  A list of companies will be displayed.  Select </w:t>
            </w:r>
            <w:r>
              <w:rPr>
                <w:b/>
                <w:bCs/>
                <w:sz w:val="22"/>
              </w:rPr>
              <w:t>one company</w:t>
            </w:r>
            <w:r>
              <w:rPr>
                <w:sz w:val="22"/>
              </w:rPr>
              <w:t xml:space="preserve"> by placing your cursor on the company name and performing a single left-mouse click.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Click on the </w:t>
            </w:r>
            <w:r>
              <w:rPr>
                <w:b/>
                <w:bCs/>
                <w:sz w:val="22"/>
              </w:rPr>
              <w:t>View List</w:t>
            </w:r>
            <w:r>
              <w:rPr>
                <w:sz w:val="22"/>
              </w:rPr>
              <w:t xml:space="preserve"> button next to “Select Account Period” and choose the accounting period desired.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Click on the “</w:t>
            </w:r>
            <w:r>
              <w:rPr>
                <w:b/>
                <w:bCs/>
                <w:sz w:val="22"/>
              </w:rPr>
              <w:t>Run Query</w:t>
            </w:r>
            <w:r>
              <w:rPr>
                <w:sz w:val="22"/>
              </w:rPr>
              <w:t>” button to create your report.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36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You should see the report displayed in Adobe format in the Document Results page.  At this point you have verified that Flow Gas is successfully running.</w:t>
            </w:r>
          </w:p>
        </w:tc>
        <w:tc>
          <w:tcPr>
            <w:tcW w:w="4536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footerReference w:type="default" r:id="rId8"/>
      <w:type w:val="nextPage"/>
      <w:pgSz w:orient="landscape" w:w="15840" w:h="12240"/>
      <w:pgMar w:left="576" w:right="576" w:gutter="0" w:header="0" w:top="864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mic Sans MS" w:hAnsi="Comic Sans MS" w:eastAsia="Times New Roman" w:cs="Comic Sans MS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color w:val="FFFFFF"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60"/>
      <w:outlineLvl w:val="2"/>
    </w:pPr>
    <w:rPr>
      <w:b/>
      <w:bCs/>
      <w:color w:val="FFFFFF"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ottap.enron.com/" TargetMode="External"/><Relationship Id="rId3" Type="http://schemas.openxmlformats.org/officeDocument/2006/relationships/hyperlink" Target="http://www.hottap2.enron.com/" TargetMode="External"/><Relationship Id="rId4" Type="http://schemas.openxmlformats.org/officeDocument/2006/relationships/hyperlink" Target="http://www.hottap.enron.com/" TargetMode="External"/><Relationship Id="rId5" Type="http://schemas.openxmlformats.org/officeDocument/2006/relationships/hyperlink" Target="http://www.hottap2.enroncorp.com/" TargetMode="External"/><Relationship Id="rId6" Type="http://schemas.openxmlformats.org/officeDocument/2006/relationships/hyperlink" Target="http://www.ets.enron.com/" TargetMode="External"/><Relationship Id="rId7" Type="http://schemas.openxmlformats.org/officeDocument/2006/relationships/hyperlink" Target="http://www.hottap.enron.com/" TargetMode="Externa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2001-10-12T16:01:00Z</dcterms:created>
  <dc:creator>gwagner</dc:creator>
  <dc:description/>
  <dc:language>en-CA</dc:language>
  <cp:lastModifiedBy>Chris A. Smith</cp:lastModifiedBy>
  <cp:lastPrinted>2001-10-29T12:53:00Z</cp:lastPrinted>
  <dcterms:modified xsi:type="dcterms:W3CDTF">2002-02-08T14:29:00Z</dcterms:modified>
  <cp:revision>6</cp:revision>
  <dc:subject/>
  <dc:title>ETS System Verification Process</dc:title>
</cp:coreProperties>
</file>