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1440" w:after="360"/>
        <w:jc w:val="center"/>
        <w:rPr/>
      </w:pPr>
      <w:r>
        <w:rPr/>
        <w:t>November __, 2000</w:t>
      </w:r>
    </w:p>
    <w:p>
      <w:pPr>
        <w:pStyle w:val="Letter-DeliveryMethod"/>
        <w:jc w:val="end"/>
        <w:rPr>
          <w:b/>
        </w:rPr>
      </w:pPr>
      <w:r>
        <w:rPr>
          <w:b/>
        </w:rPr>
        <w:t>FOIA CONFIDENTIAL TREATMENT REQUESTED</w:t>
      </w:r>
    </w:p>
    <w:p>
      <w:pPr>
        <w:pStyle w:val="Letter-DeliveryMethod"/>
        <w:rPr>
          <w:b/>
          <w:i/>
          <w:i/>
          <w:u w:val="none"/>
        </w:rPr>
      </w:pPr>
      <w:bookmarkStart w:id="0" w:name="Delivery"/>
      <w:bookmarkEnd w:id="0"/>
      <w:r>
        <w:rPr>
          <w:b/>
          <w:i/>
          <w:u w:val="none"/>
        </w:rPr>
        <w:t>via federal express</w:t>
      </w:r>
    </w:p>
    <w:p>
      <w:pPr>
        <w:pStyle w:val="Normal"/>
        <w:rPr/>
      </w:pPr>
      <w:bookmarkStart w:id="1" w:name="Address"/>
      <w:bookmarkStart w:id="2" w:name="Addressee"/>
      <w:bookmarkEnd w:id="1"/>
      <w:bookmarkEnd w:id="2"/>
      <w:r>
        <w:rPr/>
        <w:t>Mr. John R. Adair</w:t>
        <w:br/>
        <w:t>Senior Auditor</w:t>
      </w:r>
    </w:p>
    <w:p>
      <w:pPr>
        <w:pStyle w:val="Normal"/>
        <w:rPr/>
      </w:pPr>
      <w:r>
        <w:rPr/>
        <w:t>Commodity Futures Trading Commission</w:t>
        <w:br/>
        <w:t>Eastern Region Headquarters</w:t>
        <w:br/>
        <w:t>One World Trade Center</w:t>
        <w:br/>
        <w:t>Suite 3747</w:t>
        <w:br/>
        <w:t>New York, NY 10048</w:t>
      </w:r>
    </w:p>
    <w:p>
      <w:pPr>
        <w:pStyle w:val="Normal"/>
        <w:rPr/>
      </w:pPr>
      <w:r>
        <w:rPr/>
      </w:r>
    </w:p>
    <w:p>
      <w:pPr>
        <w:pStyle w:val="Letter-Re"/>
        <w:numPr>
          <w:ilvl w:val="0"/>
          <w:numId w:val="2"/>
        </w:numPr>
        <w:ind w:hanging="0" w:start="0"/>
        <w:rPr>
          <w:u w:val="single"/>
        </w:rPr>
      </w:pPr>
      <w:bookmarkStart w:id="3" w:name="ReLine"/>
      <w:bookmarkEnd w:id="3"/>
      <w:r>
        <w:rPr>
          <w:u w:val="single"/>
        </w:rPr>
        <w:t>Risk Assessment Reporting</w:t>
      </w:r>
    </w:p>
    <w:p>
      <w:pPr>
        <w:pStyle w:val="Letter-ReLine"/>
        <w:rPr>
          <w:u w:val="single"/>
        </w:rPr>
      </w:pPr>
      <w:r>
        <w:rPr>
          <w:u w:val="single"/>
        </w:rPr>
      </w:r>
    </w:p>
    <w:p>
      <w:pPr>
        <w:pStyle w:val="Letter-Salutation"/>
        <w:rPr/>
      </w:pPr>
      <w:bookmarkStart w:id="4" w:name="ReLineUnderline"/>
      <w:bookmarkEnd w:id="4"/>
      <w:r>
        <w:rPr/>
        <w:t xml:space="preserve">Dear </w:t>
      </w:r>
      <w:bookmarkStart w:id="5" w:name="Salutation"/>
      <w:bookmarkEnd w:id="5"/>
      <w:r>
        <w:rPr/>
        <w:t>Mr. Adair:</w:t>
      </w:r>
    </w:p>
    <w:p>
      <w:pPr>
        <w:pStyle w:val="Letter-BodyText"/>
        <w:rPr/>
      </w:pPr>
      <w:bookmarkStart w:id="6" w:name="BodyText"/>
      <w:bookmarkEnd w:id="6"/>
      <w:r>
        <w:rPr/>
        <w:t xml:space="preserve">We represent Enron Trading Services Inc. (“ETS”), a CFTC-registered futures commission merchant formerly known as MG London, Inc. ("MGLI").  On July 17, 2000, Enron Investments plc acquired all of the outstanding common shares of MG plc, the indirect parent of MGLI.  On ______________, 2000, MGLI advised the CFTC and the National Futures Association that it had changed its name to ETS.  </w:t>
      </w:r>
    </w:p>
    <w:p>
      <w:pPr>
        <w:pStyle w:val="Letter-BodyText"/>
        <w:rPr/>
      </w:pPr>
      <w:r>
        <w:rPr/>
        <w:t xml:space="preserve">As a result of the acquisition noted above and pursuant to Sections 1.15 (a)(i) and (ii) of the CFTC's Regulations, 17 C.F.R. §§ 1.15(a)(i) and (ii), the following enclosed documents comprise the updated risk assessment report of ETS:  </w:t>
      </w:r>
    </w:p>
    <w:p>
      <w:pPr>
        <w:pStyle w:val="Letter-BodyText"/>
        <w:rPr/>
      </w:pPr>
      <w:r>
        <w:rPr/>
        <w:t>1.</w:t>
        <w:tab/>
        <w:t>ETS’s Organizational Chart as of November 29, 2000; and</w:t>
      </w:r>
    </w:p>
    <w:p>
      <w:pPr>
        <w:pStyle w:val="Letter-BodyText"/>
        <w:rPr/>
      </w:pPr>
      <w:r>
        <w:rPr/>
        <w:t>2.</w:t>
        <w:tab/>
        <w:t xml:space="preserve">ETS’s financial, operational and risk management policies and </w:t>
        <w:tab/>
        <w:tab/>
        <w:tab/>
        <w:tab/>
        <w:t xml:space="preserve">procedures:  </w:t>
      </w:r>
    </w:p>
    <w:p>
      <w:pPr>
        <w:pStyle w:val="Letter-BodyText"/>
        <w:rPr/>
      </w:pPr>
      <w:r>
        <w:rPr/>
        <w:tab/>
        <w:t>a.</w:t>
        <w:tab/>
        <w:t xml:space="preserve">Section 10 - Capital Requirements - from ETS’s Futures </w:t>
        <w:tab/>
        <w:tab/>
        <w:tab/>
        <w:tab/>
        <w:tab/>
        <w:t xml:space="preserve">Compliance Procedures Manual (“Compliance Manual”); </w:t>
        <w:tab/>
        <w:tab/>
        <w:tab/>
        <w:tab/>
        <w:tab/>
        <w:t>and</w:t>
      </w:r>
    </w:p>
    <w:p>
      <w:pPr>
        <w:pStyle w:val="Letter-BodyText"/>
        <w:rPr/>
      </w:pPr>
      <w:r>
        <w:rPr/>
        <w:tab/>
        <w:t>b.</w:t>
        <w:tab/>
        <w:t xml:space="preserve">Section 15 - Risk Management - from ETS’s Compliance </w:t>
        <w:tab/>
        <w:tab/>
        <w:tab/>
        <w:tab/>
        <w:tab/>
        <w:t>Manual.</w:t>
      </w:r>
    </w:p>
    <w:p>
      <w:pPr>
        <w:pStyle w:val="Letter-BodyText"/>
        <w:rPr>
          <w:b/>
          <w:u w:val="single"/>
        </w:rPr>
      </w:pPr>
      <w:r>
        <w:rPr>
          <w:b/>
          <w:u w:val="single"/>
        </w:rPr>
        <w:t>Confidential Treatment Request</w:t>
      </w:r>
    </w:p>
    <w:p>
      <w:pPr>
        <w:pStyle w:val="Letter-BodyText"/>
        <w:rPr/>
      </w:pPr>
      <w:r>
        <w:rPr/>
        <w:t>Pursuant to 17 C.F.R. § 145.9(d), our client requests that the Commission afford confidential treatment to this letter and the documents enclosed herewith for an unlimited length of time.  A separate written request for confidential treatment is being submitted simultaneously herewith to the Assistant Secretary of the Commission for FOI, Privacy and Sunshine Acts Compliance.</w:t>
      </w:r>
    </w:p>
    <w:p>
      <w:pPr>
        <w:pStyle w:val="Letter-BodyText"/>
        <w:spacing w:before="0" w:after="0"/>
        <w:rPr/>
      </w:pPr>
      <w:r>
        <w:rPr/>
        <w:t>Please contact me at the number listed above or Kari S. Larsen at (202) 756-8374, if you have any questions regarding ETS's updated risk assessment report.</w:t>
      </w:r>
    </w:p>
    <w:p>
      <w:pPr>
        <w:pStyle w:val="Letter-Closing"/>
        <w:rPr/>
      </w:pPr>
      <w:bookmarkStart w:id="7" w:name="Signature"/>
      <w:bookmarkEnd w:id="7"/>
      <w:r>
        <w:rPr/>
        <w:t>Sincerely yours,</w:t>
        <w:br/>
        <w:br/>
        <w:br/>
        <w:br/>
        <w:t>Paul J. Pantano, Jr.</w:t>
      </w:r>
    </w:p>
    <w:p>
      <w:pPr>
        <w:pStyle w:val="Letter-ccbccEncl"/>
        <w:numPr>
          <w:ilvl w:val="0"/>
          <w:numId w:val="0"/>
        </w:numPr>
        <w:ind w:hanging="1440" w:start="1440" w:end="0"/>
        <w:rPr/>
      </w:pPr>
      <w:r>
        <w:rPr/>
        <w:t>Enclosures</w:t>
      </w:r>
    </w:p>
    <w:p>
      <w:pPr>
        <w:pStyle w:val="Normal"/>
        <w:rPr/>
      </w:pPr>
      <w:r>
        <w:rPr/>
      </w:r>
    </w:p>
    <w:p>
      <w:pPr>
        <w:pStyle w:val="Normal"/>
        <w:rPr/>
      </w:pPr>
      <w:r>
        <w:rPr/>
        <w:t>cc:</w:t>
        <w:tab/>
        <w:t>Lawrence Patent, Esq., Associate Chief Counsel</w:t>
        <w:br/>
        <w:tab/>
        <w:t xml:space="preserve">Mr. Edward W. Colbert, Assistant Secretary of the Commission for FOI, Privacy </w:t>
        <w:tab/>
        <w:t>and Sunshine Acts Compliance (w/o enclosures)</w:t>
      </w:r>
      <w:r>
        <w:br w:type="page"/>
      </w:r>
    </w:p>
    <w:p>
      <w:pPr>
        <w:pStyle w:val="Normal"/>
        <w:rPr/>
      </w:pPr>
      <w:r>
        <w:rPr/>
      </w:r>
    </w:p>
    <w:p>
      <w:pPr>
        <w:pStyle w:val="Normal"/>
        <w:rPr/>
      </w:pPr>
      <w:r>
        <w:rPr/>
        <w:t>bcc:</w:t>
        <w:tab/>
        <w:t>Mr. Alfred Pennisi</w:t>
        <w:br/>
        <w:tab/>
        <w:t xml:space="preserve">Alan Aronowitz, Esq. </w:t>
      </w:r>
    </w:p>
    <w:p>
      <w:pPr>
        <w:pStyle w:val="Normal"/>
        <w:rPr/>
      </w:pPr>
      <w:r>
        <w:rPr/>
        <w:tab/>
        <w:t>Marcus Nettelton, Esq.</w:t>
      </w:r>
    </w:p>
    <w:sectPr>
      <w:headerReference w:type="default" r:id="rId2"/>
      <w:headerReference w:type="first" r:id="rId3"/>
      <w:footerReference w:type="default" r:id="rId4"/>
      <w:footerReference w:type="first" r:id="rId5"/>
      <w:type w:val="nextPage"/>
      <w:pgSz w:w="12240" w:h="15840"/>
      <w:pgMar w:left="1728" w:right="1728" w:gutter="0" w:header="1440" w:top="23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344936-2.060135.0010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344936-2.060135.0010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bookmarkStart w:id="8" w:name="HeaderAddr"/>
    <w:bookmarkEnd w:id="8"/>
    <w:r>
      <w:rPr>
        <w:b/>
      </w:rPr>
      <w:t xml:space="preserve">DRAFT </w:t>
      <w:tab/>
      <w:t xml:space="preserve">                                     FOIA CONFIDENTIAL TREATMENT REQUESTED</w:t>
    </w:r>
  </w:p>
  <w:p>
    <w:pPr>
      <w:pStyle w:val="Header"/>
      <w:rPr>
        <w:b/>
      </w:rPr>
    </w:pPr>
    <w:r>
      <w:rPr>
        <w:b/>
      </w:rPr>
    </w:r>
  </w:p>
  <w:p>
    <w:pPr>
      <w:pStyle w:val="Header"/>
      <w:rPr/>
    </w:pPr>
    <w:r>
      <w:rPr/>
      <w:t>Mr. John R. Adair</w:t>
      <w:br/>
    </w:r>
    <w:bookmarkStart w:id="9" w:name="HeaderDate"/>
    <w:bookmarkEnd w:id="9"/>
    <w:r>
      <w:rPr/>
      <w:t xml:space="preserve">November 15, 2000 </w:t>
      <w:br/>
      <w:t xml:space="preserve">Page </w:t>
    </w:r>
    <w:r>
      <w:rPr/>
      <w:fldChar w:fldCharType="begin"/>
    </w:r>
    <w:r>
      <w:rPr/>
      <w:instrText xml:space="preserve"> PAGE </w:instrText>
    </w:r>
    <w:r>
      <w:rPr/>
      <w:fldChar w:fldCharType="separate"/>
    </w:r>
    <w:r>
      <w:rPr/>
      <w:t>3</w:t>
    </w:r>
    <w:r>
      <w:rPr/>
      <w:fldChar w:fldCharType="end"/>
    </w:r>
    <w:r>
      <w:rPr/>
      <w:b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Enclosure"/>
      <w:lvlJc w:val="start"/>
      <w:pPr>
        <w:tabs>
          <w:tab w:val="num" w:pos="0"/>
        </w:tabs>
        <w:ind w:start="1440" w:hanging="1440"/>
      </w:pPr>
    </w:lvl>
    <w:lvl w:ilvl="1">
      <w:start w:val="1"/>
      <w:numFmt w:val="none"/>
      <w:suff w:val="nothing"/>
      <w:lvlText w:val="Enclosures"/>
      <w:lvlJc w:val="start"/>
      <w:pPr>
        <w:tabs>
          <w:tab w:val="num" w:pos="0"/>
        </w:tabs>
        <w:ind w:start="1440" w:hanging="1440"/>
      </w:pPr>
    </w:lvl>
    <w:lvl w:ilvl="2">
      <w:start w:val="1"/>
      <w:numFmt w:val="none"/>
      <w:suff w:val="nothing"/>
      <w:lvlText w:val="cc:"/>
      <w:lvlJc w:val="start"/>
      <w:pPr>
        <w:tabs>
          <w:tab w:val="num" w:pos="720"/>
        </w:tabs>
        <w:ind w:start="720" w:hanging="720"/>
      </w:pPr>
    </w:lvl>
    <w:lvl w:ilvl="3">
      <w:start w:val="1"/>
      <w:numFmt w:val="none"/>
      <w:suff w:val="nothing"/>
      <w:lvlText w:val="bcc:"/>
      <w:lvlJc w:val="start"/>
      <w:pPr>
        <w:tabs>
          <w:tab w:val="num" w:pos="720"/>
        </w:tabs>
        <w:ind w:start="720" w:hanging="720"/>
      </w:pPr>
    </w:lvl>
    <w:lvl w:ilvl="4">
      <w:start w:val="1"/>
      <w:numFmt w:val="none"/>
      <w:suff w:val="nothing"/>
      <w:lvlText w:val="%5"/>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end"/>
      <w:pPr>
        <w:tabs>
          <w:tab w:val="num" w:pos="0"/>
        </w:tabs>
        <w:ind w:start="0" w:hanging="0"/>
      </w:pPr>
    </w:lvl>
  </w:abstractNum>
  <w:abstractNum w:abstractNumId="2">
    <w:lvl w:ilvl="0">
      <w:start w:val="1"/>
      <w:numFmt w:val="none"/>
      <w:suff w:val="nothing"/>
      <w:lvlText w:val="Re:"/>
      <w:lvlJc w:val="start"/>
      <w:pPr>
        <w:tabs>
          <w:tab w:val="num" w:pos="1440"/>
        </w:tabs>
        <w:ind w:start="1440" w:hanging="720"/>
      </w:pPr>
      <w:rPr>
        <w:u w:val="non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ccbccEncl">
    <w:name w:val="Letter - cc/bcc/Encl"/>
    <w:basedOn w:val="Normal"/>
    <w:qFormat/>
    <w:pPr>
      <w:keepNext w:val="true"/>
      <w:keepLines/>
      <w:numPr>
        <w:ilvl w:val="0"/>
        <w:numId w:val="1"/>
      </w:numPr>
    </w:pPr>
    <w:rPr/>
  </w:style>
  <w:style w:type="paragraph" w:styleId="Letter-Date">
    <w:name w:val="Letter - Date"/>
    <w:basedOn w:val="Normal"/>
    <w:next w:val="Letter-DeliveryMethod"/>
    <w:qFormat/>
    <w:pPr>
      <w:spacing w:before="1440" w:after="360"/>
      <w:ind w:hanging="0" w:start="4507" w:end="0"/>
    </w:pPr>
    <w:rPr/>
  </w:style>
  <w:style w:type="paragraph" w:styleId="Letter-DeliveryMethod">
    <w:name w:val="Letter - Delivery Method"/>
    <w:basedOn w:val="Normal"/>
    <w:next w:val="Letter-AddresseeInfo"/>
    <w:qFormat/>
    <w:pPr>
      <w:spacing w:before="120" w:after="240"/>
    </w:pPr>
    <w:rPr>
      <w:caps/>
      <w:u w:val="single"/>
    </w:rPr>
  </w:style>
  <w:style w:type="paragraph" w:styleId="Letter-AddresseeInfo">
    <w:name w:val="Letter - Addressee Info"/>
    <w:basedOn w:val="Normal"/>
    <w:next w:val="Letter-Re"/>
    <w:qFormat/>
    <w:pPr>
      <w:spacing w:before="0" w:after="240"/>
    </w:pPr>
    <w:rPr/>
  </w:style>
  <w:style w:type="paragraph" w:styleId="Letter-Re">
    <w:name w:val="Letter - Re:"/>
    <w:basedOn w:val="Normal"/>
    <w:next w:val="Letter-ReLine"/>
    <w:qFormat/>
    <w:pPr>
      <w:numPr>
        <w:ilvl w:val="0"/>
        <w:numId w:val="2"/>
      </w:numPr>
      <w:tabs>
        <w:tab w:val="clear" w:pos="720"/>
      </w:tabs>
      <w:spacing w:before="120" w:after="0"/>
    </w:pPr>
    <w:rPr/>
  </w:style>
  <w:style w:type="paragraph" w:styleId="Letter-Salutation">
    <w:name w:val="Letter - Salutation"/>
    <w:basedOn w:val="Normal"/>
    <w:next w:val="Letter-BodyText"/>
    <w:qFormat/>
    <w:pPr>
      <w:spacing w:before="0" w:after="240"/>
    </w:pPr>
    <w:rPr/>
  </w:style>
  <w:style w:type="paragraph" w:styleId="Letter-BodyText">
    <w:name w:val="Letter - Body Text"/>
    <w:basedOn w:val="Normal"/>
    <w:qFormat/>
    <w:pPr>
      <w:spacing w:before="0" w:after="240"/>
      <w:ind w:firstLine="1440" w:start="0" w:end="0"/>
      <w:jc w:val="both"/>
    </w:pPr>
    <w:rPr/>
  </w:style>
  <w:style w:type="paragraph" w:styleId="Letter-Closing">
    <w:name w:val="Letter - Closing"/>
    <w:basedOn w:val="Normal"/>
    <w:next w:val="Letter-ccbccEncl"/>
    <w:qFormat/>
    <w:pPr>
      <w:keepNext w:val="true"/>
      <w:keepLines/>
      <w:spacing w:before="240" w:after="480"/>
      <w:ind w:hanging="0" w:start="4752" w:end="0"/>
    </w:pPr>
    <w:rPr/>
  </w:style>
  <w:style w:type="paragraph" w:styleId="Letter-ReLine">
    <w:name w:val="Letter - Re:Line"/>
    <w:basedOn w:val="Normal"/>
    <w:next w:val="Letter-Salutation"/>
    <w:qFormat/>
    <w:pPr>
      <w:spacing w:before="0" w:after="60"/>
      <w:ind w:hanging="0" w:start="1296"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2000-11-17T13:29:00Z</dcterms:created>
  <dc:creator>MW&amp;E</dc:creator>
  <dc:description/>
  <dc:language>en-CA</dc:language>
  <cp:lastModifiedBy>MW&amp;E</cp:lastModifiedBy>
  <cp:lastPrinted>2000-11-16T18:02:00Z</cp:lastPrinted>
  <dcterms:modified xsi:type="dcterms:W3CDTF">2000-11-17T13:29:00Z</dcterms:modified>
  <cp:revision>2</cp:revision>
  <dc:subject/>
  <dc:title>November 9, 2000</dc:title>
</cp:coreProperties>
</file>